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BECD3" w14:textId="77777777" w:rsidR="00A14079" w:rsidRPr="00FF7F12" w:rsidRDefault="00A14079" w:rsidP="00A14079">
      <w:pPr>
        <w:spacing w:line="360" w:lineRule="auto"/>
        <w:rPr>
          <w:rFonts w:ascii="Times New Roman" w:eastAsia="Malgun Gothic" w:hAnsi="Times New Roman" w:cs="Times New Roman"/>
          <w:b/>
          <w:bCs/>
          <w:sz w:val="24"/>
          <w:szCs w:val="24"/>
        </w:rPr>
      </w:pPr>
      <w:r w:rsidRPr="00FF7F12">
        <w:rPr>
          <w:rFonts w:ascii="Times New Roman" w:eastAsia="Malgun Gothic" w:hAnsi="Times New Roman" w:cs="Times New Roman"/>
          <w:b/>
          <w:bCs/>
          <w:sz w:val="24"/>
          <w:szCs w:val="24"/>
        </w:rPr>
        <w:t>[</w:t>
      </w:r>
      <w:bookmarkStart w:id="0" w:name="_Hlk211599965"/>
      <w:r w:rsidRPr="00FF7F12">
        <w:rPr>
          <w:rFonts w:ascii="Times New Roman" w:eastAsia="Malgun Gothic" w:hAnsi="Times New Roman" w:cs="Times New Roman"/>
          <w:b/>
          <w:bCs/>
          <w:sz w:val="24"/>
          <w:szCs w:val="24"/>
        </w:rPr>
        <w:t>Extended Data Figure Legends</w:t>
      </w:r>
      <w:bookmarkEnd w:id="0"/>
      <w:r w:rsidRPr="00FF7F12">
        <w:rPr>
          <w:rFonts w:ascii="Times New Roman" w:eastAsia="Malgun Gothic" w:hAnsi="Times New Roman" w:cs="Times New Roman"/>
          <w:b/>
          <w:bCs/>
          <w:sz w:val="24"/>
          <w:szCs w:val="24"/>
        </w:rPr>
        <w:t>]</w:t>
      </w:r>
    </w:p>
    <w:p w14:paraId="091935C5" w14:textId="77777777" w:rsidR="00A14079" w:rsidRPr="00FF7F12" w:rsidRDefault="00A14079" w:rsidP="00A14079">
      <w:pPr>
        <w:pStyle w:val="NormalWeb"/>
        <w:spacing w:before="0" w:beforeAutospacing="0" w:after="0" w:afterAutospacing="0" w:line="360" w:lineRule="auto"/>
        <w:jc w:val="both"/>
        <w:rPr>
          <w:rFonts w:ascii="Times New Roman" w:eastAsia="Malgun Gothic" w:hAnsi="Times New Roman" w:cs="Times New Roman"/>
          <w:kern w:val="24"/>
        </w:rPr>
      </w:pPr>
      <w:bookmarkStart w:id="1" w:name="_Hlk211349439"/>
      <w:r w:rsidRPr="00FF7F12">
        <w:rPr>
          <w:rFonts w:ascii="Times New Roman" w:eastAsia="Malgun Gothic" w:hAnsi="Times New Roman" w:cs="Times New Roman"/>
          <w:b/>
          <w:bCs/>
          <w:kern w:val="24"/>
        </w:rPr>
        <w:t xml:space="preserve">Extended Data Fig. 1: </w:t>
      </w:r>
      <w:r w:rsidRPr="00FF7F12">
        <w:rPr>
          <w:rFonts w:ascii="Times New Roman" w:eastAsia="Malgun Gothic" w:hAnsi="Times New Roman" w:cs="Times New Roman"/>
          <w:b/>
          <w:bCs/>
          <w:i/>
          <w:kern w:val="24"/>
        </w:rPr>
        <w:t>Flavobacterium dauae</w:t>
      </w:r>
      <w:r w:rsidRPr="00FF7F12">
        <w:rPr>
          <w:rFonts w:ascii="Times New Roman" w:eastAsia="Malgun Gothic" w:hAnsi="Times New Roman" w:cs="Times New Roman"/>
          <w:b/>
          <w:bCs/>
          <w:kern w:val="24"/>
        </w:rPr>
        <w:t xml:space="preserve"> TCH3-2 improves the number of fruits and flowers of tomato plant. </w:t>
      </w:r>
      <w:r w:rsidRPr="00FF7F12">
        <w:rPr>
          <w:rFonts w:ascii="Times New Roman" w:eastAsia="Malgun Gothic" w:hAnsi="Times New Roman" w:cs="Times New Roman"/>
          <w:kern w:val="24"/>
        </w:rPr>
        <w:t xml:space="preserve">Germinated tomato seedlings treated with </w:t>
      </w:r>
      <w:r w:rsidRPr="00FF7F12">
        <w:rPr>
          <w:rFonts w:ascii="Times New Roman" w:eastAsia="Malgun Gothic" w:hAnsi="Times New Roman" w:cs="Times New Roman"/>
          <w:i/>
          <w:iCs/>
          <w:kern w:val="24"/>
        </w:rPr>
        <w:t>F.</w:t>
      </w:r>
      <w:r w:rsidRPr="00FF7F12">
        <w:rPr>
          <w:rFonts w:ascii="Times New Roman" w:eastAsia="Malgun Gothic" w:hAnsi="Times New Roman" w:cs="Times New Roman"/>
          <w:kern w:val="24"/>
        </w:rPr>
        <w:t xml:space="preserve"> </w:t>
      </w:r>
      <w:r w:rsidRPr="00FF7F12">
        <w:rPr>
          <w:rFonts w:ascii="Times New Roman" w:eastAsia="Malgun Gothic" w:hAnsi="Times New Roman" w:cs="Times New Roman"/>
          <w:i/>
          <w:kern w:val="24"/>
        </w:rPr>
        <w:t xml:space="preserve">dauae </w:t>
      </w:r>
      <w:r w:rsidRPr="00FF7F12">
        <w:rPr>
          <w:rFonts w:ascii="Times New Roman" w:eastAsia="Malgun Gothic" w:hAnsi="Times New Roman" w:cs="Times New Roman"/>
          <w:kern w:val="24"/>
        </w:rPr>
        <w:t xml:space="preserve">TCH3-2 were transferred to non-sterilized field soil, both numbers of fruits </w:t>
      </w:r>
      <w:r w:rsidRPr="00FF7F12">
        <w:rPr>
          <w:rFonts w:ascii="Times New Roman" w:eastAsia="Malgun Gothic" w:hAnsi="Times New Roman" w:cs="Times New Roman"/>
          <w:b/>
          <w:bCs/>
          <w:kern w:val="24"/>
        </w:rPr>
        <w:t>(a, b)</w:t>
      </w:r>
      <w:r w:rsidRPr="00FF7F12">
        <w:rPr>
          <w:rFonts w:ascii="Times New Roman" w:eastAsia="Malgun Gothic" w:hAnsi="Times New Roman" w:cs="Times New Roman"/>
          <w:kern w:val="24"/>
        </w:rPr>
        <w:t xml:space="preserve"> and flowers </w:t>
      </w:r>
      <w:r w:rsidRPr="00FF7F12">
        <w:rPr>
          <w:rFonts w:ascii="Times New Roman" w:eastAsia="Malgun Gothic" w:hAnsi="Times New Roman" w:cs="Times New Roman"/>
          <w:b/>
          <w:bCs/>
          <w:kern w:val="24"/>
        </w:rPr>
        <w:t xml:space="preserve">(c) </w:t>
      </w:r>
      <w:r w:rsidRPr="00FF7F12">
        <w:rPr>
          <w:rFonts w:ascii="Times New Roman" w:eastAsia="Malgun Gothic" w:hAnsi="Times New Roman" w:cs="Times New Roman"/>
          <w:kern w:val="24"/>
        </w:rPr>
        <w:t xml:space="preserve">of tomato plants were measured 79- and 92-day post germination. Means of 6 plants are different by two-sample </w:t>
      </w:r>
      <w:r w:rsidRPr="00FF7F12">
        <w:rPr>
          <w:rFonts w:ascii="Times New Roman" w:eastAsia="Malgun Gothic" w:hAnsi="Times New Roman" w:cs="Times New Roman"/>
          <w:i/>
          <w:kern w:val="24"/>
        </w:rPr>
        <w:t>T-</w:t>
      </w:r>
      <w:r w:rsidRPr="00FF7F12">
        <w:rPr>
          <w:rFonts w:ascii="Times New Roman" w:eastAsia="Malgun Gothic" w:hAnsi="Times New Roman" w:cs="Times New Roman"/>
          <w:kern w:val="24"/>
        </w:rPr>
        <w:t>test (**</w:t>
      </w:r>
      <w:r w:rsidRPr="00FF7F12">
        <w:rPr>
          <w:rFonts w:ascii="Times New Roman" w:eastAsia="Malgun Gothic" w:hAnsi="Times New Roman" w:cs="Times New Roman"/>
          <w:i/>
          <w:iCs/>
          <w:kern w:val="24"/>
        </w:rPr>
        <w:t>P</w:t>
      </w:r>
      <w:r w:rsidRPr="00FF7F12">
        <w:rPr>
          <w:rFonts w:ascii="Times New Roman" w:eastAsia="Malgun Gothic" w:hAnsi="Times New Roman" w:cs="Times New Roman"/>
          <w:kern w:val="24"/>
        </w:rPr>
        <w:t>&lt;0.01).</w:t>
      </w:r>
    </w:p>
    <w:p w14:paraId="27307540" w14:textId="77777777" w:rsidR="00A14079" w:rsidRPr="00FF7F12" w:rsidRDefault="00A14079" w:rsidP="00A14079">
      <w:pPr>
        <w:widowControl/>
        <w:wordWrap/>
        <w:autoSpaceDE/>
        <w:autoSpaceDN/>
        <w:spacing w:after="0" w:line="360" w:lineRule="auto"/>
        <w:rPr>
          <w:rFonts w:ascii="Times New Roman" w:eastAsia="Malgun Gothic" w:hAnsi="Times New Roman" w:cs="Times New Roman"/>
          <w:b/>
          <w:bCs/>
          <w:kern w:val="0"/>
          <w:sz w:val="24"/>
          <w:szCs w:val="24"/>
        </w:rPr>
      </w:pPr>
    </w:p>
    <w:p w14:paraId="090ED1F3" w14:textId="77777777" w:rsidR="00A14079" w:rsidRPr="00FF7F12" w:rsidRDefault="00A14079" w:rsidP="00A14079">
      <w:pPr>
        <w:snapToGrid w:val="0"/>
        <w:spacing w:after="0" w:line="360" w:lineRule="auto"/>
        <w:rPr>
          <w:rFonts w:ascii="Times New Roman" w:eastAsia="Malgun Gothic" w:hAnsi="Times New Roman" w:cs="Times New Roman"/>
          <w:kern w:val="24"/>
          <w:sz w:val="24"/>
        </w:rPr>
      </w:pPr>
      <w:r w:rsidRPr="00FF7F12">
        <w:rPr>
          <w:rFonts w:ascii="Times New Roman" w:eastAsia="Malgun Gothic" w:hAnsi="Times New Roman" w:cs="Times New Roman"/>
          <w:b/>
          <w:bCs/>
          <w:kern w:val="24"/>
          <w:sz w:val="24"/>
        </w:rPr>
        <w:t xml:space="preserve">Extended Data Fig. 2: </w:t>
      </w:r>
      <w:r w:rsidRPr="00FF7F12">
        <w:rPr>
          <w:rFonts w:ascii="Times New Roman" w:eastAsia="Malgun Gothic" w:hAnsi="Times New Roman" w:cs="Times New Roman"/>
          <w:b/>
          <w:kern w:val="24"/>
          <w:sz w:val="24"/>
          <w:szCs w:val="24"/>
        </w:rPr>
        <w:t>Principal coordinate analysis (PCoA) on rhizosphere and endosphere bacterial microbiota of tomato plants treated with TCH3-2.</w:t>
      </w:r>
      <w:r w:rsidRPr="00FF7F12">
        <w:rPr>
          <w:rFonts w:ascii="Times New Roman" w:eastAsia="Malgun Gothic" w:hAnsi="Times New Roman" w:cs="Times New Roman"/>
          <w:kern w:val="24"/>
          <w:sz w:val="24"/>
          <w:szCs w:val="24"/>
        </w:rPr>
        <w:t xml:space="preserve"> Community distance was measured by Bray-Curtis dissimilarity measures and the percentage of variation explained by PCoA1 and PCoA2 were indicated in each axis. </w:t>
      </w:r>
      <w:r w:rsidRPr="00FF7F12">
        <w:rPr>
          <w:rFonts w:ascii="Times New Roman" w:eastAsia="Malgun Gothic" w:hAnsi="Times New Roman" w:cs="Times New Roman"/>
          <w:kern w:val="24"/>
          <w:sz w:val="24"/>
        </w:rPr>
        <w:t>3 weeks and 5 weeks, 3 and 5 weeks post transplantation of tomato plants; Rhizosphere, tomato rhizosphere soil; Endosphere, tomato root endosphere; Con, upland soil without TCH3-2, negative control; TCH3-2, TCH3-2 treated upland soil.</w:t>
      </w:r>
    </w:p>
    <w:p w14:paraId="18990583" w14:textId="77777777" w:rsidR="00A14079" w:rsidRPr="00FF7F12" w:rsidRDefault="00A14079" w:rsidP="00A14079">
      <w:pPr>
        <w:widowControl/>
        <w:wordWrap/>
        <w:autoSpaceDE/>
        <w:autoSpaceDN/>
        <w:spacing w:line="360" w:lineRule="auto"/>
        <w:rPr>
          <w:rFonts w:ascii="Times New Roman" w:eastAsia="Malgun Gothic" w:hAnsi="Times New Roman" w:cs="Times New Roman"/>
          <w:kern w:val="24"/>
          <w:sz w:val="24"/>
        </w:rPr>
      </w:pPr>
    </w:p>
    <w:p w14:paraId="417528D7"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kern w:val="0"/>
          <w:sz w:val="24"/>
          <w:szCs w:val="24"/>
        </w:rPr>
      </w:pPr>
      <w:r w:rsidRPr="00FF7F12">
        <w:rPr>
          <w:rFonts w:ascii="Times New Roman" w:eastAsia="Malgun Gothic" w:hAnsi="Times New Roman" w:cs="Times New Roman"/>
          <w:b/>
          <w:bCs/>
          <w:kern w:val="24"/>
          <w:sz w:val="24"/>
        </w:rPr>
        <w:t xml:space="preserve">Extended Data Fig. 3: </w:t>
      </w:r>
      <w:r w:rsidRPr="00FF7F12">
        <w:rPr>
          <w:rFonts w:ascii="Times New Roman" w:eastAsia="Malgun Gothic" w:hAnsi="Times New Roman" w:cs="Times New Roman"/>
          <w:b/>
          <w:kern w:val="0"/>
          <w:sz w:val="24"/>
          <w:szCs w:val="24"/>
        </w:rPr>
        <w:t xml:space="preserve">The metatranscriptome analysis of TCH3-2 treated tomato rhizosphere microbiota. </w:t>
      </w:r>
      <w:r w:rsidRPr="00FF7F12">
        <w:rPr>
          <w:rFonts w:ascii="Times New Roman" w:eastAsia="Malgun Gothic" w:hAnsi="Times New Roman" w:cs="Times New Roman"/>
          <w:b/>
          <w:bCs/>
          <w:kern w:val="0"/>
          <w:sz w:val="24"/>
          <w:szCs w:val="24"/>
        </w:rPr>
        <w:t>a</w:t>
      </w:r>
      <w:r w:rsidRPr="00FF7F12">
        <w:rPr>
          <w:rFonts w:ascii="Times New Roman" w:eastAsia="Malgun Gothic" w:hAnsi="Times New Roman" w:cs="Times New Roman"/>
          <w:kern w:val="0"/>
          <w:sz w:val="24"/>
          <w:szCs w:val="24"/>
        </w:rPr>
        <w:t xml:space="preserve">, Hierarchical clustering of KOs grouped into modules based on the dissimilarity of the topological overlap. Each vertical line corresponds to the KO. Color bars at the bottom indicate the randomly assigned colors for the co-expression modules. </w:t>
      </w:r>
      <w:r w:rsidRPr="00FF7F12">
        <w:rPr>
          <w:rFonts w:ascii="Times New Roman" w:eastAsia="Malgun Gothic" w:hAnsi="Times New Roman" w:cs="Times New Roman"/>
          <w:b/>
          <w:bCs/>
          <w:kern w:val="0"/>
          <w:sz w:val="24"/>
          <w:szCs w:val="24"/>
        </w:rPr>
        <w:t>b,</w:t>
      </w:r>
      <w:r w:rsidRPr="00FF7F12">
        <w:rPr>
          <w:rFonts w:ascii="Times New Roman" w:eastAsia="Malgun Gothic" w:hAnsi="Times New Roman" w:cs="Times New Roman"/>
          <w:kern w:val="0"/>
          <w:sz w:val="24"/>
          <w:szCs w:val="24"/>
        </w:rPr>
        <w:t xml:space="preserve"> Clustering dendrograms of module eigengenes. Each consensus module is described here as a its module eigengene. (e.g. module ‘brown’ is represented as ‘MEbrown’). </w:t>
      </w:r>
      <w:r w:rsidRPr="00FF7F12">
        <w:rPr>
          <w:rFonts w:ascii="Times New Roman" w:eastAsia="Malgun Gothic" w:hAnsi="Times New Roman" w:cs="Times New Roman"/>
          <w:b/>
          <w:bCs/>
          <w:kern w:val="0"/>
          <w:sz w:val="24"/>
          <w:szCs w:val="24"/>
        </w:rPr>
        <w:t>c,</w:t>
      </w:r>
      <w:r w:rsidRPr="00FF7F12">
        <w:rPr>
          <w:rFonts w:ascii="Times New Roman" w:eastAsia="Malgun Gothic" w:hAnsi="Times New Roman" w:cs="Times New Roman"/>
          <w:kern w:val="0"/>
          <w:sz w:val="24"/>
          <w:szCs w:val="24"/>
        </w:rPr>
        <w:t xml:space="preserve"> A scatterplot of gene significance on y-axis and a module membership on x-axis in the most significant modules (blue and greenyellow). In modules related to the trait of interest, genes with high module membership often also have high gene significance. </w:t>
      </w:r>
      <w:r w:rsidRPr="00FF7F12">
        <w:rPr>
          <w:rFonts w:ascii="Times New Roman" w:eastAsia="Malgun Gothic" w:hAnsi="Times New Roman" w:cs="Times New Roman"/>
          <w:b/>
          <w:bCs/>
          <w:kern w:val="0"/>
          <w:sz w:val="24"/>
          <w:szCs w:val="24"/>
        </w:rPr>
        <w:t>d,</w:t>
      </w:r>
      <w:r w:rsidRPr="00FF7F12">
        <w:rPr>
          <w:rFonts w:ascii="Times New Roman" w:eastAsia="Malgun Gothic" w:hAnsi="Times New Roman" w:cs="Times New Roman"/>
          <w:kern w:val="0"/>
          <w:sz w:val="24"/>
          <w:szCs w:val="24"/>
        </w:rPr>
        <w:t xml:space="preserve"> The GO functional enrichment in the greenyellow module. The significantly enriched GO terms belonging to the category biological process with the </w:t>
      </w:r>
      <w:r w:rsidRPr="00FF7F12">
        <w:rPr>
          <w:rFonts w:ascii="Times New Roman" w:eastAsia="Malgun Gothic" w:hAnsi="Times New Roman" w:cs="Times New Roman"/>
          <w:i/>
          <w:iCs/>
          <w:kern w:val="0"/>
          <w:sz w:val="24"/>
          <w:szCs w:val="24"/>
        </w:rPr>
        <w:t>P</w:t>
      </w:r>
      <w:r w:rsidRPr="00FF7F12">
        <w:rPr>
          <w:rFonts w:ascii="Times New Roman" w:eastAsia="Malgun Gothic" w:hAnsi="Times New Roman" w:cs="Times New Roman"/>
          <w:kern w:val="0"/>
          <w:sz w:val="24"/>
          <w:szCs w:val="24"/>
        </w:rPr>
        <w:t>-value &lt;0.01 visualized as a bar graph. An x-axis shows the GO terms and a y-axis indicates the −log</w:t>
      </w:r>
      <w:r w:rsidRPr="00FF7F12">
        <w:rPr>
          <w:rFonts w:ascii="Times New Roman" w:eastAsia="Malgun Gothic" w:hAnsi="Times New Roman" w:cs="Times New Roman"/>
          <w:kern w:val="0"/>
          <w:sz w:val="24"/>
          <w:szCs w:val="24"/>
          <w:vertAlign w:val="subscript"/>
        </w:rPr>
        <w:t>10</w:t>
      </w:r>
      <w:r w:rsidRPr="00FF7F12">
        <w:rPr>
          <w:rFonts w:ascii="Times New Roman" w:eastAsia="Malgun Gothic" w:hAnsi="Times New Roman" w:cs="Times New Roman"/>
          <w:i/>
          <w:iCs/>
          <w:kern w:val="0"/>
          <w:sz w:val="24"/>
          <w:szCs w:val="24"/>
        </w:rPr>
        <w:t>P</w:t>
      </w:r>
      <w:r w:rsidRPr="00FF7F12">
        <w:rPr>
          <w:rFonts w:ascii="Times New Roman" w:eastAsia="Malgun Gothic" w:hAnsi="Times New Roman" w:cs="Times New Roman"/>
          <w:kern w:val="0"/>
          <w:sz w:val="24"/>
          <w:szCs w:val="24"/>
        </w:rPr>
        <w:t xml:space="preserve">-value. </w:t>
      </w:r>
    </w:p>
    <w:p w14:paraId="46AC8710"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kern w:val="0"/>
          <w:sz w:val="24"/>
          <w:szCs w:val="24"/>
        </w:rPr>
      </w:pPr>
    </w:p>
    <w:p w14:paraId="63C64B2D"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kern w:val="0"/>
          <w:sz w:val="24"/>
          <w:szCs w:val="24"/>
        </w:rPr>
      </w:pPr>
      <w:r w:rsidRPr="00FF7F12">
        <w:rPr>
          <w:rFonts w:ascii="Times New Roman" w:eastAsia="Malgun Gothic" w:hAnsi="Times New Roman" w:cs="Times New Roman"/>
          <w:b/>
          <w:bCs/>
          <w:kern w:val="24"/>
          <w:sz w:val="24"/>
        </w:rPr>
        <w:t xml:space="preserve">Extended Data Fig. 4: </w:t>
      </w:r>
      <w:r w:rsidRPr="00FF7F12">
        <w:rPr>
          <w:rFonts w:ascii="Times New Roman" w:eastAsia="Malgun Gothic" w:hAnsi="Times New Roman" w:cs="Times New Roman"/>
          <w:b/>
          <w:kern w:val="0"/>
          <w:sz w:val="24"/>
          <w:szCs w:val="24"/>
        </w:rPr>
        <w:t>The transcriptome analysis of tomato root tissue treated with TCH3-2.</w:t>
      </w:r>
      <w:r w:rsidRPr="00FF7F12">
        <w:rPr>
          <w:rFonts w:ascii="Times New Roman" w:eastAsia="Malgun Gothic" w:hAnsi="Times New Roman" w:cs="Times New Roman"/>
          <w:kern w:val="0"/>
          <w:sz w:val="24"/>
          <w:szCs w:val="24"/>
        </w:rPr>
        <w:t xml:space="preserve"> </w:t>
      </w:r>
      <w:r w:rsidRPr="00FF7F12">
        <w:rPr>
          <w:rFonts w:ascii="Times New Roman" w:eastAsia="Malgun Gothic" w:hAnsi="Times New Roman" w:cs="Times New Roman"/>
          <w:b/>
          <w:bCs/>
          <w:kern w:val="0"/>
          <w:sz w:val="24"/>
          <w:szCs w:val="24"/>
        </w:rPr>
        <w:t>a,</w:t>
      </w:r>
      <w:r w:rsidRPr="00FF7F12">
        <w:rPr>
          <w:rFonts w:ascii="Times New Roman" w:eastAsia="Malgun Gothic" w:hAnsi="Times New Roman" w:cs="Times New Roman"/>
          <w:kern w:val="0"/>
          <w:sz w:val="24"/>
          <w:szCs w:val="24"/>
        </w:rPr>
        <w:t xml:space="preserve"> DEG identification in TCH3-2 treatment compared to control sample. A </w:t>
      </w:r>
      <w:r w:rsidRPr="00FF7F12">
        <w:rPr>
          <w:rFonts w:ascii="Times New Roman" w:eastAsia="Malgun Gothic" w:hAnsi="Times New Roman" w:cs="Times New Roman"/>
          <w:kern w:val="0"/>
          <w:sz w:val="24"/>
          <w:szCs w:val="24"/>
        </w:rPr>
        <w:lastRenderedPageBreak/>
        <w:t xml:space="preserve">doughnut chart indicates the number of DEGs showing up- (red) and down- (blue) regulation in the treatment condition. </w:t>
      </w:r>
      <w:r w:rsidRPr="00FF7F12">
        <w:rPr>
          <w:rFonts w:ascii="Times New Roman" w:eastAsia="Malgun Gothic" w:hAnsi="Times New Roman" w:cs="Times New Roman"/>
          <w:b/>
          <w:bCs/>
          <w:kern w:val="0"/>
          <w:sz w:val="24"/>
          <w:szCs w:val="24"/>
        </w:rPr>
        <w:t>b,</w:t>
      </w:r>
      <w:r w:rsidRPr="00FF7F12">
        <w:rPr>
          <w:rFonts w:ascii="Times New Roman" w:eastAsia="Malgun Gothic" w:hAnsi="Times New Roman" w:cs="Times New Roman"/>
          <w:kern w:val="0"/>
          <w:sz w:val="24"/>
          <w:szCs w:val="24"/>
        </w:rPr>
        <w:t xml:space="preserve"> KEGG pathways enriched in up-regulated genes of tomato in response to treatment of TCH3-2. The number in each bar indicates </w:t>
      </w:r>
      <w:r w:rsidRPr="00FF7F12">
        <w:rPr>
          <w:rFonts w:ascii="Times New Roman" w:eastAsia="Malgun Gothic" w:hAnsi="Times New Roman" w:cs="Times New Roman"/>
          <w:i/>
          <w:kern w:val="0"/>
          <w:sz w:val="24"/>
          <w:szCs w:val="24"/>
        </w:rPr>
        <w:t>P</w:t>
      </w:r>
      <w:r w:rsidRPr="00FF7F12">
        <w:rPr>
          <w:rFonts w:ascii="Times New Roman" w:eastAsia="Malgun Gothic" w:hAnsi="Times New Roman" w:cs="Times New Roman"/>
          <w:kern w:val="0"/>
          <w:sz w:val="24"/>
          <w:szCs w:val="24"/>
        </w:rPr>
        <w:t xml:space="preserve">-value and pathways are arranged from top to bottom in the order of </w:t>
      </w:r>
      <w:r w:rsidRPr="00FF7F12">
        <w:rPr>
          <w:rFonts w:ascii="Times New Roman" w:eastAsia="Malgun Gothic" w:hAnsi="Times New Roman" w:cs="Times New Roman"/>
          <w:i/>
          <w:kern w:val="0"/>
          <w:sz w:val="24"/>
          <w:szCs w:val="24"/>
        </w:rPr>
        <w:t>P</w:t>
      </w:r>
      <w:r w:rsidRPr="00FF7F12">
        <w:rPr>
          <w:rFonts w:ascii="Times New Roman" w:eastAsia="Malgun Gothic" w:hAnsi="Times New Roman" w:cs="Times New Roman"/>
          <w:kern w:val="0"/>
          <w:sz w:val="24"/>
          <w:szCs w:val="24"/>
        </w:rPr>
        <w:t xml:space="preserve">-value. The y-axis shows a list of the enriched KEGG pathways and the x-axis presents the number of annotated up-regulated DEGs. </w:t>
      </w:r>
      <w:r w:rsidRPr="00FF7F12">
        <w:rPr>
          <w:rFonts w:ascii="Times New Roman" w:eastAsia="Malgun Gothic" w:hAnsi="Times New Roman" w:cs="Times New Roman"/>
          <w:b/>
          <w:bCs/>
          <w:kern w:val="0"/>
          <w:sz w:val="24"/>
          <w:szCs w:val="24"/>
        </w:rPr>
        <w:t>c,</w:t>
      </w:r>
      <w:r w:rsidRPr="00FF7F12">
        <w:rPr>
          <w:rFonts w:ascii="Times New Roman" w:eastAsia="Malgun Gothic" w:hAnsi="Times New Roman" w:cs="Times New Roman"/>
          <w:kern w:val="0"/>
          <w:sz w:val="24"/>
          <w:szCs w:val="24"/>
        </w:rPr>
        <w:t xml:space="preserve"> Phytosterol biosynthesis pathway assigned with the up- and down-regulated genes in tomato plants treated with TCH3-2. A rectangle shaped node is associated with up- or down-regulated genes in the treatment sample, and nodes marked in a grey colored round rectangle and a white colored circle denote a cognate pathway and intermediate chemical for phytosterols, respectively. A color scale indicates log</w:t>
      </w:r>
      <w:r w:rsidRPr="00FF7F12">
        <w:rPr>
          <w:rFonts w:ascii="Times New Roman" w:eastAsia="Malgun Gothic" w:hAnsi="Times New Roman" w:cs="Times New Roman"/>
          <w:kern w:val="0"/>
          <w:sz w:val="24"/>
          <w:szCs w:val="24"/>
          <w:vertAlign w:val="subscript"/>
        </w:rPr>
        <w:t xml:space="preserve">2 </w:t>
      </w:r>
      <w:r w:rsidRPr="00FF7F12">
        <w:rPr>
          <w:rFonts w:ascii="Times New Roman" w:eastAsia="Malgun Gothic" w:hAnsi="Times New Roman" w:cs="Times New Roman"/>
          <w:kern w:val="0"/>
          <w:sz w:val="24"/>
          <w:szCs w:val="24"/>
        </w:rPr>
        <w:t>(treatment expression/control expression) value of a gene. This molecular reaction network diagram was visualized by a Cytoscape tool based on modified the KEGG pathway map of steroid biosynthesis (sly00100).</w:t>
      </w:r>
    </w:p>
    <w:p w14:paraId="493ED96F"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kern w:val="24"/>
          <w:sz w:val="24"/>
          <w:szCs w:val="24"/>
        </w:rPr>
      </w:pPr>
    </w:p>
    <w:p w14:paraId="0B285A3C"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bCs/>
          <w:kern w:val="24"/>
          <w:sz w:val="24"/>
        </w:rPr>
      </w:pPr>
      <w:r w:rsidRPr="00FF7F12">
        <w:rPr>
          <w:rFonts w:ascii="Times New Roman" w:eastAsia="Malgun Gothic" w:hAnsi="Times New Roman" w:cs="Times New Roman"/>
          <w:b/>
          <w:bCs/>
          <w:kern w:val="24"/>
          <w:sz w:val="24"/>
        </w:rPr>
        <w:t xml:space="preserve">Extended Data Fig. 5: Bacterial interactions among SynCom members estimated bacterial growth in various media. </w:t>
      </w:r>
      <w:r w:rsidRPr="00FF7F12">
        <w:rPr>
          <w:rFonts w:ascii="Times New Roman" w:eastAsia="Malgun Gothic" w:hAnsi="Times New Roman" w:cs="Times New Roman"/>
          <w:b/>
          <w:kern w:val="24"/>
          <w:sz w:val="24"/>
        </w:rPr>
        <w:t>a,</w:t>
      </w:r>
      <w:r w:rsidRPr="00FF7F12">
        <w:rPr>
          <w:rFonts w:ascii="Times New Roman" w:eastAsia="Malgun Gothic" w:hAnsi="Times New Roman" w:cs="Times New Roman"/>
          <w:bCs/>
          <w:kern w:val="24"/>
          <w:sz w:val="24"/>
        </w:rPr>
        <w:t xml:space="preserve"> Heatmap showing the synergistic interaction among TCH3-2 and SynCom bacterial members. The growth rate is a value obtained by taking the logarithm of the colony size on ½ TSA, ½ TSA + ½ SP + ½ MA, and ½ TSA + ½ R2A + ½ MA agar medium. </w:t>
      </w:r>
      <w:r w:rsidRPr="00FF7F12">
        <w:rPr>
          <w:rFonts w:ascii="Times New Roman" w:eastAsia="Malgun Gothic" w:hAnsi="Times New Roman" w:cs="Times New Roman"/>
          <w:b/>
          <w:kern w:val="24"/>
          <w:sz w:val="24"/>
        </w:rPr>
        <w:t>b,</w:t>
      </w:r>
      <w:r w:rsidRPr="00FF7F12">
        <w:rPr>
          <w:rFonts w:ascii="Times New Roman" w:eastAsia="Malgun Gothic" w:hAnsi="Times New Roman" w:cs="Times New Roman"/>
          <w:bCs/>
          <w:kern w:val="24"/>
          <w:sz w:val="24"/>
        </w:rPr>
        <w:t xml:space="preserve"> The synergistic interaction between TCH3-2 and SynCom members, shown as the red boxes in Extended Fig. 5a. </w:t>
      </w:r>
      <w:r w:rsidRPr="00FF7F12">
        <w:rPr>
          <w:rFonts w:ascii="Times New Roman" w:eastAsia="Malgun Gothic" w:hAnsi="Times New Roman" w:cs="Times New Roman"/>
          <w:sz w:val="24"/>
          <w:szCs w:val="24"/>
        </w:rPr>
        <w:t xml:space="preserve">TCH3-2 </w:t>
      </w:r>
      <w:r w:rsidRPr="00FF7F12">
        <w:rPr>
          <w:rFonts w:ascii="Times New Roman" w:eastAsia="Malgun Gothic" w:hAnsi="Times New Roman" w:cs="Times New Roman"/>
          <w:sz w:val="24"/>
          <w:szCs w:val="24"/>
        </w:rPr>
        <w:sym w:font="Wingdings" w:char="F0E0"/>
      </w:r>
      <w:r w:rsidRPr="00FF7F12">
        <w:rPr>
          <w:rFonts w:ascii="Times New Roman" w:eastAsia="Malgun Gothic" w:hAnsi="Times New Roman" w:cs="Times New Roman"/>
          <w:sz w:val="24"/>
          <w:szCs w:val="24"/>
        </w:rPr>
        <w:t xml:space="preserve"> SynCom, the growth promotion of SynCom by TCH3-2; SynCom</w:t>
      </w:r>
      <w:r w:rsidRPr="00FF7F12">
        <w:rPr>
          <w:rFonts w:ascii="Times New Roman" w:eastAsia="Malgun Gothic" w:hAnsi="Times New Roman" w:cs="Times New Roman"/>
          <w:sz w:val="24"/>
          <w:szCs w:val="24"/>
        </w:rPr>
        <w:sym w:font="Wingdings" w:char="F0E0"/>
      </w:r>
      <w:r w:rsidRPr="00FF7F12">
        <w:rPr>
          <w:rFonts w:ascii="Times New Roman" w:eastAsia="Malgun Gothic" w:hAnsi="Times New Roman" w:cs="Times New Roman"/>
          <w:sz w:val="24"/>
          <w:szCs w:val="24"/>
        </w:rPr>
        <w:t>TCH3-2, the growth promotion of TCH3-2 by SynCom member; SynCom</w:t>
      </w:r>
      <w:r w:rsidRPr="00FF7F12">
        <w:rPr>
          <w:rFonts w:ascii="Times New Roman" w:eastAsia="Malgun Gothic" w:hAnsi="Times New Roman" w:cs="Times New Roman"/>
          <w:sz w:val="24"/>
          <w:szCs w:val="24"/>
        </w:rPr>
        <w:sym w:font="Wingdings" w:char="F0E0"/>
      </w:r>
      <w:r w:rsidRPr="00FF7F12">
        <w:rPr>
          <w:rFonts w:ascii="Times New Roman" w:eastAsia="Malgun Gothic" w:hAnsi="Times New Roman" w:cs="Times New Roman"/>
          <w:sz w:val="24"/>
          <w:szCs w:val="24"/>
        </w:rPr>
        <w:t>SynCom, the growth promotion of SynCom by other SynCom member.</w:t>
      </w:r>
      <w:r w:rsidRPr="00FF7F12">
        <w:rPr>
          <w:rFonts w:ascii="Times New Roman" w:eastAsia="Malgun Gothic" w:hAnsi="Times New Roman" w:cs="Times New Roman"/>
          <w:bCs/>
          <w:kern w:val="24"/>
          <w:sz w:val="24"/>
        </w:rPr>
        <w:t xml:space="preserve"> </w:t>
      </w:r>
      <w:r w:rsidRPr="00FF7F12">
        <w:rPr>
          <w:rFonts w:ascii="Times New Roman" w:eastAsia="Malgun Gothic" w:hAnsi="Times New Roman" w:cs="Times New Roman"/>
          <w:b/>
          <w:kern w:val="24"/>
          <w:sz w:val="24"/>
        </w:rPr>
        <w:t>c,</w:t>
      </w:r>
      <w:r w:rsidRPr="00FF7F12">
        <w:rPr>
          <w:rFonts w:ascii="Times New Roman" w:eastAsia="Malgun Gothic" w:hAnsi="Times New Roman" w:cs="Times New Roman"/>
          <w:bCs/>
          <w:kern w:val="24"/>
          <w:sz w:val="24"/>
        </w:rPr>
        <w:t xml:space="preserve"> Bacterial growth stimulation of TCH3-2 by SynCom members tested by V-shape assay at increasing proximity on ½ TSA + ½ R2A + ½ MA agar medium. ‘Bottom’ means bacterial lawn on each medium and ‘Drop’ represents each bacterial suspension dropped on the ‘Bottom’ bacterial lawn TCH3-2, </w:t>
      </w:r>
      <w:r w:rsidRPr="00FF7F12">
        <w:rPr>
          <w:rFonts w:ascii="Times New Roman" w:eastAsia="Malgun Gothic" w:hAnsi="Times New Roman" w:cs="Times New Roman"/>
          <w:bCs/>
          <w:i/>
          <w:kern w:val="24"/>
          <w:sz w:val="24"/>
        </w:rPr>
        <w:t>F. dauae</w:t>
      </w:r>
      <w:r w:rsidRPr="00FF7F12">
        <w:rPr>
          <w:rFonts w:ascii="Times New Roman" w:eastAsia="Malgun Gothic" w:hAnsi="Times New Roman" w:cs="Times New Roman"/>
          <w:bCs/>
          <w:kern w:val="24"/>
          <w:sz w:val="24"/>
        </w:rPr>
        <w:t xml:space="preserve"> TCH3-2; Ket, </w:t>
      </w:r>
      <w:r w:rsidRPr="00FF7F12">
        <w:rPr>
          <w:rFonts w:ascii="Times New Roman" w:eastAsia="Malgun Gothic" w:hAnsi="Times New Roman" w:cs="Times New Roman"/>
          <w:i/>
          <w:sz w:val="24"/>
          <w:szCs w:val="24"/>
        </w:rPr>
        <w:t>K. alkanivorans</w:t>
      </w:r>
      <w:r w:rsidRPr="00FF7F12">
        <w:rPr>
          <w:rFonts w:ascii="Times New Roman" w:eastAsia="Malgun Gothic" w:hAnsi="Times New Roman" w:cs="Times New Roman"/>
          <w:sz w:val="24"/>
          <w:szCs w:val="24"/>
        </w:rPr>
        <w:t>; Flu,</w:t>
      </w:r>
      <w:r w:rsidRPr="00FF7F12">
        <w:rPr>
          <w:rFonts w:ascii="Times New Roman" w:eastAsia="Malgun Gothic" w:hAnsi="Times New Roman" w:cs="Times New Roman"/>
          <w:i/>
          <w:sz w:val="24"/>
          <w:szCs w:val="24"/>
        </w:rPr>
        <w:t xml:space="preserve"> F. taffensis</w:t>
      </w:r>
      <w:r w:rsidRPr="00FF7F12">
        <w:rPr>
          <w:rFonts w:ascii="Times New Roman" w:eastAsia="Malgun Gothic" w:hAnsi="Times New Roman" w:cs="Times New Roman"/>
          <w:sz w:val="24"/>
          <w:szCs w:val="24"/>
        </w:rPr>
        <w:t>; Gor,</w:t>
      </w:r>
      <w:r w:rsidRPr="00FF7F12">
        <w:rPr>
          <w:rFonts w:ascii="Times New Roman" w:eastAsia="Malgun Gothic" w:hAnsi="Times New Roman" w:cs="Times New Roman"/>
          <w:i/>
          <w:sz w:val="24"/>
          <w:szCs w:val="24"/>
        </w:rPr>
        <w:t xml:space="preserve"> G. polyisoprenivorans</w:t>
      </w:r>
      <w:r w:rsidRPr="00FF7F12">
        <w:rPr>
          <w:rFonts w:ascii="Times New Roman" w:eastAsia="Malgun Gothic" w:hAnsi="Times New Roman" w:cs="Times New Roman"/>
          <w:sz w:val="24"/>
          <w:szCs w:val="24"/>
        </w:rPr>
        <w:t xml:space="preserve">; Pri, </w:t>
      </w:r>
      <w:r w:rsidRPr="00FF7F12">
        <w:rPr>
          <w:rFonts w:ascii="Times New Roman" w:eastAsia="Malgun Gothic" w:hAnsi="Times New Roman" w:cs="Times New Roman"/>
          <w:i/>
          <w:sz w:val="24"/>
          <w:szCs w:val="24"/>
        </w:rPr>
        <w:t>P. megaterium</w:t>
      </w:r>
      <w:r w:rsidRPr="00FF7F12">
        <w:rPr>
          <w:rFonts w:ascii="Times New Roman" w:eastAsia="Malgun Gothic" w:hAnsi="Times New Roman" w:cs="Times New Roman"/>
          <w:sz w:val="24"/>
          <w:szCs w:val="24"/>
        </w:rPr>
        <w:t xml:space="preserve">; Arc, </w:t>
      </w:r>
      <w:r w:rsidRPr="00FF7F12">
        <w:rPr>
          <w:rFonts w:ascii="Times New Roman" w:eastAsia="Malgun Gothic" w:hAnsi="Times New Roman" w:cs="Times New Roman"/>
          <w:i/>
          <w:sz w:val="24"/>
          <w:szCs w:val="24"/>
        </w:rPr>
        <w:t>A. gephyra</w:t>
      </w:r>
      <w:r w:rsidRPr="00FF7F12">
        <w:rPr>
          <w:rFonts w:ascii="Times New Roman" w:eastAsia="Malgun Gothic" w:hAnsi="Times New Roman" w:cs="Times New Roman"/>
          <w:sz w:val="24"/>
          <w:szCs w:val="24"/>
        </w:rPr>
        <w:t xml:space="preserve">; Nov, </w:t>
      </w:r>
      <w:r w:rsidRPr="00FF7F12">
        <w:rPr>
          <w:rFonts w:ascii="Times New Roman" w:eastAsia="Malgun Gothic" w:hAnsi="Times New Roman" w:cs="Times New Roman"/>
          <w:i/>
          <w:sz w:val="24"/>
          <w:szCs w:val="24"/>
        </w:rPr>
        <w:t>N.</w:t>
      </w:r>
      <w:r w:rsidRPr="00FF7F12">
        <w:rPr>
          <w:rFonts w:ascii="Times New Roman" w:eastAsia="Malgun Gothic" w:hAnsi="Times New Roman" w:cs="Times New Roman"/>
          <w:i/>
        </w:rPr>
        <w:t xml:space="preserve"> </w:t>
      </w:r>
      <w:r w:rsidRPr="00FF7F12">
        <w:rPr>
          <w:rFonts w:ascii="Times New Roman" w:eastAsia="Malgun Gothic" w:hAnsi="Times New Roman" w:cs="Times New Roman"/>
          <w:i/>
          <w:sz w:val="24"/>
          <w:szCs w:val="24"/>
        </w:rPr>
        <w:t>guangzhouense</w:t>
      </w:r>
      <w:r w:rsidRPr="00FF7F12">
        <w:rPr>
          <w:rFonts w:ascii="Times New Roman" w:eastAsia="Malgun Gothic" w:hAnsi="Times New Roman" w:cs="Times New Roman"/>
          <w:sz w:val="24"/>
          <w:szCs w:val="24"/>
        </w:rPr>
        <w:t xml:space="preserve">; Dye, </w:t>
      </w:r>
      <w:r w:rsidRPr="00FF7F12">
        <w:rPr>
          <w:rFonts w:ascii="Times New Roman" w:eastAsia="Malgun Gothic" w:hAnsi="Times New Roman" w:cs="Times New Roman"/>
          <w:i/>
          <w:sz w:val="24"/>
          <w:szCs w:val="24"/>
        </w:rPr>
        <w:t>D. japonica</w:t>
      </w:r>
      <w:r w:rsidRPr="00FF7F12">
        <w:rPr>
          <w:rFonts w:ascii="Times New Roman" w:eastAsia="Malgun Gothic" w:hAnsi="Times New Roman" w:cs="Times New Roman"/>
          <w:sz w:val="24"/>
          <w:szCs w:val="24"/>
        </w:rPr>
        <w:t xml:space="preserve">. </w:t>
      </w:r>
    </w:p>
    <w:p w14:paraId="261A5A48" w14:textId="77777777" w:rsidR="00A14079" w:rsidRPr="00FF7F12" w:rsidRDefault="00A14079" w:rsidP="00A14079">
      <w:pPr>
        <w:widowControl/>
        <w:wordWrap/>
        <w:autoSpaceDE/>
        <w:autoSpaceDN/>
        <w:snapToGrid w:val="0"/>
        <w:spacing w:after="0" w:line="360" w:lineRule="auto"/>
        <w:rPr>
          <w:rFonts w:ascii="Times New Roman" w:eastAsia="Malgun Gothic" w:hAnsi="Times New Roman" w:cs="Times New Roman"/>
          <w:kern w:val="24"/>
          <w:sz w:val="24"/>
        </w:rPr>
      </w:pPr>
    </w:p>
    <w:p w14:paraId="5C06559F" w14:textId="77777777" w:rsidR="00A14079" w:rsidRPr="00FF7F12" w:rsidRDefault="00A14079" w:rsidP="00A14079">
      <w:pPr>
        <w:snapToGrid w:val="0"/>
        <w:spacing w:after="0" w:line="360" w:lineRule="auto"/>
        <w:rPr>
          <w:rFonts w:ascii="Times New Roman" w:eastAsia="Malgun Gothic" w:hAnsi="Times New Roman" w:cs="Times New Roman"/>
          <w:b/>
          <w:bCs/>
          <w:sz w:val="24"/>
          <w:szCs w:val="24"/>
        </w:rPr>
      </w:pPr>
      <w:r w:rsidRPr="00FF7F12">
        <w:rPr>
          <w:rFonts w:ascii="Times New Roman" w:eastAsia="Malgun Gothic" w:hAnsi="Times New Roman" w:cs="Times New Roman"/>
          <w:b/>
          <w:bCs/>
          <w:kern w:val="24"/>
          <w:sz w:val="24"/>
        </w:rPr>
        <w:t>Extended Data Fig. 6: A</w:t>
      </w:r>
      <w:r w:rsidRPr="00FF7F12">
        <w:rPr>
          <w:rFonts w:ascii="Times New Roman" w:eastAsia="Malgun Gothic" w:hAnsi="Times New Roman" w:cs="Times New Roman"/>
          <w:b/>
          <w:kern w:val="24"/>
          <w:sz w:val="24"/>
          <w:szCs w:val="24"/>
        </w:rPr>
        <w:t xml:space="preserve">ctivation of BR signaling and biosynthesis genes in tomato root by SynCom and TCH3-2 treatment at 3 weeks post transplantation. </w:t>
      </w:r>
      <w:bookmarkEnd w:id="1"/>
      <w:r w:rsidRPr="00FF7F12">
        <w:rPr>
          <w:rFonts w:ascii="Times New Roman" w:hAnsi="Times New Roman" w:cs="Times New Roman"/>
          <w:kern w:val="24"/>
          <w:sz w:val="24"/>
          <w:szCs w:val="24"/>
        </w:rPr>
        <w:t xml:space="preserve">Gene expression involved in BR signaling and biosynthesis was compared in tomato roots by </w:t>
      </w:r>
      <w:r w:rsidRPr="00FF7F12">
        <w:rPr>
          <w:rFonts w:ascii="Times New Roman" w:hAnsi="Times New Roman" w:cs="Times New Roman"/>
          <w:kern w:val="24"/>
          <w:sz w:val="24"/>
          <w:szCs w:val="24"/>
        </w:rPr>
        <w:lastRenderedPageBreak/>
        <w:t xml:space="preserve">RT-qPCR. </w:t>
      </w:r>
      <w:r w:rsidRPr="00FF7F12">
        <w:rPr>
          <w:rFonts w:ascii="Times New Roman" w:hAnsi="Times New Roman" w:cs="Times New Roman"/>
          <w:i/>
          <w:kern w:val="24"/>
          <w:sz w:val="24"/>
          <w:szCs w:val="24"/>
        </w:rPr>
        <w:t>SlBRI1</w:t>
      </w:r>
      <w:r w:rsidRPr="00FF7F12">
        <w:rPr>
          <w:rFonts w:ascii="Times New Roman" w:hAnsi="Times New Roman" w:cs="Times New Roman"/>
          <w:kern w:val="24"/>
          <w:sz w:val="24"/>
          <w:szCs w:val="24"/>
        </w:rPr>
        <w:t xml:space="preserve">, brassinosteroid insensitive 1; </w:t>
      </w:r>
      <w:r w:rsidRPr="00FF7F12">
        <w:rPr>
          <w:rFonts w:ascii="Times New Roman" w:hAnsi="Times New Roman" w:cs="Times New Roman"/>
          <w:i/>
          <w:kern w:val="24"/>
          <w:sz w:val="24"/>
          <w:szCs w:val="24"/>
        </w:rPr>
        <w:t>SlBAK1</w:t>
      </w:r>
      <w:r w:rsidRPr="00FF7F12">
        <w:rPr>
          <w:rFonts w:ascii="Times New Roman" w:hAnsi="Times New Roman" w:cs="Times New Roman"/>
          <w:kern w:val="24"/>
          <w:sz w:val="24"/>
          <w:szCs w:val="24"/>
        </w:rPr>
        <w:t>, BRI1-associated receptor kinase1;</w:t>
      </w:r>
      <w:r w:rsidRPr="00FF7F12">
        <w:rPr>
          <w:rFonts w:ascii="Times New Roman" w:hAnsi="Times New Roman" w:cs="Times New Roman"/>
          <w:b/>
          <w:kern w:val="24"/>
          <w:sz w:val="24"/>
          <w:szCs w:val="24"/>
        </w:rPr>
        <w:t xml:space="preserve"> </w:t>
      </w:r>
      <w:r w:rsidRPr="00FF7F12">
        <w:rPr>
          <w:rFonts w:ascii="Times New Roman" w:eastAsia="Malgun Gothic" w:hAnsi="Times New Roman" w:cs="Times New Roman"/>
          <w:i/>
          <w:iCs/>
          <w:sz w:val="24"/>
          <w:szCs w:val="24"/>
        </w:rPr>
        <w:t xml:space="preserve">SlFDFT1, </w:t>
      </w:r>
      <w:r w:rsidRPr="00FF7F12">
        <w:rPr>
          <w:rFonts w:ascii="Times New Roman" w:eastAsia="Malgun Gothic" w:hAnsi="Times New Roman" w:cs="Times New Roman"/>
          <w:iCs/>
          <w:sz w:val="24"/>
          <w:szCs w:val="24"/>
        </w:rPr>
        <w:t>farnesyl-diphosphate farnesyltransferase;</w:t>
      </w:r>
      <w:r w:rsidRPr="00FF7F12">
        <w:rPr>
          <w:rFonts w:ascii="Times New Roman" w:eastAsia="Malgun Gothic" w:hAnsi="Times New Roman" w:cs="Times New Roman"/>
          <w:i/>
          <w:iCs/>
          <w:sz w:val="24"/>
          <w:szCs w:val="24"/>
        </w:rPr>
        <w:t xml:space="preserve"> SlSQLE, </w:t>
      </w:r>
      <w:r w:rsidRPr="00FF7F12">
        <w:rPr>
          <w:rFonts w:ascii="Times New Roman" w:eastAsia="Malgun Gothic" w:hAnsi="Times New Roman" w:cs="Times New Roman"/>
          <w:iCs/>
          <w:sz w:val="24"/>
          <w:szCs w:val="24"/>
        </w:rPr>
        <w:t xml:space="preserve">squalene monooxygenase; </w:t>
      </w:r>
      <w:r w:rsidRPr="00FF7F12">
        <w:rPr>
          <w:rFonts w:ascii="Times New Roman" w:eastAsia="Malgun Gothic" w:hAnsi="Times New Roman" w:cs="Times New Roman"/>
          <w:i/>
          <w:iCs/>
          <w:sz w:val="24"/>
          <w:szCs w:val="24"/>
        </w:rPr>
        <w:t xml:space="preserve">SlCPI1, </w:t>
      </w:r>
      <w:r w:rsidRPr="00FF7F12">
        <w:rPr>
          <w:rFonts w:ascii="Times New Roman" w:eastAsia="Malgun Gothic" w:hAnsi="Times New Roman" w:cs="Times New Roman"/>
          <w:sz w:val="24"/>
          <w:szCs w:val="24"/>
          <w:shd w:val="clear" w:color="auto" w:fill="FFFFFF"/>
        </w:rPr>
        <w:t xml:space="preserve">cycloeucalenol cycloisomerase; </w:t>
      </w:r>
      <w:r w:rsidRPr="00FF7F12">
        <w:rPr>
          <w:rFonts w:ascii="Times New Roman" w:eastAsia="Malgun Gothic" w:hAnsi="Times New Roman" w:cs="Times New Roman"/>
          <w:i/>
          <w:iCs/>
          <w:sz w:val="24"/>
          <w:szCs w:val="24"/>
        </w:rPr>
        <w:t>SlCYP51,</w:t>
      </w:r>
      <w:r w:rsidRPr="00FF7F12">
        <w:rPr>
          <w:rFonts w:ascii="Times New Roman" w:eastAsia="Malgun Gothic" w:hAnsi="Times New Roman" w:cs="Times New Roman"/>
          <w:iCs/>
          <w:sz w:val="24"/>
          <w:szCs w:val="24"/>
        </w:rPr>
        <w:t xml:space="preserve"> sterol 14alpha-demethylase; </w:t>
      </w:r>
      <w:r w:rsidRPr="00FF7F12">
        <w:rPr>
          <w:rFonts w:ascii="Times New Roman" w:eastAsia="Malgun Gothic" w:hAnsi="Times New Roman" w:cs="Times New Roman"/>
          <w:i/>
          <w:iCs/>
          <w:sz w:val="24"/>
          <w:szCs w:val="24"/>
        </w:rPr>
        <w:t xml:space="preserve">SlHYD2, </w:t>
      </w:r>
      <w:r w:rsidRPr="00FF7F12">
        <w:rPr>
          <w:rFonts w:ascii="Times New Roman" w:eastAsia="Malgun Gothic" w:hAnsi="Times New Roman" w:cs="Times New Roman"/>
          <w:iCs/>
          <w:sz w:val="24"/>
          <w:szCs w:val="24"/>
        </w:rPr>
        <w:t xml:space="preserve">Delta14-sterol reductase; </w:t>
      </w:r>
      <w:r w:rsidRPr="00FF7F12">
        <w:rPr>
          <w:rFonts w:ascii="Times New Roman" w:eastAsia="Malgun Gothic" w:hAnsi="Times New Roman" w:cs="Times New Roman"/>
          <w:i/>
          <w:iCs/>
          <w:sz w:val="24"/>
          <w:szCs w:val="24"/>
        </w:rPr>
        <w:t xml:space="preserve">SlSMO2, </w:t>
      </w:r>
      <w:r w:rsidRPr="00FF7F12">
        <w:rPr>
          <w:rFonts w:ascii="Times New Roman" w:eastAsia="Malgun Gothic" w:hAnsi="Times New Roman" w:cs="Times New Roman"/>
          <w:iCs/>
          <w:sz w:val="24"/>
          <w:szCs w:val="24"/>
        </w:rPr>
        <w:t xml:space="preserve">plant 4 alpha-monomethylsterol monooxygenase; </w:t>
      </w:r>
      <w:r w:rsidRPr="00FF7F12">
        <w:rPr>
          <w:rFonts w:ascii="Times New Roman" w:eastAsia="Malgun Gothic" w:hAnsi="Times New Roman" w:cs="Times New Roman"/>
          <w:i/>
          <w:iCs/>
          <w:sz w:val="24"/>
          <w:szCs w:val="24"/>
        </w:rPr>
        <w:t xml:space="preserve">DHCR7, </w:t>
      </w:r>
      <w:r w:rsidRPr="00FF7F12">
        <w:rPr>
          <w:rFonts w:ascii="Times New Roman" w:eastAsia="Malgun Gothic" w:hAnsi="Times New Roman" w:cs="Times New Roman"/>
          <w:iCs/>
          <w:sz w:val="24"/>
          <w:szCs w:val="24"/>
        </w:rPr>
        <w:t xml:space="preserve">7-dehydrocholesterol reductase, </w:t>
      </w:r>
      <w:r w:rsidRPr="00FF7F12">
        <w:rPr>
          <w:rFonts w:ascii="Times New Roman" w:eastAsia="Malgun Gothic" w:hAnsi="Times New Roman" w:cs="Times New Roman"/>
          <w:i/>
          <w:iCs/>
          <w:sz w:val="24"/>
          <w:szCs w:val="24"/>
        </w:rPr>
        <w:t xml:space="preserve">SlDWF1, </w:t>
      </w:r>
      <w:r w:rsidRPr="00FF7F12">
        <w:rPr>
          <w:rFonts w:ascii="Times New Roman" w:eastAsia="Malgun Gothic" w:hAnsi="Times New Roman" w:cs="Times New Roman"/>
          <w:iCs/>
          <w:sz w:val="24"/>
          <w:szCs w:val="24"/>
        </w:rPr>
        <w:t xml:space="preserve">delta24-sterol reductase; </w:t>
      </w:r>
      <w:r w:rsidRPr="00FF7F12">
        <w:rPr>
          <w:rFonts w:ascii="Times New Roman" w:eastAsia="Malgun Gothic" w:hAnsi="Times New Roman" w:cs="Times New Roman"/>
          <w:i/>
          <w:iCs/>
          <w:sz w:val="24"/>
          <w:szCs w:val="24"/>
        </w:rPr>
        <w:t xml:space="preserve">CYP710A11, </w:t>
      </w:r>
      <w:r w:rsidRPr="00FF7F12">
        <w:rPr>
          <w:rFonts w:ascii="Times New Roman" w:eastAsia="Malgun Gothic" w:hAnsi="Times New Roman" w:cs="Times New Roman"/>
          <w:iCs/>
          <w:sz w:val="24"/>
          <w:szCs w:val="24"/>
        </w:rPr>
        <w:t xml:space="preserve">sterol 22-desaturase; </w:t>
      </w:r>
      <w:r w:rsidRPr="00FF7F12">
        <w:rPr>
          <w:rFonts w:ascii="Times New Roman" w:eastAsia="Malgun Gothic" w:hAnsi="Times New Roman" w:cs="Times New Roman"/>
          <w:i/>
          <w:iCs/>
          <w:sz w:val="24"/>
          <w:szCs w:val="24"/>
        </w:rPr>
        <w:t xml:space="preserve">CYP90B3, </w:t>
      </w:r>
      <w:r w:rsidRPr="00FF7F12">
        <w:rPr>
          <w:rFonts w:ascii="Times New Roman" w:eastAsia="Malgun Gothic" w:hAnsi="Times New Roman" w:cs="Times New Roman"/>
          <w:sz w:val="24"/>
          <w:szCs w:val="24"/>
          <w:shd w:val="clear" w:color="auto" w:fill="FFFFFF"/>
        </w:rPr>
        <w:t xml:space="preserve">steroid 22S-hydroxylase, </w:t>
      </w:r>
      <w:r w:rsidRPr="00FF7F12">
        <w:rPr>
          <w:rFonts w:ascii="Times New Roman" w:eastAsia="Malgun Gothic" w:hAnsi="Times New Roman" w:cs="Times New Roman"/>
          <w:i/>
          <w:iCs/>
          <w:sz w:val="24"/>
          <w:szCs w:val="24"/>
        </w:rPr>
        <w:t xml:space="preserve">SlCPD, </w:t>
      </w:r>
      <w:r w:rsidRPr="00FF7F12">
        <w:rPr>
          <w:rFonts w:ascii="Times New Roman" w:eastAsia="Malgun Gothic" w:hAnsi="Times New Roman" w:cs="Times New Roman"/>
          <w:iCs/>
          <w:sz w:val="24"/>
          <w:szCs w:val="24"/>
        </w:rPr>
        <w:t xml:space="preserve">cytochrome P450 monooxygenase; </w:t>
      </w:r>
      <w:r w:rsidRPr="00FF7F12">
        <w:rPr>
          <w:rFonts w:ascii="Times New Roman" w:eastAsia="Malgun Gothic" w:hAnsi="Times New Roman" w:cs="Times New Roman"/>
          <w:i/>
          <w:iCs/>
          <w:sz w:val="24"/>
          <w:szCs w:val="24"/>
        </w:rPr>
        <w:t xml:space="preserve">SlDET2, </w:t>
      </w:r>
      <w:r w:rsidRPr="00FF7F12">
        <w:rPr>
          <w:rFonts w:ascii="Times New Roman" w:eastAsia="Malgun Gothic" w:hAnsi="Times New Roman" w:cs="Times New Roman"/>
          <w:iCs/>
          <w:sz w:val="24"/>
          <w:szCs w:val="24"/>
        </w:rPr>
        <w:t xml:space="preserve">steroid 5 alpha reductase; </w:t>
      </w:r>
      <w:r w:rsidRPr="00FF7F12">
        <w:rPr>
          <w:rFonts w:ascii="Times New Roman" w:eastAsia="Malgun Gothic" w:hAnsi="Times New Roman" w:cs="Times New Roman"/>
          <w:i/>
          <w:sz w:val="24"/>
          <w:szCs w:val="24"/>
        </w:rPr>
        <w:t>CYP85A1</w:t>
      </w:r>
      <w:r w:rsidRPr="00FF7F12">
        <w:rPr>
          <w:rFonts w:ascii="Times New Roman" w:eastAsia="Malgun Gothic" w:hAnsi="Times New Roman" w:cs="Times New Roman"/>
          <w:i/>
          <w:iCs/>
          <w:sz w:val="24"/>
          <w:szCs w:val="24"/>
        </w:rPr>
        <w:t xml:space="preserve">, </w:t>
      </w:r>
      <w:r w:rsidRPr="00FF7F12">
        <w:rPr>
          <w:rFonts w:ascii="Times New Roman" w:eastAsia="Malgun Gothic" w:hAnsi="Times New Roman" w:cs="Times New Roman"/>
          <w:iCs/>
          <w:sz w:val="24"/>
          <w:szCs w:val="24"/>
        </w:rPr>
        <w:t>brassinosteroid C-6 Oxidase</w:t>
      </w:r>
      <w:r w:rsidRPr="00FF7F12">
        <w:rPr>
          <w:rFonts w:ascii="Times New Roman" w:eastAsia="Malgun Gothic" w:hAnsi="Times New Roman" w:cs="Times New Roman"/>
          <w:i/>
          <w:iCs/>
          <w:sz w:val="24"/>
          <w:szCs w:val="24"/>
        </w:rPr>
        <w:t xml:space="preserve">; SlIAA8, </w:t>
      </w:r>
      <w:r w:rsidRPr="00FF7F12">
        <w:rPr>
          <w:rFonts w:ascii="Times New Roman" w:eastAsia="Malgun Gothic" w:hAnsi="Times New Roman" w:cs="Times New Roman"/>
          <w:sz w:val="24"/>
          <w:szCs w:val="24"/>
        </w:rPr>
        <w:t>indole-3-acetic acid (IAA)/Aux gene</w:t>
      </w:r>
      <w:r w:rsidRPr="00FF7F12">
        <w:rPr>
          <w:rFonts w:ascii="Times New Roman" w:eastAsia="Malgun Gothic" w:hAnsi="Times New Roman" w:cs="Times New Roman"/>
          <w:i/>
          <w:iCs/>
          <w:sz w:val="24"/>
          <w:szCs w:val="24"/>
        </w:rPr>
        <w:t xml:space="preserve">; SlGID1a, </w:t>
      </w:r>
      <w:r w:rsidRPr="00FF7F12">
        <w:rPr>
          <w:rFonts w:ascii="Times New Roman" w:eastAsia="Malgun Gothic" w:hAnsi="Times New Roman" w:cs="Times New Roman"/>
          <w:sz w:val="24"/>
          <w:szCs w:val="24"/>
        </w:rPr>
        <w:t>GIBBERELLIN INSENSITIVE DWARF1 A gene.</w:t>
      </w:r>
      <w:r w:rsidRPr="00FF7F12">
        <w:rPr>
          <w:rFonts w:ascii="Times New Roman" w:eastAsia="Malgun Gothic" w:hAnsi="Times New Roman" w:cs="Times New Roman"/>
          <w:i/>
          <w:iCs/>
          <w:sz w:val="24"/>
          <w:szCs w:val="24"/>
        </w:rPr>
        <w:t xml:space="preserve"> </w:t>
      </w:r>
      <w:r w:rsidRPr="00FF7F12">
        <w:rPr>
          <w:rFonts w:ascii="Times New Roman" w:hAnsi="Times New Roman" w:cs="Times New Roman"/>
          <w:sz w:val="24"/>
          <w:szCs w:val="24"/>
        </w:rPr>
        <w:t xml:space="preserve">C, control; T, TCH3-2; S, SynCom; ST, SynCom + TCH3-2. Different letters on the box plot represent significant difference among means of each treatment by ANOVA and Tukey’s HSD </w:t>
      </w:r>
      <w:r w:rsidRPr="00FF7F12">
        <w:rPr>
          <w:rFonts w:ascii="Times New Roman" w:hAnsi="Times New Roman" w:cs="Times New Roman"/>
          <w:i/>
          <w:sz w:val="24"/>
          <w:szCs w:val="24"/>
        </w:rPr>
        <w:t>post hoc</w:t>
      </w:r>
      <w:r w:rsidRPr="00FF7F12">
        <w:rPr>
          <w:rFonts w:ascii="Times New Roman" w:hAnsi="Times New Roman" w:cs="Times New Roman"/>
          <w:sz w:val="24"/>
          <w:szCs w:val="24"/>
        </w:rPr>
        <w:t xml:space="preserve"> test (</w:t>
      </w:r>
      <w:r w:rsidRPr="00FF7F12">
        <w:rPr>
          <w:rFonts w:ascii="Times New Roman" w:hAnsi="Times New Roman" w:cs="Times New Roman"/>
          <w:i/>
          <w:sz w:val="24"/>
          <w:szCs w:val="24"/>
        </w:rPr>
        <w:t>P</w:t>
      </w:r>
      <w:r w:rsidRPr="00FF7F12">
        <w:rPr>
          <w:rFonts w:ascii="Times New Roman" w:hAnsi="Times New Roman" w:cs="Times New Roman"/>
          <w:sz w:val="24"/>
          <w:szCs w:val="24"/>
        </w:rPr>
        <w:t>&lt;0.05)</w:t>
      </w:r>
      <w:r w:rsidRPr="00FF7F12">
        <w:rPr>
          <w:rFonts w:ascii="Times New Roman" w:eastAsia="Malgun Gothic" w:hAnsi="Times New Roman" w:cs="Times New Roman"/>
          <w:sz w:val="24"/>
          <w:szCs w:val="24"/>
        </w:rPr>
        <w:t xml:space="preserve"> (</w:t>
      </w:r>
      <w:r w:rsidRPr="00FF7F12">
        <w:rPr>
          <w:rFonts w:ascii="Times New Roman" w:eastAsia="Malgun Gothic" w:hAnsi="Times New Roman" w:cs="Times New Roman"/>
          <w:i/>
          <w:sz w:val="24"/>
          <w:szCs w:val="24"/>
        </w:rPr>
        <w:t>n</w:t>
      </w:r>
      <w:r w:rsidRPr="00FF7F12">
        <w:rPr>
          <w:rFonts w:ascii="Times New Roman" w:eastAsia="Malgun Gothic" w:hAnsi="Times New Roman" w:cs="Times New Roman"/>
          <w:sz w:val="24"/>
          <w:szCs w:val="24"/>
        </w:rPr>
        <w:t xml:space="preserve"> = 3 samples, triplicated).</w:t>
      </w:r>
    </w:p>
    <w:p w14:paraId="1B35BAD5" w14:textId="77777777" w:rsidR="004E780C" w:rsidRDefault="004E780C"/>
    <w:sectPr w:rsidR="004E780C" w:rsidSect="00A14079">
      <w:footerReference w:type="default" r:id="rId4"/>
      <w:pgSz w:w="11907" w:h="16840" w:code="9"/>
      <w:pgMar w:top="1985" w:right="1701" w:bottom="1701" w:left="1701"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0346066"/>
      <w:docPartObj>
        <w:docPartGallery w:val="Page Numbers (Bottom of Page)"/>
        <w:docPartUnique/>
      </w:docPartObj>
    </w:sdtPr>
    <w:sdtContent>
      <w:p w14:paraId="7A0F89F4" w14:textId="77777777" w:rsidR="00A14079" w:rsidRDefault="00A14079">
        <w:pPr>
          <w:pStyle w:val="Footer"/>
          <w:jc w:val="center"/>
        </w:pPr>
        <w:r>
          <w:fldChar w:fldCharType="begin"/>
        </w:r>
        <w:r>
          <w:instrText>PAGE   \* MERGEFORMAT</w:instrText>
        </w:r>
        <w:r>
          <w:fldChar w:fldCharType="separate"/>
        </w:r>
        <w:r w:rsidRPr="002A430B">
          <w:rPr>
            <w:noProof/>
            <w:lang w:val="ko-KR"/>
          </w:rPr>
          <w:t>14</w:t>
        </w:r>
        <w:r>
          <w:fldChar w:fldCharType="end"/>
        </w:r>
      </w:p>
    </w:sdtContent>
  </w:sdt>
  <w:p w14:paraId="412C43A3" w14:textId="77777777" w:rsidR="00A14079" w:rsidRDefault="00A1407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079"/>
    <w:rsid w:val="000B601B"/>
    <w:rsid w:val="002978F5"/>
    <w:rsid w:val="003852CF"/>
    <w:rsid w:val="004E780C"/>
    <w:rsid w:val="00A14079"/>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A52AE"/>
  <w15:chartTrackingRefBased/>
  <w15:docId w15:val="{E2C8786E-96C8-48D8-AC75-16280EC77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079"/>
    <w:pPr>
      <w:widowControl w:val="0"/>
      <w:wordWrap w:val="0"/>
      <w:autoSpaceDE w:val="0"/>
      <w:autoSpaceDN w:val="0"/>
      <w:spacing w:line="259" w:lineRule="auto"/>
      <w:jc w:val="both"/>
    </w:pPr>
    <w:rPr>
      <w:rFonts w:eastAsiaTheme="minorEastAsia"/>
      <w:sz w:val="20"/>
      <w:szCs w:val="22"/>
      <w:lang w:eastAsia="ko-KR"/>
      <w14:ligatures w14:val="none"/>
    </w:rPr>
  </w:style>
  <w:style w:type="paragraph" w:styleId="Heading1">
    <w:name w:val="heading 1"/>
    <w:basedOn w:val="Normal"/>
    <w:next w:val="Normal"/>
    <w:link w:val="Heading1Char"/>
    <w:uiPriority w:val="9"/>
    <w:qFormat/>
    <w:rsid w:val="00A14079"/>
    <w:pPr>
      <w:keepNext/>
      <w:keepLines/>
      <w:widowControl/>
      <w:wordWrap/>
      <w:autoSpaceDE/>
      <w:autoSpaceDN/>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14079"/>
    <w:pPr>
      <w:keepNext/>
      <w:keepLines/>
      <w:widowControl/>
      <w:wordWrap/>
      <w:autoSpaceDE/>
      <w:autoSpaceDN/>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14079"/>
    <w:pPr>
      <w:keepNext/>
      <w:keepLines/>
      <w:widowControl/>
      <w:wordWrap/>
      <w:autoSpaceDE/>
      <w:autoSpaceDN/>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14079"/>
    <w:pPr>
      <w:keepNext/>
      <w:keepLines/>
      <w:widowControl/>
      <w:wordWrap/>
      <w:autoSpaceDE/>
      <w:autoSpaceDN/>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A14079"/>
    <w:pPr>
      <w:keepNext/>
      <w:keepLines/>
      <w:widowControl/>
      <w:wordWrap/>
      <w:autoSpaceDE/>
      <w:autoSpaceDN/>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A14079"/>
    <w:pPr>
      <w:keepNext/>
      <w:keepLines/>
      <w:widowControl/>
      <w:wordWrap/>
      <w:autoSpaceDE/>
      <w:autoSpaceDN/>
      <w:spacing w:before="40" w:after="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A14079"/>
    <w:pPr>
      <w:keepNext/>
      <w:keepLines/>
      <w:widowControl/>
      <w:wordWrap/>
      <w:autoSpaceDE/>
      <w:autoSpaceDN/>
      <w:spacing w:before="40" w:after="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A14079"/>
    <w:pPr>
      <w:keepNext/>
      <w:keepLines/>
      <w:widowControl/>
      <w:wordWrap/>
      <w:autoSpaceDE/>
      <w:autoSpaceDN/>
      <w:spacing w:after="0"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A14079"/>
    <w:pPr>
      <w:keepNext/>
      <w:keepLines/>
      <w:widowControl/>
      <w:wordWrap/>
      <w:autoSpaceDE/>
      <w:autoSpaceDN/>
      <w:spacing w:after="0"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0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40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40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40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40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40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0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0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079"/>
    <w:rPr>
      <w:rFonts w:eastAsiaTheme="majorEastAsia" w:cstheme="majorBidi"/>
      <w:color w:val="272727" w:themeColor="text1" w:themeTint="D8"/>
    </w:rPr>
  </w:style>
  <w:style w:type="paragraph" w:styleId="Title">
    <w:name w:val="Title"/>
    <w:basedOn w:val="Normal"/>
    <w:next w:val="Normal"/>
    <w:link w:val="TitleChar"/>
    <w:uiPriority w:val="10"/>
    <w:qFormat/>
    <w:rsid w:val="00A14079"/>
    <w:pPr>
      <w:widowControl/>
      <w:wordWrap/>
      <w:autoSpaceDE/>
      <w:autoSpaceDN/>
      <w:spacing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140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079"/>
    <w:pPr>
      <w:widowControl/>
      <w:numPr>
        <w:ilvl w:val="1"/>
      </w:numPr>
      <w:wordWrap/>
      <w:autoSpaceDE/>
      <w:autoSpaceDN/>
      <w:spacing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A140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079"/>
    <w:pPr>
      <w:widowControl/>
      <w:wordWrap/>
      <w:autoSpaceDE/>
      <w:autoSpaceDN/>
      <w:spacing w:before="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A14079"/>
    <w:rPr>
      <w:i/>
      <w:iCs/>
      <w:color w:val="404040" w:themeColor="text1" w:themeTint="BF"/>
    </w:rPr>
  </w:style>
  <w:style w:type="paragraph" w:styleId="ListParagraph">
    <w:name w:val="List Paragraph"/>
    <w:basedOn w:val="Normal"/>
    <w:uiPriority w:val="34"/>
    <w:qFormat/>
    <w:rsid w:val="00A14079"/>
    <w:pPr>
      <w:widowControl/>
      <w:wordWrap/>
      <w:autoSpaceDE/>
      <w:autoSpaceDN/>
      <w:spacing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A14079"/>
    <w:rPr>
      <w:i/>
      <w:iCs/>
      <w:color w:val="0F4761" w:themeColor="accent1" w:themeShade="BF"/>
    </w:rPr>
  </w:style>
  <w:style w:type="paragraph" w:styleId="IntenseQuote">
    <w:name w:val="Intense Quote"/>
    <w:basedOn w:val="Normal"/>
    <w:next w:val="Normal"/>
    <w:link w:val="IntenseQuoteChar"/>
    <w:uiPriority w:val="30"/>
    <w:qFormat/>
    <w:rsid w:val="00A14079"/>
    <w:pPr>
      <w:widowControl/>
      <w:pBdr>
        <w:top w:val="single" w:sz="4" w:space="10" w:color="0F4761" w:themeColor="accent1" w:themeShade="BF"/>
        <w:bottom w:val="single" w:sz="4" w:space="10" w:color="0F4761" w:themeColor="accent1" w:themeShade="BF"/>
      </w:pBdr>
      <w:wordWrap/>
      <w:autoSpaceDE/>
      <w:autoSpaceDN/>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A14079"/>
    <w:rPr>
      <w:i/>
      <w:iCs/>
      <w:color w:val="0F4761" w:themeColor="accent1" w:themeShade="BF"/>
    </w:rPr>
  </w:style>
  <w:style w:type="character" w:styleId="IntenseReference">
    <w:name w:val="Intense Reference"/>
    <w:basedOn w:val="DefaultParagraphFont"/>
    <w:uiPriority w:val="32"/>
    <w:qFormat/>
    <w:rsid w:val="00A14079"/>
    <w:rPr>
      <w:b/>
      <w:bCs/>
      <w:smallCaps/>
      <w:color w:val="0F4761" w:themeColor="accent1" w:themeShade="BF"/>
      <w:spacing w:val="5"/>
    </w:rPr>
  </w:style>
  <w:style w:type="paragraph" w:styleId="Footer">
    <w:name w:val="footer"/>
    <w:basedOn w:val="Normal"/>
    <w:link w:val="FooterChar"/>
    <w:uiPriority w:val="99"/>
    <w:unhideWhenUsed/>
    <w:rsid w:val="00A14079"/>
    <w:pPr>
      <w:tabs>
        <w:tab w:val="center" w:pos="4513"/>
        <w:tab w:val="right" w:pos="9026"/>
      </w:tabs>
      <w:snapToGrid w:val="0"/>
    </w:pPr>
  </w:style>
  <w:style w:type="character" w:customStyle="1" w:styleId="FooterChar">
    <w:name w:val="Footer Char"/>
    <w:basedOn w:val="DefaultParagraphFont"/>
    <w:link w:val="Footer"/>
    <w:uiPriority w:val="99"/>
    <w:rsid w:val="00A14079"/>
    <w:rPr>
      <w:rFonts w:eastAsiaTheme="minorEastAsia"/>
      <w:sz w:val="20"/>
      <w:szCs w:val="22"/>
      <w:lang w:eastAsia="ko-KR"/>
      <w14:ligatures w14:val="none"/>
    </w:rPr>
  </w:style>
  <w:style w:type="paragraph" w:styleId="NormalWeb">
    <w:name w:val="Normal (Web)"/>
    <w:basedOn w:val="Normal"/>
    <w:uiPriority w:val="99"/>
    <w:unhideWhenUsed/>
    <w:rsid w:val="00A14079"/>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LineNumber">
    <w:name w:val="line number"/>
    <w:basedOn w:val="DefaultParagraphFont"/>
    <w:uiPriority w:val="99"/>
    <w:semiHidden/>
    <w:unhideWhenUsed/>
    <w:rsid w:val="00A14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808</Words>
  <Characters>4663</Characters>
  <Application>Microsoft Office Word</Application>
  <DocSecurity>0</DocSecurity>
  <Lines>75</Lines>
  <Paragraphs>7</Paragraphs>
  <ScaleCrop>false</ScaleCrop>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2026-01-19T07:10:00Z</dcterms:created>
  <dcterms:modified xsi:type="dcterms:W3CDTF">2026-01-19T07:18:00Z</dcterms:modified>
</cp:coreProperties>
</file>