
<file path=[Content_Types].xml><?xml version="1.0" encoding="utf-8"?>
<Types xmlns="http://schemas.openxmlformats.org/package/2006/content-types"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5AB" w:rsidRDefault="002835AB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835AB" w:rsidRDefault="002835AB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71F41" w:rsidRDefault="00234D65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SUPPLEMENTAL DATA</w:t>
      </w:r>
    </w:p>
    <w:p w:rsidR="00B0401F" w:rsidRDefault="00312672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126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Study setting </w:t>
      </w:r>
    </w:p>
    <w:p w:rsidR="008443FD" w:rsidRDefault="00971F41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this</w:t>
      </w:r>
      <w:r w:rsidR="002835AB" w:rsidRPr="001855B6">
        <w:rPr>
          <w:rFonts w:ascii="Times New Roman" w:hAnsi="Times New Roman" w:cs="Times New Roman"/>
          <w:sz w:val="24"/>
          <w:szCs w:val="24"/>
          <w:lang w:val="en-US"/>
        </w:rPr>
        <w:t xml:space="preserve"> prospective study</w:t>
      </w:r>
      <w:r w:rsidR="002835AB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835AB" w:rsidRPr="009A06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we included </w:t>
      </w:r>
      <w:r w:rsidR="002835AB">
        <w:rPr>
          <w:rFonts w:ascii="Times New Roman" w:hAnsi="Times New Roman" w:cs="Times New Roman"/>
          <w:sz w:val="24"/>
          <w:szCs w:val="24"/>
          <w:lang w:val="en-US"/>
        </w:rPr>
        <w:t xml:space="preserve">children with SCD and fever </w:t>
      </w:r>
      <w:r>
        <w:rPr>
          <w:rFonts w:ascii="Times New Roman" w:hAnsi="Times New Roman" w:cs="Times New Roman"/>
          <w:sz w:val="24"/>
          <w:szCs w:val="24"/>
          <w:lang w:val="en-US"/>
        </w:rPr>
        <w:t>at</w:t>
      </w:r>
      <w:r w:rsidR="002835AB" w:rsidRPr="001721DD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2835AB" w:rsidRPr="00AC7CAC">
        <w:rPr>
          <w:rFonts w:ascii="Times New Roman" w:hAnsi="Times New Roman" w:cs="Times New Roman"/>
          <w:sz w:val="24"/>
          <w:szCs w:val="24"/>
          <w:lang w:val="en-US"/>
        </w:rPr>
        <w:t xml:space="preserve"> Hospital General Universitario Gregorio Marañón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C7CAC">
        <w:rPr>
          <w:rFonts w:ascii="Times New Roman" w:hAnsi="Times New Roman" w:cs="Times New Roman"/>
          <w:sz w:val="24"/>
          <w:szCs w:val="24"/>
          <w:lang w:val="en-US"/>
        </w:rPr>
        <w:t>(HGUGM)</w:t>
      </w:r>
      <w:r w:rsidR="002835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5AB" w:rsidRPr="00AC7CAC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2835AB">
        <w:rPr>
          <w:rFonts w:ascii="Times New Roman" w:hAnsi="Times New Roman" w:cs="Times New Roman"/>
          <w:sz w:val="24"/>
          <w:szCs w:val="24"/>
          <w:lang w:val="en-US"/>
        </w:rPr>
        <w:t>Madrid</w:t>
      </w:r>
      <w:r>
        <w:rPr>
          <w:rFonts w:ascii="Times New Roman" w:hAnsi="Times New Roman" w:cs="Times New Roman"/>
          <w:sz w:val="24"/>
          <w:szCs w:val="24"/>
          <w:lang w:val="en-US"/>
        </w:rPr>
        <w:t>, Spain</w:t>
      </w:r>
      <w:r w:rsidR="002835AB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835AB" w:rsidRPr="005329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HGUGM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35AB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a tertiary hospital with 120 pediatric beds and </w:t>
      </w:r>
      <w:r w:rsidR="00B0401F" w:rsidRPr="00AC7CAC">
        <w:rPr>
          <w:rFonts w:ascii="Times New Roman" w:hAnsi="Times New Roman" w:cs="Times New Roman"/>
          <w:sz w:val="24"/>
          <w:szCs w:val="24"/>
          <w:lang w:val="en-US"/>
        </w:rPr>
        <w:t>around 7000 pediatric inpatient admissions per year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. HGUGM is </w:t>
      </w:r>
      <w:r w:rsidR="00B0401F" w:rsidRPr="00AC7CAC">
        <w:rPr>
          <w:rFonts w:ascii="Times New Roman" w:hAnsi="Times New Roman" w:cs="Times New Roman"/>
          <w:sz w:val="24"/>
          <w:szCs w:val="24"/>
          <w:lang w:val="en-US"/>
        </w:rPr>
        <w:t>a refere</w:t>
      </w:r>
      <w:r w:rsidR="004E6E21">
        <w:rPr>
          <w:rFonts w:ascii="Times New Roman" w:hAnsi="Times New Roman" w:cs="Times New Roman"/>
          <w:sz w:val="24"/>
          <w:szCs w:val="24"/>
          <w:lang w:val="en-US"/>
        </w:rPr>
        <w:t>nce center for children with sickle cell disease (SCD)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 in Spain, receiving all patients </w:t>
      </w:r>
      <w:r w:rsidR="00B0401F" w:rsidRPr="005F3C9C">
        <w:rPr>
          <w:rFonts w:ascii="Times New Roman" w:hAnsi="Times New Roman" w:cs="Times New Roman"/>
          <w:sz w:val="24"/>
          <w:szCs w:val="24"/>
          <w:lang w:val="en-US"/>
        </w:rPr>
        <w:t>diagnosed with hemoglobinopathies by newborn screening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401F" w:rsidRPr="00681749">
        <w:rPr>
          <w:rFonts w:ascii="Times New Roman" w:hAnsi="Times New Roman" w:cs="Times New Roman"/>
          <w:sz w:val="24"/>
          <w:szCs w:val="24"/>
          <w:lang w:val="en-US"/>
        </w:rPr>
        <w:t>in the region (Autonomous Region of Madrid), wi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th </w:t>
      </w:r>
      <w:r w:rsidR="00B0401F" w:rsidRPr="007F491B">
        <w:rPr>
          <w:rFonts w:ascii="Times New Roman" w:hAnsi="Times New Roman" w:cs="Times New Roman"/>
          <w:sz w:val="24"/>
          <w:szCs w:val="24"/>
          <w:lang w:val="en-US"/>
        </w:rPr>
        <w:t xml:space="preserve">about 300 </w:t>
      </w:r>
      <w:r w:rsidR="00B0401F" w:rsidRPr="000D027A">
        <w:rPr>
          <w:rFonts w:ascii="Times New Roman" w:hAnsi="Times New Roman" w:cs="Times New Roman"/>
          <w:sz w:val="24"/>
          <w:szCs w:val="24"/>
          <w:lang w:val="en-US"/>
        </w:rPr>
        <w:t>SCD pediatric patients under follow-up.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Families 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of these children 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>are tra</w:t>
      </w:r>
      <w:r w:rsidR="004E6E21">
        <w:rPr>
          <w:rFonts w:ascii="Times New Roman" w:hAnsi="Times New Roman" w:cs="Times New Roman"/>
          <w:sz w:val="24"/>
          <w:szCs w:val="24"/>
          <w:lang w:val="en-US"/>
        </w:rPr>
        <w:t xml:space="preserve">ined to go to the </w:t>
      </w:r>
      <w:r w:rsidR="004F205D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4E6E21">
        <w:rPr>
          <w:rFonts w:ascii="Times New Roman" w:hAnsi="Times New Roman" w:cs="Times New Roman"/>
          <w:sz w:val="24"/>
          <w:szCs w:val="24"/>
          <w:lang w:val="en-US"/>
        </w:rPr>
        <w:t xml:space="preserve">mergency </w:t>
      </w:r>
      <w:r w:rsidR="004F205D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4E6E21">
        <w:rPr>
          <w:rFonts w:ascii="Times New Roman" w:hAnsi="Times New Roman" w:cs="Times New Roman"/>
          <w:sz w:val="24"/>
          <w:szCs w:val="24"/>
          <w:lang w:val="en-US"/>
        </w:rPr>
        <w:t>oom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 as soon as possible if the patient develops a temperature of 38.0ºC or higher. W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>hen th</w:t>
      </w:r>
      <w:r w:rsidR="004E6E21">
        <w:rPr>
          <w:rFonts w:ascii="Times New Roman" w:hAnsi="Times New Roman" w:cs="Times New Roman"/>
          <w:sz w:val="24"/>
          <w:szCs w:val="24"/>
          <w:lang w:val="en-US"/>
        </w:rPr>
        <w:t>ey are evaluated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, blood 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>tests (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including 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>blood culture)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 are usually carried out and a first dose of a thir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>d-generation cephalosporin (most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 frequently ceftriaxone) is administered. The decision of whether a patient can be treated as outpatient or should be admitted to the hospital is made </w:t>
      </w:r>
      <w:r w:rsidR="00B0401F" w:rsidRPr="001721DD">
        <w:rPr>
          <w:rFonts w:ascii="Times New Roman" w:hAnsi="Times New Roman" w:cs="Times New Roman"/>
          <w:sz w:val="24"/>
          <w:szCs w:val="24"/>
          <w:lang w:val="en-US"/>
        </w:rPr>
        <w:t>following the guidelines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 of the Spanish Society of Pediatric Hematology and Oncology</w:t>
      </w:r>
      <w:r w:rsidR="004E6E21">
        <w:rPr>
          <w:rFonts w:ascii="Times New Roman" w:hAnsi="Times New Roman" w:cs="Times New Roman"/>
          <w:sz w:val="24"/>
          <w:szCs w:val="24"/>
          <w:lang w:val="en-US"/>
        </w:rPr>
        <w:t xml:space="preserve"> (SEHOP)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>The admission criteria are the following: toxic appearance, temper</w:t>
      </w:r>
      <w:r w:rsidR="00B0401F">
        <w:rPr>
          <w:rFonts w:ascii="Times New Roman" w:hAnsi="Times New Roman" w:cs="Times New Roman"/>
          <w:sz w:val="24"/>
          <w:szCs w:val="24"/>
          <w:lang w:val="en-US"/>
        </w:rPr>
        <w:t xml:space="preserve">ature above 40.0ºC, lung </w:t>
      </w:r>
      <w:r w:rsidR="00B0401F" w:rsidRPr="00C934EC">
        <w:rPr>
          <w:rFonts w:ascii="Times New Roman" w:hAnsi="Times New Roman" w:cs="Times New Roman"/>
          <w:sz w:val="24"/>
          <w:szCs w:val="24"/>
          <w:lang w:val="en-US"/>
        </w:rPr>
        <w:t>infiltrates on chest X-ray,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E6E21">
        <w:rPr>
          <w:rFonts w:ascii="Times New Roman" w:hAnsi="Times New Roman" w:cs="Times New Roman"/>
          <w:sz w:val="24"/>
          <w:szCs w:val="24"/>
          <w:lang w:val="en-US"/>
        </w:rPr>
        <w:t>hypoxemia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 (&lt; 92%), white blood count (WBC) &gt; 30 x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9</m:t>
            </m:r>
          </m:sup>
        </m:sSup>
      </m:oMath>
      <w:r w:rsidR="00B0401F" w:rsidRPr="002D5F3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/L or &lt; 5 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x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9</m:t>
            </m:r>
          </m:sup>
        </m:sSup>
      </m:oMath>
      <w:r w:rsidR="00B0401F" w:rsidRPr="002D5F3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/L, platelets &lt; 100 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x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9</m:t>
            </m:r>
          </m:sup>
        </m:sSup>
      </m:oMath>
      <w:r w:rsidR="00B0401F" w:rsidRPr="002D5F3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/L, history of </w:t>
      </w:r>
      <w:r w:rsidR="00B0401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previous sepsis or splenectomy. </w:t>
      </w:r>
      <w:r w:rsidR="00B0401F" w:rsidRPr="00A27C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Patients treated as inpatients </w:t>
      </w:r>
      <w:r w:rsidR="00B0401F" w:rsidRPr="00A27C62">
        <w:rPr>
          <w:rFonts w:ascii="Times New Roman" w:hAnsi="Times New Roman" w:cs="Times New Roman"/>
          <w:sz w:val="24"/>
          <w:szCs w:val="24"/>
          <w:lang w:val="en-US"/>
        </w:rPr>
        <w:t xml:space="preserve">usually continue antibiotic treatment with intravenous cefotaxime until blood cultures </w:t>
      </w:r>
      <w:r w:rsidR="00F95D1C">
        <w:rPr>
          <w:rFonts w:ascii="Times New Roman" w:hAnsi="Times New Roman" w:cs="Times New Roman"/>
          <w:sz w:val="24"/>
          <w:szCs w:val="24"/>
          <w:lang w:val="en-US"/>
        </w:rPr>
        <w:t xml:space="preserve">remain </w:t>
      </w:r>
      <w:r w:rsidR="00B0401F" w:rsidRPr="00681749">
        <w:rPr>
          <w:rFonts w:ascii="Times New Roman" w:hAnsi="Times New Roman" w:cs="Times New Roman"/>
          <w:sz w:val="24"/>
          <w:szCs w:val="24"/>
          <w:lang w:val="en-US"/>
        </w:rPr>
        <w:t>negative for at least 48-72</w:t>
      </w:r>
      <w:r w:rsidR="00B0401F" w:rsidRPr="00A27C62">
        <w:rPr>
          <w:rFonts w:ascii="Times New Roman" w:hAnsi="Times New Roman" w:cs="Times New Roman"/>
          <w:sz w:val="24"/>
          <w:szCs w:val="24"/>
          <w:lang w:val="en-US"/>
        </w:rPr>
        <w:t xml:space="preserve"> hours.</w:t>
      </w:r>
      <w:r w:rsidR="00B0401F" w:rsidRPr="002D5F3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401F">
        <w:rPr>
          <w:rFonts w:ascii="Times New Roman" w:eastAsiaTheme="minorEastAsia" w:hAnsi="Times New Roman" w:cs="Times New Roman"/>
          <w:sz w:val="24"/>
          <w:szCs w:val="24"/>
          <w:lang w:val="en-US"/>
        </w:rPr>
        <w:t>Besides, i</w:t>
      </w:r>
      <w:r w:rsidR="00B0401F" w:rsidRPr="002D5F3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n case of pneumonia, oral azithromycin is added to the treatment. </w:t>
      </w:r>
      <w:r w:rsidR="00B0401F" w:rsidRPr="00A27C62">
        <w:rPr>
          <w:rFonts w:ascii="Times New Roman" w:eastAsiaTheme="minorEastAsia" w:hAnsi="Times New Roman" w:cs="Times New Roman"/>
          <w:sz w:val="24"/>
          <w:szCs w:val="24"/>
          <w:lang w:val="en-US"/>
        </w:rPr>
        <w:t>Viral tests are more frequently performed</w:t>
      </w:r>
      <w:r w:rsidR="00B0401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during</w:t>
      </w:r>
      <w:r w:rsidR="00B0401F" w:rsidRPr="00A27C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epidemic season</w:t>
      </w:r>
      <w:r w:rsidR="00B0401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o</w:t>
      </w:r>
      <w:r w:rsidR="00B0401F" w:rsidRPr="002D5F3E">
        <w:rPr>
          <w:rFonts w:ascii="Times New Roman" w:eastAsiaTheme="minorEastAsia" w:hAnsi="Times New Roman" w:cs="Times New Roman"/>
          <w:sz w:val="24"/>
          <w:szCs w:val="24"/>
          <w:lang w:val="en-US"/>
        </w:rPr>
        <w:t>ral oseltamivir is administered to patients diagnosed with influenza</w:t>
      </w:r>
      <w:r w:rsidR="00B0401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infection</w:t>
      </w:r>
      <w:r w:rsidR="00B0401F" w:rsidRPr="002D5F3E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4E6E21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2A5EC4">
        <w:rPr>
          <w:rFonts w:ascii="Times New Roman" w:eastAsiaTheme="minorEastAsia" w:hAnsi="Times New Roman" w:cs="Times New Roman"/>
          <w:sz w:val="24"/>
          <w:szCs w:val="24"/>
          <w:lang w:val="en-US"/>
        </w:rPr>
        <w:t>I</w:t>
      </w:r>
      <w:r w:rsidR="004E6E21">
        <w:rPr>
          <w:rFonts w:ascii="Times New Roman" w:eastAsiaTheme="minorEastAsia" w:hAnsi="Times New Roman" w:cs="Times New Roman"/>
          <w:sz w:val="24"/>
          <w:szCs w:val="24"/>
          <w:lang w:val="en-US"/>
        </w:rPr>
        <w:t>n addition to the</w:t>
      </w:r>
      <w:r w:rsidR="008443FD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usual</w:t>
      </w:r>
      <w:r w:rsidR="004E6E21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376D5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diagnostic </w:t>
      </w:r>
      <w:r w:rsidR="004E6E21">
        <w:rPr>
          <w:rFonts w:ascii="Times New Roman" w:eastAsiaTheme="minorEastAsia" w:hAnsi="Times New Roman" w:cs="Times New Roman"/>
          <w:sz w:val="24"/>
          <w:szCs w:val="24"/>
          <w:lang w:val="en-US"/>
        </w:rPr>
        <w:t>test</w:t>
      </w:r>
      <w:r w:rsidR="00376D54"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  <w:r w:rsidR="002A5EC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a </w:t>
      </w:r>
      <w:r w:rsidR="002A5EC4" w:rsidRPr="00F20B31">
        <w:rPr>
          <w:rFonts w:ascii="Times New Roman" w:hAnsi="Times New Roman" w:cs="Times New Roman"/>
          <w:sz w:val="24"/>
          <w:szCs w:val="24"/>
          <w:lang w:val="en-US"/>
        </w:rPr>
        <w:t xml:space="preserve">nasopharyngeal </w:t>
      </w:r>
      <w:r w:rsidR="002A5EC4">
        <w:rPr>
          <w:rFonts w:ascii="Times New Roman" w:eastAsiaTheme="minorEastAsia" w:hAnsi="Times New Roman" w:cs="Times New Roman"/>
          <w:sz w:val="24"/>
          <w:szCs w:val="24"/>
          <w:lang w:val="en-US"/>
        </w:rPr>
        <w:t>sample was collected</w:t>
      </w:r>
      <w:r w:rsidR="00F95D1C" w:rsidRPr="00F95D1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F95D1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from all </w:t>
      </w:r>
      <w:r w:rsidR="00F95D1C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>patients included in the study</w:t>
      </w:r>
      <w:r w:rsidR="002A5EC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2A5EC4" w:rsidRPr="00794C9D">
        <w:rPr>
          <w:rFonts w:ascii="Times New Roman" w:hAnsi="Times New Roman" w:cs="Times New Roman"/>
          <w:sz w:val="24"/>
          <w:szCs w:val="24"/>
          <w:lang w:val="en-US"/>
        </w:rPr>
        <w:t>for viral detection by a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A5EC4" w:rsidRPr="00794C9D">
        <w:rPr>
          <w:rFonts w:ascii="Times New Roman" w:hAnsi="Times New Roman" w:cs="Times New Roman"/>
          <w:sz w:val="24"/>
          <w:szCs w:val="24"/>
          <w:lang w:val="en-US"/>
        </w:rPr>
        <w:t>multiplex</w:t>
      </w:r>
      <w:r w:rsidR="002A5EC4">
        <w:rPr>
          <w:rFonts w:ascii="Times New Roman" w:hAnsi="Times New Roman" w:cs="Times New Roman"/>
          <w:sz w:val="24"/>
          <w:szCs w:val="24"/>
          <w:lang w:val="en-US"/>
        </w:rPr>
        <w:t>-PCR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including </w:t>
      </w:r>
      <w:r w:rsidR="008443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influenza A, </w:t>
      </w:r>
      <w:r w:rsidR="008443FD" w:rsidRPr="006B2D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</w:t>
      </w:r>
      <w:r w:rsidR="008443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and C</w:t>
      </w:r>
      <w:r w:rsidR="008443FD" w:rsidRPr="006B2D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, respiratory syncytial virus, human metapneumovirus, adenovirus, human bocavirus,</w:t>
      </w:r>
      <w:r w:rsidR="008443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rhinovirus, </w:t>
      </w:r>
      <w:r w:rsidR="008443FD" w:rsidRPr="006B2D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human parainfluenza virus</w:t>
      </w:r>
      <w:r w:rsidR="008443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and coronavirus)</w:t>
      </w:r>
      <w:r w:rsidR="00F95D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 A</w:t>
      </w:r>
      <w:r w:rsidR="008443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blood sample was </w:t>
      </w:r>
      <w:r w:rsidR="00F95D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also </w:t>
      </w:r>
      <w:r w:rsidR="008443FD" w:rsidRPr="006B2DB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collected 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store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the HGUGM Biobank 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subsequent cytokine analysis by the </w:t>
      </w:r>
      <w:proofErr w:type="spellStart"/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DIAplex</w:t>
      </w:r>
      <w:proofErr w:type="spellEnd"/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Human Th1 / Th2 / Inflammation kit (</w:t>
      </w:r>
      <w:proofErr w:type="spellStart"/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bioNova</w:t>
      </w:r>
      <w:proofErr w:type="spellEnd"/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científica</w:t>
      </w:r>
      <w:proofErr w:type="spellEnd"/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S. L.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, Spain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 xml:space="preserve"> that included the following</w:t>
      </w:r>
      <w:r w:rsidR="00F95D1C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interleukin (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IL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-1</w:t>
      </w:r>
      <w:r w:rsidR="008443FD" w:rsidRPr="006B2DB7">
        <w:rPr>
          <w:rFonts w:ascii="Times New Roman" w:hAnsi="Times New Roman" w:cs="Times New Roman"/>
          <w:sz w:val="24"/>
          <w:szCs w:val="24"/>
        </w:rPr>
        <w:t>β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, IL-2, IL-4, IL-6, IL-8, 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IL-10, IL-12p70,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IL-17a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, interferon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8443FD" w:rsidRPr="006B2DB7">
        <w:rPr>
          <w:rFonts w:ascii="Times New Roman" w:hAnsi="Times New Roman" w:cs="Times New Roman"/>
          <w:sz w:val="24"/>
          <w:szCs w:val="24"/>
        </w:rPr>
        <w:t>γ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IFN-</w:t>
      </w:r>
      <w:r w:rsidR="008443FD" w:rsidRPr="006B2DB7">
        <w:rPr>
          <w:rFonts w:ascii="Times New Roman" w:hAnsi="Times New Roman" w:cs="Times New Roman"/>
          <w:sz w:val="24"/>
          <w:szCs w:val="24"/>
        </w:rPr>
        <w:t>γ</w:t>
      </w:r>
      <w:r w:rsidR="008443FD" w:rsidRPr="00F80AE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43FD" w:rsidRPr="00F80AE9">
        <w:rPr>
          <w:rFonts w:ascii="Times New Roman" w:hAnsi="Times New Roman" w:cs="Times New Roman"/>
          <w:sz w:val="24"/>
          <w:szCs w:val="24"/>
          <w:lang w:val="en-US"/>
        </w:rPr>
        <w:t>tumor necrosis factor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8443FD" w:rsidRPr="00F80AE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43FD" w:rsidRPr="006B2DB7">
        <w:rPr>
          <w:rFonts w:ascii="Times New Roman" w:hAnsi="Times New Roman" w:cs="Times New Roman"/>
          <w:sz w:val="24"/>
          <w:szCs w:val="24"/>
        </w:rPr>
        <w:t>α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8443FD" w:rsidRPr="006B2DB7">
        <w:rPr>
          <w:rFonts w:ascii="Times New Roman" w:hAnsi="Times New Roman" w:cs="Times New Roman"/>
          <w:sz w:val="24"/>
          <w:szCs w:val="24"/>
          <w:lang w:val="en-US"/>
        </w:rPr>
        <w:t>TNF-</w:t>
      </w:r>
      <w:r w:rsidR="008443FD" w:rsidRPr="006B2DB7">
        <w:rPr>
          <w:rFonts w:ascii="Times New Roman" w:hAnsi="Times New Roman" w:cs="Times New Roman"/>
          <w:sz w:val="24"/>
          <w:szCs w:val="24"/>
        </w:rPr>
        <w:t>α</w:t>
      </w:r>
      <w:r w:rsidR="008443FD" w:rsidRPr="00F80AE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443F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3126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971F41" w:rsidRDefault="00971F41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71F41" w:rsidRPr="00971F41" w:rsidRDefault="00971F41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Definitions</w:t>
      </w:r>
    </w:p>
    <w:p w:rsidR="00E07387" w:rsidRDefault="00E07387" w:rsidP="00B0401F">
      <w:pPr>
        <w:autoSpaceDE w:val="0"/>
        <w:autoSpaceDN w:val="0"/>
        <w:adjustRightInd w:val="0"/>
        <w:spacing w:after="0" w:line="48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Confirmed severe bacterial infection (CSBI)</w:t>
      </w:r>
      <w:r w:rsidRPr="008F47D5">
        <w:rPr>
          <w:rFonts w:ascii="Times New Roman" w:hAnsi="Times New Roman" w:cs="Times New Roman"/>
          <w:sz w:val="24"/>
          <w:szCs w:val="24"/>
          <w:lang w:val="en-US"/>
        </w:rPr>
        <w:t xml:space="preserve"> was defined as bacteremia, meningitis, pneumonia,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F47D5">
        <w:rPr>
          <w:rFonts w:ascii="Times New Roman" w:hAnsi="Times New Roman" w:cs="Times New Roman"/>
          <w:sz w:val="24"/>
          <w:szCs w:val="24"/>
          <w:lang w:val="en-US"/>
        </w:rPr>
        <w:t>osteomyelitis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F47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urinary tract infection (UTI) </w:t>
      </w:r>
      <w:r w:rsidRPr="008F47D5">
        <w:rPr>
          <w:rFonts w:ascii="Times New Roman" w:hAnsi="Times New Roman" w:cs="Times New Roman"/>
          <w:sz w:val="24"/>
          <w:szCs w:val="24"/>
          <w:lang w:val="en-US"/>
        </w:rPr>
        <w:t>or any other severe infection with the identification of 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plausible</w:t>
      </w:r>
      <w:r w:rsidRPr="008F47D5">
        <w:rPr>
          <w:rFonts w:ascii="Times New Roman" w:hAnsi="Times New Roman" w:cs="Times New Roman"/>
          <w:sz w:val="24"/>
          <w:szCs w:val="24"/>
          <w:lang w:val="en-US"/>
        </w:rPr>
        <w:t xml:space="preserve"> microorganism in a normally sterile site.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For the diagnosis of UTI, pyuria in urine analysis was required in addition to the positive urine culture. </w:t>
      </w:r>
      <w:r w:rsidR="006762ED" w:rsidRPr="008F47D5">
        <w:rPr>
          <w:rFonts w:ascii="Times New Roman" w:hAnsi="Times New Roman" w:cs="Times New Roman"/>
          <w:sz w:val="24"/>
          <w:szCs w:val="24"/>
          <w:lang w:val="en-US"/>
        </w:rPr>
        <w:t xml:space="preserve">Children were defined as having a possible </w:t>
      </w:r>
      <w:r w:rsidR="006762ED">
        <w:rPr>
          <w:rFonts w:ascii="Times New Roman" w:hAnsi="Times New Roman" w:cs="Times New Roman"/>
          <w:sz w:val="24"/>
          <w:szCs w:val="24"/>
          <w:lang w:val="en-US"/>
        </w:rPr>
        <w:t>severe bacterial infection (P</w:t>
      </w:r>
      <w:r w:rsidR="006762ED" w:rsidRPr="008F47D5">
        <w:rPr>
          <w:rFonts w:ascii="Times New Roman" w:hAnsi="Times New Roman" w:cs="Times New Roman"/>
          <w:sz w:val="24"/>
          <w:szCs w:val="24"/>
          <w:lang w:val="en-US"/>
        </w:rPr>
        <w:t>SBI</w:t>
      </w:r>
      <w:r w:rsidR="006762E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6762ED" w:rsidRPr="008F47D5">
        <w:rPr>
          <w:rFonts w:ascii="Times New Roman" w:hAnsi="Times New Roman" w:cs="Times New Roman"/>
          <w:sz w:val="24"/>
          <w:szCs w:val="24"/>
          <w:lang w:val="en-US"/>
        </w:rPr>
        <w:t xml:space="preserve"> if they had a</w:t>
      </w:r>
      <w:r w:rsidR="006762ED">
        <w:rPr>
          <w:rFonts w:ascii="Times New Roman" w:hAnsi="Times New Roman" w:cs="Times New Roman"/>
          <w:sz w:val="24"/>
          <w:szCs w:val="24"/>
          <w:lang w:val="en-US"/>
        </w:rPr>
        <w:t xml:space="preserve"> compatible</w:t>
      </w:r>
      <w:r w:rsidR="006762ED" w:rsidRPr="008F47D5">
        <w:rPr>
          <w:rFonts w:ascii="Times New Roman" w:hAnsi="Times New Roman" w:cs="Times New Roman"/>
          <w:sz w:val="24"/>
          <w:szCs w:val="24"/>
          <w:lang w:val="en-US"/>
        </w:rPr>
        <w:t xml:space="preserve"> clinical syndrome </w:t>
      </w:r>
      <w:r w:rsidR="006762ED">
        <w:rPr>
          <w:rFonts w:ascii="Times New Roman" w:hAnsi="Times New Roman" w:cs="Times New Roman"/>
          <w:sz w:val="24"/>
          <w:szCs w:val="24"/>
          <w:lang w:val="en-US"/>
        </w:rPr>
        <w:t>but</w:t>
      </w:r>
      <w:r w:rsidR="006762ED" w:rsidRPr="008F47D5">
        <w:rPr>
          <w:rFonts w:ascii="Times New Roman" w:hAnsi="Times New Roman" w:cs="Times New Roman"/>
          <w:sz w:val="24"/>
          <w:szCs w:val="24"/>
          <w:lang w:val="en-US"/>
        </w:rPr>
        <w:t xml:space="preserve"> not microbiologically confirmed.</w:t>
      </w:r>
      <w:r w:rsidR="006762ED" w:rsidRPr="008F47D5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> For the purposes of this study, pneumonia without a bacterial confirmatio</w:t>
      </w:r>
      <w:r w:rsidR="006762ED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>n and acute chest syndrome</w:t>
      </w:r>
      <w:r w:rsidR="006762ED" w:rsidRPr="008F47D5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 xml:space="preserve"> (de</w:t>
      </w:r>
      <w:r w:rsidR="006762ED" w:rsidRPr="008F47D5">
        <w:rPr>
          <w:rFonts w:ascii="Times New Roman" w:hAnsi="Times New Roman" w:cs="Times New Roman"/>
          <w:sz w:val="24"/>
          <w:lang w:val="en-US"/>
        </w:rPr>
        <w:t xml:space="preserve">fined as the presence of a new pulmonary infiltrate on </w:t>
      </w:r>
      <w:r w:rsidR="006762ED">
        <w:rPr>
          <w:rFonts w:ascii="Times New Roman" w:hAnsi="Times New Roman" w:cs="Times New Roman"/>
          <w:sz w:val="24"/>
          <w:lang w:val="en-US"/>
        </w:rPr>
        <w:t xml:space="preserve">a </w:t>
      </w:r>
      <w:r w:rsidR="006762ED" w:rsidRPr="008F47D5">
        <w:rPr>
          <w:rFonts w:ascii="Times New Roman" w:hAnsi="Times New Roman" w:cs="Times New Roman"/>
          <w:sz w:val="24"/>
          <w:lang w:val="en-US"/>
        </w:rPr>
        <w:t>chest X-ray</w:t>
      </w:r>
      <w:r w:rsidR="006762ED">
        <w:rPr>
          <w:rFonts w:ascii="Times New Roman" w:hAnsi="Times New Roman" w:cs="Times New Roman"/>
          <w:sz w:val="24"/>
          <w:lang w:val="en-US"/>
        </w:rPr>
        <w:t xml:space="preserve"> associated to </w:t>
      </w:r>
      <w:r w:rsidR="006762ED" w:rsidRPr="008F47D5">
        <w:rPr>
          <w:rFonts w:ascii="Times New Roman" w:hAnsi="Times New Roman" w:cs="Times New Roman"/>
          <w:sz w:val="24"/>
          <w:lang w:val="en-US"/>
        </w:rPr>
        <w:t>fever</w:t>
      </w:r>
      <w:r w:rsidR="006762ED">
        <w:rPr>
          <w:rFonts w:ascii="Times New Roman" w:hAnsi="Times New Roman" w:cs="Times New Roman"/>
          <w:sz w:val="24"/>
          <w:lang w:val="en-US"/>
        </w:rPr>
        <w:t xml:space="preserve"> and/or </w:t>
      </w:r>
      <w:r w:rsidR="006762ED" w:rsidRPr="008F47D5">
        <w:rPr>
          <w:rFonts w:ascii="Times New Roman" w:hAnsi="Times New Roman" w:cs="Times New Roman"/>
          <w:sz w:val="24"/>
          <w:lang w:val="en-US"/>
        </w:rPr>
        <w:t xml:space="preserve">acute respiratory symptoms) </w:t>
      </w:r>
      <w:r w:rsidR="006762ED" w:rsidRPr="008F47D5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>were considered equally in the group of possible SBI.</w:t>
      </w:r>
      <w:r w:rsidR="006762ED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 xml:space="preserve"> The only patient with a bacterial-viral coinfection (Escherichia coli UTI and influenza B detection in the multiplex-PCR) was included in the PSBI group </w:t>
      </w:r>
      <w:r w:rsidR="006A7C5F" w:rsidRPr="006A7C5F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 xml:space="preserve">due to the possibility </w:t>
      </w:r>
      <w:r w:rsidR="001228D2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6A7C5F" w:rsidRPr="006A7C5F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>a viral infection as the cause of the febrile episode</w:t>
      </w:r>
      <w:r w:rsidR="001228D2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 xml:space="preserve"> at the same time that a </w:t>
      </w:r>
      <w:r w:rsidR="001228D2" w:rsidRPr="006A7C5F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 xml:space="preserve">lower </w:t>
      </w:r>
      <w:r w:rsidR="001228D2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>UTI</w:t>
      </w:r>
      <w:r w:rsidR="006A7C5F"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  <w:t>.</w:t>
      </w:r>
    </w:p>
    <w:p w:rsidR="00971F41" w:rsidRDefault="00971F41" w:rsidP="00B0401F">
      <w:pPr>
        <w:autoSpaceDE w:val="0"/>
        <w:autoSpaceDN w:val="0"/>
        <w:adjustRightInd w:val="0"/>
        <w:spacing w:after="0" w:line="48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lang w:val="en-US"/>
        </w:rPr>
      </w:pPr>
    </w:p>
    <w:p w:rsidR="00971F41" w:rsidRPr="00971F41" w:rsidRDefault="00971F41" w:rsidP="00B0401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:rsidR="008B36F0" w:rsidRPr="004E6E21" w:rsidRDefault="008B36F0">
      <w:pPr>
        <w:rPr>
          <w:lang w:val="en-US"/>
        </w:rPr>
      </w:pPr>
    </w:p>
    <w:sectPr w:rsidR="008B36F0" w:rsidRPr="004E6E21" w:rsidSect="008B36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0E9E7D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DD0FE" w16cex:dateUtc="2021-03-06T08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E9E7D8" w16cid:durableId="23EDD0FE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hyphenationZone w:val="425"/>
  <w:characterSpacingControl w:val="doNotCompress"/>
  <w:compat/>
  <w:rsids>
    <w:rsidRoot w:val="00B0401F"/>
    <w:rsid w:val="000359FD"/>
    <w:rsid w:val="001228D2"/>
    <w:rsid w:val="00234D65"/>
    <w:rsid w:val="002835AB"/>
    <w:rsid w:val="002A5EC4"/>
    <w:rsid w:val="00312672"/>
    <w:rsid w:val="003311DA"/>
    <w:rsid w:val="00376D54"/>
    <w:rsid w:val="004E6E21"/>
    <w:rsid w:val="004F205D"/>
    <w:rsid w:val="005455AB"/>
    <w:rsid w:val="00582099"/>
    <w:rsid w:val="005B5BA2"/>
    <w:rsid w:val="005F593B"/>
    <w:rsid w:val="006762ED"/>
    <w:rsid w:val="006A7C5F"/>
    <w:rsid w:val="008443FD"/>
    <w:rsid w:val="008B36F0"/>
    <w:rsid w:val="0095623F"/>
    <w:rsid w:val="00971F41"/>
    <w:rsid w:val="00A30B90"/>
    <w:rsid w:val="00B0401F"/>
    <w:rsid w:val="00E07387"/>
    <w:rsid w:val="00E95C87"/>
    <w:rsid w:val="00F3008D"/>
    <w:rsid w:val="00F95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01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04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0401F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2A5EC4"/>
    <w:rPr>
      <w:i/>
      <w:iCs/>
    </w:rPr>
  </w:style>
  <w:style w:type="character" w:styleId="Refdecomentario">
    <w:name w:val="annotation reference"/>
    <w:basedOn w:val="Fuentedeprrafopredeter"/>
    <w:uiPriority w:val="99"/>
    <w:semiHidden/>
    <w:unhideWhenUsed/>
    <w:rsid w:val="00F95D1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95D1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95D1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95D1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95D1C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95D1C"/>
    <w:pPr>
      <w:spacing w:after="0" w:line="240" w:lineRule="auto"/>
    </w:pPr>
  </w:style>
  <w:style w:type="character" w:customStyle="1" w:styleId="apple-converted-space">
    <w:name w:val="apple-converted-space"/>
    <w:basedOn w:val="Fuentedeprrafopredeter"/>
    <w:rsid w:val="006762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8B5125-4476-4111-86A6-F2ABCC49F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541</Words>
  <Characters>2957</Characters>
  <Application>Microsoft Office Word</Application>
  <DocSecurity>0</DocSecurity>
  <Lines>50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Rincón López</dc:creator>
  <cp:lastModifiedBy>Elena Rincón López</cp:lastModifiedBy>
  <cp:revision>4</cp:revision>
  <dcterms:created xsi:type="dcterms:W3CDTF">2021-06-11T09:44:00Z</dcterms:created>
  <dcterms:modified xsi:type="dcterms:W3CDTF">2021-06-11T10:31:00Z</dcterms:modified>
</cp:coreProperties>
</file>