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2EA1A" w14:textId="77777777" w:rsidR="00275E66" w:rsidRDefault="00275E66" w:rsidP="00275E66">
      <w:pPr>
        <w:rPr>
          <w:rFonts w:hint="eastAsia"/>
          <w:sz w:val="36"/>
          <w:szCs w:val="36"/>
          <w:lang w:eastAsia="zh-CN"/>
        </w:rPr>
      </w:pPr>
    </w:p>
    <w:p w14:paraId="4F6BCEFF" w14:textId="77777777" w:rsidR="00275E66" w:rsidRDefault="00275E66" w:rsidP="00275E66">
      <w:pPr>
        <w:jc w:val="center"/>
        <w:rPr>
          <w:sz w:val="36"/>
          <w:szCs w:val="36"/>
        </w:rPr>
      </w:pPr>
    </w:p>
    <w:p w14:paraId="75F0E7AC" w14:textId="77777777" w:rsidR="00275E66" w:rsidRPr="003B40E6" w:rsidRDefault="00275E66" w:rsidP="00275E66">
      <w:pPr>
        <w:jc w:val="center"/>
        <w:rPr>
          <w:sz w:val="36"/>
          <w:szCs w:val="36"/>
        </w:rPr>
      </w:pPr>
      <w:r>
        <w:rPr>
          <w:sz w:val="36"/>
          <w:szCs w:val="36"/>
        </w:rPr>
        <w:t>Supplementary Materials for</w:t>
      </w:r>
    </w:p>
    <w:p w14:paraId="35F4A5ED" w14:textId="77777777" w:rsidR="00275E66" w:rsidRPr="00A14040" w:rsidRDefault="00275E66" w:rsidP="00275E66">
      <w:pPr>
        <w:rPr>
          <w:sz w:val="28"/>
          <w:szCs w:val="21"/>
        </w:rPr>
      </w:pPr>
    </w:p>
    <w:p w14:paraId="058E3311" w14:textId="77777777" w:rsidR="00275E66" w:rsidRPr="00A14040" w:rsidRDefault="00275E66" w:rsidP="00275E66">
      <w:pPr>
        <w:jc w:val="center"/>
        <w:rPr>
          <w:sz w:val="32"/>
          <w:szCs w:val="32"/>
        </w:rPr>
      </w:pPr>
      <w:r w:rsidRPr="00A14040">
        <w:rPr>
          <w:b/>
          <w:sz w:val="32"/>
          <w:szCs w:val="32"/>
        </w:rPr>
        <w:t>Three parsimonious spatiotemporal patterns in cerebellum reveal individual traits in function and behavior</w:t>
      </w:r>
      <w:r w:rsidRPr="00A14040">
        <w:rPr>
          <w:b/>
          <w:bCs/>
          <w:sz w:val="32"/>
          <w:szCs w:val="32"/>
        </w:rPr>
        <w:t xml:space="preserve"> </w:t>
      </w:r>
    </w:p>
    <w:p w14:paraId="3B49CEF8" w14:textId="77777777" w:rsidR="00275E66" w:rsidRPr="007108F5" w:rsidRDefault="00275E66" w:rsidP="00275E66">
      <w:pPr>
        <w:jc w:val="center"/>
        <w:rPr>
          <w:sz w:val="28"/>
          <w:szCs w:val="28"/>
        </w:rPr>
      </w:pPr>
    </w:p>
    <w:p w14:paraId="1995D7FD" w14:textId="77777777" w:rsidR="00275E66" w:rsidRPr="006D5528" w:rsidRDefault="00275E66" w:rsidP="00275E66">
      <w:pPr>
        <w:jc w:val="center"/>
        <w:rPr>
          <w:rFonts w:eastAsia="Times New Roman"/>
          <w:color w:val="000000"/>
          <w:szCs w:val="24"/>
        </w:rPr>
      </w:pPr>
      <w:r w:rsidRPr="006D5528">
        <w:rPr>
          <w:rFonts w:eastAsia="宋体" w:hint="eastAsia"/>
          <w:szCs w:val="24"/>
        </w:rPr>
        <w:t xml:space="preserve">Shuo </w:t>
      </w:r>
      <w:proofErr w:type="spellStart"/>
      <w:r w:rsidRPr="006D5528">
        <w:rPr>
          <w:rFonts w:eastAsia="宋体" w:hint="eastAsia"/>
          <w:szCs w:val="24"/>
        </w:rPr>
        <w:t>Lv</w:t>
      </w:r>
      <w:proofErr w:type="spellEnd"/>
      <w:r w:rsidRPr="006D5528">
        <w:rPr>
          <w:rFonts w:eastAsia="宋体" w:hint="eastAsia"/>
          <w:szCs w:val="24"/>
        </w:rPr>
        <w:t xml:space="preserve"> </w:t>
      </w:r>
      <w:r w:rsidRPr="006D5528">
        <w:rPr>
          <w:rFonts w:eastAsia="宋体"/>
          <w:i/>
          <w:szCs w:val="24"/>
        </w:rPr>
        <w:t>et al.</w:t>
      </w:r>
    </w:p>
    <w:p w14:paraId="248BBADC" w14:textId="77777777" w:rsidR="00275E66" w:rsidRDefault="00275E66" w:rsidP="00275E66">
      <w:pPr>
        <w:jc w:val="center"/>
        <w:rPr>
          <w:szCs w:val="24"/>
        </w:rPr>
      </w:pPr>
    </w:p>
    <w:p w14:paraId="1F8C5B5F" w14:textId="77777777" w:rsidR="00275E66" w:rsidRDefault="00275E66" w:rsidP="00275E66">
      <w:pPr>
        <w:jc w:val="center"/>
        <w:rPr>
          <w:szCs w:val="24"/>
        </w:rPr>
      </w:pPr>
    </w:p>
    <w:p w14:paraId="669A0FFF" w14:textId="77777777" w:rsidR="00275E66" w:rsidRPr="00ED2CBE" w:rsidRDefault="00275E66" w:rsidP="00275E66">
      <w:pPr>
        <w:jc w:val="center"/>
        <w:rPr>
          <w:sz w:val="20"/>
        </w:rPr>
      </w:pPr>
      <w:r w:rsidRPr="00ED2CBE">
        <w:rPr>
          <w:sz w:val="20"/>
        </w:rPr>
        <w:t>*Corresponding author</w:t>
      </w:r>
      <w:r>
        <w:rPr>
          <w:sz w:val="20"/>
        </w:rPr>
        <w:t>: Guoyuan Yang,</w:t>
      </w:r>
      <w:r w:rsidRPr="00ED2CBE">
        <w:rPr>
          <w:sz w:val="20"/>
        </w:rPr>
        <w:t xml:space="preserve"> </w:t>
      </w:r>
      <w:hyperlink r:id="rId7" w:history="1">
        <w:r w:rsidRPr="006D5528">
          <w:rPr>
            <w:rStyle w:val="af2"/>
            <w:color w:val="000000" w:themeColor="text1"/>
          </w:rPr>
          <w:t>yanggy@bit.edu.cn</w:t>
        </w:r>
      </w:hyperlink>
    </w:p>
    <w:p w14:paraId="3F64843A" w14:textId="77777777" w:rsidR="00275E66" w:rsidRDefault="00275E66" w:rsidP="00275E66">
      <w:pPr>
        <w:pStyle w:val="PubInfo"/>
      </w:pPr>
    </w:p>
    <w:p w14:paraId="0E316FB4" w14:textId="77777777" w:rsidR="00275E66" w:rsidRPr="00EE59BE" w:rsidRDefault="00275E66" w:rsidP="00275E66">
      <w:pPr>
        <w:jc w:val="center"/>
      </w:pPr>
    </w:p>
    <w:p w14:paraId="1996FC92" w14:textId="77777777" w:rsidR="00275E66" w:rsidRDefault="00275E66" w:rsidP="00275E66">
      <w:pPr>
        <w:jc w:val="center"/>
        <w:rPr>
          <w:szCs w:val="24"/>
        </w:rPr>
      </w:pPr>
    </w:p>
    <w:p w14:paraId="50643F03" w14:textId="77777777" w:rsidR="00275E66" w:rsidRDefault="00275E66" w:rsidP="00275E66"/>
    <w:p w14:paraId="30D224FE" w14:textId="77777777" w:rsidR="00275E66" w:rsidRDefault="00275E66" w:rsidP="00275E66">
      <w:pPr>
        <w:rPr>
          <w:b/>
        </w:rPr>
      </w:pPr>
    </w:p>
    <w:p w14:paraId="08E1E205" w14:textId="77777777" w:rsidR="00275E66" w:rsidRPr="00262D72" w:rsidRDefault="00275E66" w:rsidP="00275E66">
      <w:pPr>
        <w:rPr>
          <w:b/>
        </w:rPr>
      </w:pPr>
      <w:r>
        <w:rPr>
          <w:b/>
        </w:rPr>
        <w:t xml:space="preserve">This PDF file </w:t>
      </w:r>
      <w:r w:rsidRPr="00262D72">
        <w:rPr>
          <w:b/>
        </w:rPr>
        <w:t>includes:</w:t>
      </w:r>
    </w:p>
    <w:p w14:paraId="5CA880B4" w14:textId="77777777" w:rsidR="00275E66" w:rsidRDefault="00275E66" w:rsidP="00275E66">
      <w:pPr>
        <w:ind w:left="720"/>
      </w:pPr>
    </w:p>
    <w:p w14:paraId="475E5DA5" w14:textId="77777777" w:rsidR="00275E66" w:rsidRDefault="00275E66" w:rsidP="00275E66">
      <w:pPr>
        <w:ind w:left="720"/>
      </w:pPr>
      <w:r>
        <w:t>Figs. S1 to S11</w:t>
      </w:r>
    </w:p>
    <w:p w14:paraId="0A3B5E22" w14:textId="77777777" w:rsidR="00275E66" w:rsidRDefault="00275E66" w:rsidP="00275E66">
      <w:pPr>
        <w:ind w:left="720"/>
      </w:pPr>
      <w:r>
        <w:t>Tables S1</w:t>
      </w:r>
    </w:p>
    <w:p w14:paraId="2296F401" w14:textId="77777777" w:rsidR="00275E66" w:rsidRDefault="00275E66" w:rsidP="00275E66">
      <w:pPr>
        <w:ind w:left="720"/>
      </w:pPr>
      <w:r>
        <w:br/>
      </w:r>
    </w:p>
    <w:p w14:paraId="141B7FF1" w14:textId="77777777" w:rsidR="00275E66" w:rsidRDefault="00275E66" w:rsidP="00275E66">
      <w:pPr>
        <w:pStyle w:val="SMHeading"/>
      </w:pPr>
      <w:r>
        <w:br w:type="page"/>
      </w:r>
      <w:bookmarkStart w:id="0" w:name="Tables"/>
      <w:bookmarkStart w:id="1" w:name="MaterialsMethods"/>
      <w:bookmarkEnd w:id="0"/>
      <w:bookmarkEnd w:id="1"/>
    </w:p>
    <w:p w14:paraId="7E07EF27" w14:textId="77777777" w:rsidR="00275E66" w:rsidRDefault="00275E66" w:rsidP="00275E66">
      <w:pPr>
        <w:pStyle w:val="SMcaption"/>
        <w:spacing w:before="100" w:beforeAutospacing="1" w:after="100" w:afterAutospacing="1"/>
        <w:jc w:val="center"/>
        <w:rPr>
          <w:noProof/>
          <w:lang w:eastAsia="zh-CN"/>
        </w:rPr>
      </w:pPr>
      <w:r>
        <w:rPr>
          <w:noProof/>
          <w:lang w:eastAsia="zh-CN"/>
        </w:rPr>
        <w:lastRenderedPageBreak/>
        <w:drawing>
          <wp:inline distT="0" distB="0" distL="0" distR="0" wp14:anchorId="7C697703" wp14:editId="7507B5C8">
            <wp:extent cx="4101686" cy="5539029"/>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2080" cy="5607083"/>
                    </a:xfrm>
                    <a:prstGeom prst="rect">
                      <a:avLst/>
                    </a:prstGeom>
                  </pic:spPr>
                </pic:pic>
              </a:graphicData>
            </a:graphic>
          </wp:inline>
        </w:drawing>
      </w:r>
    </w:p>
    <w:p w14:paraId="116EAAA0" w14:textId="77777777" w:rsidR="00275E66" w:rsidRPr="00630B8C" w:rsidRDefault="00275E66" w:rsidP="00275E66">
      <w:pPr>
        <w:pStyle w:val="SMHeading"/>
        <w:rPr>
          <w:rFonts w:eastAsia="宋体"/>
          <w:bCs w:val="0"/>
          <w:iCs/>
          <w:kern w:val="0"/>
        </w:rPr>
      </w:pPr>
      <w:r w:rsidRPr="00355362">
        <w:t>Fig. S1.</w:t>
      </w:r>
      <w:r w:rsidRPr="00E507AB">
        <w:rPr>
          <w:rFonts w:eastAsia="宋体"/>
          <w:iCs/>
          <w:kern w:val="0"/>
        </w:rPr>
        <w:t xml:space="preserve"> Null model of CPCA-derived patterns. </w:t>
      </w:r>
      <w:r w:rsidRPr="0011743E">
        <w:rPr>
          <w:rFonts w:eastAsia="宋体"/>
          <w:b w:val="0"/>
          <w:iCs/>
          <w:kern w:val="0"/>
        </w:rPr>
        <w:t xml:space="preserve">To assess the specificity and temporal structure, we constructed null models by randomly shuffling the time points of the BOLD signals 1,000 times. For each permuted signal, we recomputed the complex principal components using the same CPCA pipeline. Panels </w:t>
      </w:r>
      <w:r>
        <w:rPr>
          <w:rFonts w:eastAsia="宋体" w:hint="eastAsia"/>
          <w:b w:val="0"/>
          <w:iCs/>
          <w:kern w:val="0"/>
          <w:lang w:eastAsia="zh-CN"/>
        </w:rPr>
        <w:t>(</w:t>
      </w:r>
      <w:r w:rsidRPr="002A654B">
        <w:rPr>
          <w:rFonts w:eastAsia="宋体"/>
          <w:iCs/>
          <w:kern w:val="0"/>
          <w:lang w:eastAsia="zh-CN"/>
        </w:rPr>
        <w:t>A</w:t>
      </w:r>
      <w:r>
        <w:rPr>
          <w:rFonts w:eastAsia="宋体"/>
          <w:b w:val="0"/>
          <w:iCs/>
          <w:kern w:val="0"/>
          <w:lang w:eastAsia="zh-CN"/>
        </w:rPr>
        <w:t>)</w:t>
      </w:r>
      <w:r w:rsidRPr="0011743E">
        <w:rPr>
          <w:rFonts w:eastAsia="宋体"/>
          <w:b w:val="0"/>
          <w:iCs/>
          <w:kern w:val="0"/>
        </w:rPr>
        <w:t xml:space="preserve"> and </w:t>
      </w:r>
      <w:r>
        <w:rPr>
          <w:rFonts w:eastAsia="宋体"/>
          <w:b w:val="0"/>
          <w:iCs/>
          <w:kern w:val="0"/>
        </w:rPr>
        <w:t>(</w:t>
      </w:r>
      <w:r w:rsidRPr="002A654B">
        <w:rPr>
          <w:rFonts w:eastAsia="宋体"/>
          <w:iCs/>
          <w:kern w:val="0"/>
        </w:rPr>
        <w:t>B</w:t>
      </w:r>
      <w:r>
        <w:rPr>
          <w:rFonts w:eastAsia="宋体"/>
          <w:b w:val="0"/>
          <w:iCs/>
          <w:kern w:val="0"/>
        </w:rPr>
        <w:t>)</w:t>
      </w:r>
      <w:r w:rsidRPr="0011743E">
        <w:rPr>
          <w:rFonts w:eastAsia="宋体"/>
          <w:b w:val="0"/>
          <w:iCs/>
          <w:kern w:val="0"/>
        </w:rPr>
        <w:t xml:space="preserve"> respectively show the complex and phase delay maps for the first three complex PCs derived from the original signals (top row) and the permuted signals (bottom row). </w:t>
      </w:r>
      <w:r>
        <w:rPr>
          <w:rFonts w:eastAsia="宋体"/>
          <w:b w:val="0"/>
          <w:iCs/>
          <w:kern w:val="0"/>
        </w:rPr>
        <w:t>(</w:t>
      </w:r>
      <w:r w:rsidRPr="0011743E">
        <w:rPr>
          <w:rFonts w:eastAsia="宋体"/>
          <w:iCs/>
          <w:kern w:val="0"/>
        </w:rPr>
        <w:t>A</w:t>
      </w:r>
      <w:r>
        <w:rPr>
          <w:rFonts w:eastAsia="宋体"/>
          <w:b w:val="0"/>
          <w:iCs/>
          <w:kern w:val="0"/>
        </w:rPr>
        <w:t>)</w:t>
      </w:r>
      <w:r w:rsidRPr="0011743E">
        <w:rPr>
          <w:rFonts w:eastAsia="宋体"/>
          <w:b w:val="0"/>
          <w:iCs/>
          <w:kern w:val="0"/>
        </w:rPr>
        <w:t xml:space="preserve"> The similarity between the original and permuted real-valued maps suggests that the amplitude largely reflect zero-lag structure, which is preserved despite temporal reordering. </w:t>
      </w:r>
      <w:r>
        <w:rPr>
          <w:rFonts w:eastAsia="宋体"/>
          <w:b w:val="0"/>
          <w:iCs/>
          <w:kern w:val="0"/>
        </w:rPr>
        <w:t>(</w:t>
      </w:r>
      <w:r w:rsidRPr="0011743E">
        <w:rPr>
          <w:rFonts w:eastAsia="宋体"/>
          <w:iCs/>
          <w:kern w:val="0"/>
        </w:rPr>
        <w:t>B</w:t>
      </w:r>
      <w:r>
        <w:rPr>
          <w:rFonts w:eastAsia="宋体"/>
          <w:b w:val="0"/>
          <w:iCs/>
          <w:kern w:val="0"/>
        </w:rPr>
        <w:t>)</w:t>
      </w:r>
      <w:r w:rsidRPr="0011743E">
        <w:rPr>
          <w:rFonts w:eastAsia="宋体"/>
          <w:b w:val="0"/>
          <w:iCs/>
          <w:kern w:val="0"/>
        </w:rPr>
        <w:t xml:space="preserve"> In contrast to the real-valued patterns, the phase delay maps derived from the shuffled data reveal substantial disruptions. For </w:t>
      </w:r>
      <w:r>
        <w:rPr>
          <w:rFonts w:eastAsia="宋体" w:hint="eastAsia"/>
          <w:b w:val="0"/>
          <w:iCs/>
          <w:kern w:val="0"/>
          <w:lang w:eastAsia="zh-CN"/>
        </w:rPr>
        <w:t>p</w:t>
      </w:r>
      <w:r w:rsidRPr="0011743E">
        <w:rPr>
          <w:rFonts w:eastAsia="宋体"/>
          <w:b w:val="0"/>
          <w:iCs/>
          <w:kern w:val="0"/>
        </w:rPr>
        <w:t xml:space="preserve">hase delay </w:t>
      </w:r>
      <w:r w:rsidRPr="0011743E">
        <w:rPr>
          <w:rFonts w:eastAsia="宋体" w:hint="eastAsia"/>
          <w:b w:val="0"/>
          <w:iCs/>
          <w:kern w:val="0"/>
        </w:rPr>
        <w:t>PC</w:t>
      </w:r>
      <w:r w:rsidRPr="0011743E">
        <w:rPr>
          <w:rFonts w:eastAsia="宋体"/>
          <w:b w:val="0"/>
          <w:iCs/>
          <w:kern w:val="0"/>
        </w:rPr>
        <w:t xml:space="preserve">1, the characteristic posterior-to-anterior propagation gradient observed in the empirical data is almost abolished after time-shuffling, indicating that this component captures a time-lag structure. Phase delay </w:t>
      </w:r>
      <w:r w:rsidRPr="0011743E">
        <w:rPr>
          <w:rFonts w:eastAsia="宋体" w:hint="eastAsia"/>
          <w:b w:val="0"/>
          <w:iCs/>
          <w:kern w:val="0"/>
        </w:rPr>
        <w:t>PC2</w:t>
      </w:r>
      <w:r w:rsidRPr="0011743E">
        <w:rPr>
          <w:rFonts w:eastAsia="宋体"/>
          <w:b w:val="0"/>
          <w:iCs/>
          <w:kern w:val="0"/>
        </w:rPr>
        <w:t xml:space="preserve"> and </w:t>
      </w:r>
      <w:r w:rsidRPr="0011743E">
        <w:rPr>
          <w:rFonts w:eastAsia="宋体" w:hint="eastAsia"/>
          <w:b w:val="0"/>
          <w:iCs/>
          <w:kern w:val="0"/>
        </w:rPr>
        <w:t>PC</w:t>
      </w:r>
      <w:r w:rsidRPr="0011743E">
        <w:rPr>
          <w:rFonts w:eastAsia="宋体"/>
          <w:b w:val="0"/>
          <w:iCs/>
          <w:kern w:val="0"/>
        </w:rPr>
        <w:t>3 exhibit relatively minor differences between the original and permuted signals.</w:t>
      </w:r>
      <w:r w:rsidRPr="0011743E">
        <w:rPr>
          <w:rStyle w:val="aa"/>
          <w:rFonts w:eastAsia="宋体"/>
          <w:b w:val="0"/>
          <w:kern w:val="0"/>
        </w:rPr>
        <w:t xml:space="preserve"> </w:t>
      </w:r>
    </w:p>
    <w:p w14:paraId="5D946E8D" w14:textId="77777777" w:rsidR="00275E66" w:rsidRDefault="00275E66" w:rsidP="00275E66"/>
    <w:p w14:paraId="2261FA6E" w14:textId="77777777" w:rsidR="00275E66" w:rsidRDefault="00275E66" w:rsidP="00275E66">
      <w:pPr>
        <w:pStyle w:val="SMcaption"/>
      </w:pPr>
      <w:r>
        <w:rPr>
          <w:noProof/>
          <w:lang w:eastAsia="zh-CN"/>
        </w:rPr>
        <w:lastRenderedPageBreak/>
        <w:drawing>
          <wp:inline distT="0" distB="0" distL="0" distR="0" wp14:anchorId="43D5B80F" wp14:editId="790301C5">
            <wp:extent cx="5943600" cy="22599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59965"/>
                    </a:xfrm>
                    <a:prstGeom prst="rect">
                      <a:avLst/>
                    </a:prstGeom>
                  </pic:spPr>
                </pic:pic>
              </a:graphicData>
            </a:graphic>
          </wp:inline>
        </w:drawing>
      </w:r>
    </w:p>
    <w:p w14:paraId="23D11452" w14:textId="77777777" w:rsidR="00275E66" w:rsidRPr="00DC15EC" w:rsidRDefault="00275E66" w:rsidP="00275E66">
      <w:pPr>
        <w:pStyle w:val="SMHeading"/>
        <w:rPr>
          <w:b w:val="0"/>
        </w:rPr>
      </w:pPr>
      <w:r w:rsidRPr="00355362">
        <w:t>Fig. S2</w:t>
      </w:r>
      <w:r>
        <w:t>.</w:t>
      </w:r>
      <w:r w:rsidRPr="00DC15EC">
        <w:t xml:space="preserve"> Comparison of phase delay PC1 with QPP and lag projection patterns. </w:t>
      </w:r>
      <w:r w:rsidRPr="00DC15EC">
        <w:rPr>
          <w:b w:val="0"/>
        </w:rPr>
        <w:t xml:space="preserve">To evaluate the biological validity of the phase delay PCs, we compared phase delay PC1 to two widely-used characterizations of intrinsic brain dynamics, lag projection and quasi-periodic patterns. These three maps show cerebellar time-lag structures derived from these distinct </w:t>
      </w:r>
      <w:proofErr w:type="gramStart"/>
      <w:r w:rsidRPr="00DC15EC">
        <w:rPr>
          <w:b w:val="0"/>
        </w:rPr>
        <w:t>approaches,</w:t>
      </w:r>
      <w:proofErr w:type="gramEnd"/>
      <w:r w:rsidRPr="00DC15EC">
        <w:rPr>
          <w:b w:val="0"/>
        </w:rPr>
        <w:t xml:space="preserve"> all aligned to the same color scale. The left panel shows the lag projection, computed by averaging voxel-wise time delays relative to the global BOLD signal, reflecting the dominant intrinsic temporal flow of activity. The middle panel shows the phase delay PC1, and the right panel shows the temporal centroid of QPP. Map of phase delay PC1 closely resembles both the lag projection (</w:t>
      </w:r>
      <w:r w:rsidRPr="002A654B">
        <w:rPr>
          <w:b w:val="0"/>
          <w:i/>
        </w:rPr>
        <w:t>r</w:t>
      </w:r>
      <w:r w:rsidRPr="00DC15EC">
        <w:rPr>
          <w:b w:val="0"/>
        </w:rPr>
        <w:t xml:space="preserve"> = 0.971, </w:t>
      </w:r>
      <w:r w:rsidRPr="002A654B">
        <w:rPr>
          <w:b w:val="0"/>
          <w:i/>
        </w:rPr>
        <w:t>P</w:t>
      </w:r>
      <w:r w:rsidRPr="00DC15EC">
        <w:rPr>
          <w:b w:val="0"/>
        </w:rPr>
        <w:t xml:space="preserve"> &lt; 0.001) and QPP (</w:t>
      </w:r>
      <w:r w:rsidRPr="002A654B">
        <w:rPr>
          <w:b w:val="0"/>
          <w:i/>
        </w:rPr>
        <w:t>r</w:t>
      </w:r>
      <w:r w:rsidRPr="00DC15EC">
        <w:rPr>
          <w:b w:val="0"/>
        </w:rPr>
        <w:t xml:space="preserve"> = 0.773, </w:t>
      </w:r>
      <w:r w:rsidRPr="002A654B">
        <w:rPr>
          <w:b w:val="0"/>
          <w:i/>
        </w:rPr>
        <w:t>P</w:t>
      </w:r>
      <w:r w:rsidRPr="00DC15EC">
        <w:rPr>
          <w:b w:val="0"/>
        </w:rPr>
        <w:t xml:space="preserve"> &lt; 0.001), demonstrating high consistency across methods. These results suggest that the phase delay PC</w:t>
      </w:r>
      <w:r>
        <w:rPr>
          <w:rFonts w:hint="eastAsia"/>
          <w:b w:val="0"/>
          <w:lang w:eastAsia="zh-CN"/>
        </w:rPr>
        <w:t>1</w:t>
      </w:r>
      <w:r w:rsidRPr="00DC15EC">
        <w:rPr>
          <w:b w:val="0"/>
        </w:rPr>
        <w:t xml:space="preserve"> exacted from CPCA captures a canonical spatiotemporal propagation pattern in the cerebellum that is shared across multiple analytic frameworks, including lag-based and pattern-matching techniques.</w:t>
      </w:r>
    </w:p>
    <w:p w14:paraId="270556C5" w14:textId="77777777" w:rsidR="00275E66" w:rsidRDefault="00275E66" w:rsidP="00275E66">
      <w:pPr>
        <w:pStyle w:val="SMcaption"/>
      </w:pPr>
    </w:p>
    <w:p w14:paraId="12DE9A43" w14:textId="77777777" w:rsidR="00275E66" w:rsidRDefault="00275E66" w:rsidP="00275E66">
      <w:r>
        <w:br w:type="page"/>
      </w:r>
    </w:p>
    <w:p w14:paraId="00D0B5E4" w14:textId="77777777" w:rsidR="00275E66" w:rsidRDefault="00275E66" w:rsidP="00275E66">
      <w:pPr>
        <w:pStyle w:val="SMcaption"/>
        <w:jc w:val="center"/>
      </w:pPr>
      <w:r>
        <w:rPr>
          <w:noProof/>
          <w:lang w:eastAsia="zh-CN"/>
        </w:rPr>
        <w:lastRenderedPageBreak/>
        <w:drawing>
          <wp:inline distT="0" distB="0" distL="0" distR="0" wp14:anchorId="0367D91B" wp14:editId="4200A212">
            <wp:extent cx="4938362" cy="537627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3327" cy="5403451"/>
                    </a:xfrm>
                    <a:prstGeom prst="rect">
                      <a:avLst/>
                    </a:prstGeom>
                  </pic:spPr>
                </pic:pic>
              </a:graphicData>
            </a:graphic>
          </wp:inline>
        </w:drawing>
      </w:r>
    </w:p>
    <w:p w14:paraId="61DE8C1F" w14:textId="393AE961" w:rsidR="00275E66" w:rsidRPr="00DC15EC" w:rsidRDefault="00275E66" w:rsidP="00275E66">
      <w:pPr>
        <w:pStyle w:val="SMHeading"/>
        <w:rPr>
          <w:b w:val="0"/>
        </w:rPr>
      </w:pPr>
      <w:r w:rsidRPr="00355362">
        <w:t>Fig. S</w:t>
      </w:r>
      <w:r>
        <w:t xml:space="preserve">3. </w:t>
      </w:r>
      <w:r w:rsidRPr="00DC15EC">
        <w:rPr>
          <w:iCs/>
        </w:rPr>
        <w:t>Replication of complex PC</w:t>
      </w:r>
      <w:r w:rsidRPr="00DC15EC">
        <w:rPr>
          <w:rFonts w:hint="eastAsia"/>
          <w:iCs/>
        </w:rPr>
        <w:t>s</w:t>
      </w:r>
      <w:r w:rsidRPr="00DC15EC">
        <w:rPr>
          <w:iCs/>
        </w:rPr>
        <w:t xml:space="preserve"> in the HC</w:t>
      </w:r>
      <w:r w:rsidRPr="00DC15EC">
        <w:rPr>
          <w:rFonts w:hint="eastAsia"/>
          <w:iCs/>
        </w:rPr>
        <w:t>P</w:t>
      </w:r>
      <w:r w:rsidRPr="00DC15EC">
        <w:rPr>
          <w:iCs/>
        </w:rPr>
        <w:t>-D dataset.</w:t>
      </w:r>
      <w:r w:rsidRPr="00DC15EC">
        <w:rPr>
          <w:rFonts w:hint="eastAsia"/>
          <w:iCs/>
        </w:rPr>
        <w:t xml:space="preserve"> </w:t>
      </w:r>
      <w:r w:rsidRPr="00DC15EC">
        <w:rPr>
          <w:b w:val="0"/>
          <w:iCs/>
        </w:rPr>
        <w:t>Each panel (</w:t>
      </w:r>
      <w:r w:rsidRPr="00DC15EC">
        <w:rPr>
          <w:iCs/>
        </w:rPr>
        <w:t>A</w:t>
      </w:r>
      <w:r w:rsidRPr="00DC15EC">
        <w:rPr>
          <w:b w:val="0"/>
          <w:iCs/>
        </w:rPr>
        <w:t>–</w:t>
      </w:r>
      <w:r w:rsidRPr="00DC15EC">
        <w:rPr>
          <w:iCs/>
        </w:rPr>
        <w:t>C</w:t>
      </w:r>
      <w:r w:rsidRPr="00DC15EC">
        <w:rPr>
          <w:b w:val="0"/>
          <w:iCs/>
        </w:rPr>
        <w:t xml:space="preserve">) shows CPCA-derived complex PCs (left) and weight distributions across </w:t>
      </w:r>
      <w:r>
        <w:rPr>
          <w:rFonts w:hint="eastAsia"/>
          <w:b w:val="0"/>
          <w:iCs/>
          <w:lang w:eastAsia="zh-CN"/>
        </w:rPr>
        <w:t xml:space="preserve">the </w:t>
      </w:r>
      <w:r w:rsidRPr="00DC15EC">
        <w:rPr>
          <w:b w:val="0"/>
          <w:iCs/>
        </w:rPr>
        <w:t xml:space="preserve">7 network parcellations (right), replicating the patterns observed in the HCP-YA dataset. </w:t>
      </w:r>
      <w:r>
        <w:rPr>
          <w:b w:val="0"/>
          <w:iCs/>
        </w:rPr>
        <w:t>(</w:t>
      </w:r>
      <w:r w:rsidRPr="00DC15EC">
        <w:rPr>
          <w:iCs/>
        </w:rPr>
        <w:t>A</w:t>
      </w:r>
      <w:r>
        <w:rPr>
          <w:b w:val="0"/>
          <w:iCs/>
        </w:rPr>
        <w:t>)</w:t>
      </w:r>
      <w:r w:rsidRPr="00DC15EC">
        <w:rPr>
          <w:b w:val="0"/>
          <w:iCs/>
        </w:rPr>
        <w:t xml:space="preserve"> Complex PC1 captures widespread </w:t>
      </w:r>
      <w:proofErr w:type="spellStart"/>
      <w:r w:rsidRPr="00DC15EC">
        <w:rPr>
          <w:b w:val="0"/>
          <w:iCs/>
        </w:rPr>
        <w:t>transmodal</w:t>
      </w:r>
      <w:proofErr w:type="spellEnd"/>
      <w:r w:rsidRPr="00DC15EC">
        <w:rPr>
          <w:b w:val="0"/>
          <w:iCs/>
        </w:rPr>
        <w:t xml:space="preserve"> amplitude fluctuations. </w:t>
      </w:r>
      <w:r>
        <w:rPr>
          <w:b w:val="0"/>
          <w:iCs/>
        </w:rPr>
        <w:t>(</w:t>
      </w:r>
      <w:r w:rsidRPr="00DC15EC">
        <w:rPr>
          <w:iCs/>
        </w:rPr>
        <w:t>B</w:t>
      </w:r>
      <w:r>
        <w:rPr>
          <w:b w:val="0"/>
          <w:iCs/>
        </w:rPr>
        <w:t>)</w:t>
      </w:r>
      <w:r w:rsidRPr="00DC15EC">
        <w:rPr>
          <w:b w:val="0"/>
          <w:iCs/>
        </w:rPr>
        <w:t xml:space="preserve"> Complex PC2 reflects reciprocal dynamics between association and sensorimotor-attention systems. </w:t>
      </w:r>
      <w:r>
        <w:rPr>
          <w:b w:val="0"/>
          <w:iCs/>
        </w:rPr>
        <w:t>(</w:t>
      </w:r>
      <w:r w:rsidRPr="00DC15EC">
        <w:rPr>
          <w:iCs/>
        </w:rPr>
        <w:t>C</w:t>
      </w:r>
      <w:r>
        <w:rPr>
          <w:b w:val="0"/>
          <w:iCs/>
        </w:rPr>
        <w:t>)</w:t>
      </w:r>
      <w:r w:rsidRPr="00DC15EC">
        <w:rPr>
          <w:b w:val="0"/>
          <w:iCs/>
        </w:rPr>
        <w:t xml:space="preserve"> Complex PC3 highlights hemispheric asymmetry, where patterns mainly differed in </w:t>
      </w:r>
      <w:proofErr w:type="spellStart"/>
      <w:r w:rsidRPr="00DC15EC">
        <w:rPr>
          <w:b w:val="0"/>
          <w:iCs/>
        </w:rPr>
        <w:t>transmodal</w:t>
      </w:r>
      <w:proofErr w:type="spellEnd"/>
      <w:r w:rsidRPr="00DC15EC">
        <w:rPr>
          <w:b w:val="0"/>
          <w:iCs/>
        </w:rPr>
        <w:t xml:space="preserve"> regions. </w:t>
      </w:r>
      <w:r>
        <w:rPr>
          <w:b w:val="0"/>
          <w:iCs/>
        </w:rPr>
        <w:t>(</w:t>
      </w:r>
      <w:r w:rsidRPr="00DC15EC">
        <w:rPr>
          <w:iCs/>
        </w:rPr>
        <w:t>D</w:t>
      </w:r>
      <w:r>
        <w:rPr>
          <w:b w:val="0"/>
          <w:iCs/>
        </w:rPr>
        <w:t>)</w:t>
      </w:r>
      <w:r w:rsidRPr="00DC15EC">
        <w:rPr>
          <w:b w:val="0"/>
          <w:iCs/>
        </w:rPr>
        <w:t xml:space="preserve"> The variance explained by the top 10 complex PCs. The first three PCs accounted for a cumulative 72.23% of the explainable variance (47.31%, 16.75%, 8.17% for the first three PCs, respectively), capturing the dominant spatiotemporal modes of cerebellar BOLD dynamics. </w:t>
      </w:r>
      <w:r>
        <w:rPr>
          <w:b w:val="0"/>
          <w:iCs/>
        </w:rPr>
        <w:t>(</w:t>
      </w:r>
      <w:r w:rsidRPr="00DC15EC">
        <w:rPr>
          <w:iCs/>
        </w:rPr>
        <w:t>E</w:t>
      </w:r>
      <w:r>
        <w:rPr>
          <w:b w:val="0"/>
          <w:iCs/>
        </w:rPr>
        <w:t>)</w:t>
      </w:r>
      <w:r w:rsidRPr="00DC15EC">
        <w:rPr>
          <w:b w:val="0"/>
          <w:iCs/>
        </w:rPr>
        <w:t xml:space="preserve"> Spatial similarity matrix comparing the first three complex PCs to each </w:t>
      </w:r>
      <w:r w:rsidR="00A43A9B" w:rsidRPr="00DC15EC">
        <w:rPr>
          <w:b w:val="0"/>
        </w:rPr>
        <w:t>resting-state functional connectivity (</w:t>
      </w:r>
      <w:proofErr w:type="spellStart"/>
      <w:r w:rsidR="00A43A9B" w:rsidRPr="00DC15EC">
        <w:rPr>
          <w:b w:val="0"/>
        </w:rPr>
        <w:t>rsFC</w:t>
      </w:r>
      <w:proofErr w:type="spellEnd"/>
      <w:r w:rsidR="00A43A9B" w:rsidRPr="00DC15EC">
        <w:rPr>
          <w:b w:val="0"/>
        </w:rPr>
        <w:t>)</w:t>
      </w:r>
      <w:r w:rsidRPr="00DC15EC">
        <w:rPr>
          <w:b w:val="0"/>
          <w:iCs/>
        </w:rPr>
        <w:t xml:space="preserve"> topography obtained from multiple zero-lag methods. Most </w:t>
      </w:r>
      <w:proofErr w:type="spellStart"/>
      <w:r w:rsidRPr="00DC15EC">
        <w:rPr>
          <w:b w:val="0"/>
          <w:iCs/>
        </w:rPr>
        <w:t>rsFC</w:t>
      </w:r>
      <w:proofErr w:type="spellEnd"/>
      <w:r w:rsidRPr="00DC15EC">
        <w:rPr>
          <w:b w:val="0"/>
          <w:iCs/>
        </w:rPr>
        <w:t xml:space="preserve"> topographies exhibited strong spatial correlations (Pearson’s correlation) with one (or two) </w:t>
      </w:r>
      <w:r>
        <w:rPr>
          <w:rFonts w:hint="eastAsia"/>
          <w:b w:val="0"/>
          <w:iCs/>
          <w:lang w:eastAsia="zh-CN"/>
        </w:rPr>
        <w:t xml:space="preserve">of </w:t>
      </w:r>
      <w:r w:rsidRPr="00DC15EC">
        <w:rPr>
          <w:b w:val="0"/>
          <w:iCs/>
        </w:rPr>
        <w:t>complex PCs.</w:t>
      </w:r>
    </w:p>
    <w:p w14:paraId="31B2661E" w14:textId="77777777" w:rsidR="00275E66" w:rsidRDefault="00275E66" w:rsidP="00275E66">
      <w:pPr>
        <w:pStyle w:val="SMcaption"/>
      </w:pPr>
    </w:p>
    <w:p w14:paraId="24045E93" w14:textId="77777777" w:rsidR="00275E66" w:rsidRDefault="00275E66" w:rsidP="00275E66">
      <w:r>
        <w:br w:type="page"/>
      </w:r>
    </w:p>
    <w:p w14:paraId="56ACE06D" w14:textId="77777777" w:rsidR="00275E66" w:rsidRDefault="00275E66" w:rsidP="00275E66">
      <w:pPr>
        <w:pStyle w:val="SMcaption"/>
        <w:jc w:val="center"/>
      </w:pPr>
      <w:r>
        <w:rPr>
          <w:noProof/>
          <w:lang w:eastAsia="zh-CN"/>
        </w:rPr>
        <w:lastRenderedPageBreak/>
        <w:drawing>
          <wp:inline distT="0" distB="0" distL="0" distR="0" wp14:anchorId="2D566E66" wp14:editId="67D5FB12">
            <wp:extent cx="4823296" cy="5249457"/>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9600" cy="5256318"/>
                    </a:xfrm>
                    <a:prstGeom prst="rect">
                      <a:avLst/>
                    </a:prstGeom>
                  </pic:spPr>
                </pic:pic>
              </a:graphicData>
            </a:graphic>
          </wp:inline>
        </w:drawing>
      </w:r>
    </w:p>
    <w:p w14:paraId="412AAA30" w14:textId="77777777" w:rsidR="00275E66" w:rsidRPr="00DC15EC" w:rsidRDefault="00275E66" w:rsidP="00275E66">
      <w:pPr>
        <w:pStyle w:val="SMHeading"/>
        <w:rPr>
          <w:b w:val="0"/>
        </w:rPr>
      </w:pPr>
      <w:r w:rsidRPr="00355362">
        <w:t>Fig. S</w:t>
      </w:r>
      <w:r>
        <w:t>4.</w:t>
      </w:r>
      <w:r w:rsidRPr="00DC15EC">
        <w:t xml:space="preserve"> Replication of phase delay PCs in the HCP-D dataset. </w:t>
      </w:r>
      <w:r>
        <w:rPr>
          <w:b w:val="0"/>
        </w:rPr>
        <w:t>Each panel (</w:t>
      </w:r>
      <w:r w:rsidRPr="00DC15EC">
        <w:t>A</w:t>
      </w:r>
      <w:r>
        <w:rPr>
          <w:b w:val="0"/>
        </w:rPr>
        <w:t>–</w:t>
      </w:r>
      <w:r w:rsidRPr="00DC15EC">
        <w:t>C</w:t>
      </w:r>
      <w:r w:rsidRPr="00DC15EC">
        <w:rPr>
          <w:b w:val="0"/>
        </w:rPr>
        <w:t xml:space="preserve">) shows CPCA-derived phase delay PCs (left), phase value distributions across </w:t>
      </w:r>
      <w:r>
        <w:rPr>
          <w:rFonts w:hint="eastAsia"/>
          <w:b w:val="0"/>
          <w:lang w:eastAsia="zh-CN"/>
        </w:rPr>
        <w:t xml:space="preserve">the </w:t>
      </w:r>
      <w:r w:rsidRPr="00DC15EC">
        <w:rPr>
          <w:b w:val="0"/>
        </w:rPr>
        <w:t xml:space="preserve">7 network parcellations (middle), and reconstructed BOLD signal dynamics (right), illustrating how each phase pattern translates into coherent and cyclical spatiotemporal propagation of neural activity across cerebellar regions consistent with the HCP-YA dataset. </w:t>
      </w:r>
      <w:r>
        <w:rPr>
          <w:b w:val="0"/>
        </w:rPr>
        <w:t>(</w:t>
      </w:r>
      <w:r w:rsidRPr="00DC15EC">
        <w:t>A</w:t>
      </w:r>
      <w:r>
        <w:rPr>
          <w:b w:val="0"/>
        </w:rPr>
        <w:t>)</w:t>
      </w:r>
      <w:r w:rsidRPr="00DC15EC">
        <w:rPr>
          <w:b w:val="0"/>
        </w:rPr>
        <w:t xml:space="preserve"> Phase delay PC1 revealed a posterior-to-anterior propagation consistent with established cortical hierarchies with unimodal-to-</w:t>
      </w:r>
      <w:proofErr w:type="spellStart"/>
      <w:r w:rsidRPr="00DC15EC">
        <w:rPr>
          <w:b w:val="0"/>
        </w:rPr>
        <w:t>transmodal</w:t>
      </w:r>
      <w:proofErr w:type="spellEnd"/>
      <w:r w:rsidRPr="00DC15EC">
        <w:rPr>
          <w:b w:val="0"/>
        </w:rPr>
        <w:t xml:space="preserve"> pattern arranged along the functional gradient. </w:t>
      </w:r>
      <w:r>
        <w:rPr>
          <w:b w:val="0"/>
        </w:rPr>
        <w:t>(</w:t>
      </w:r>
      <w:r w:rsidRPr="00DC15EC">
        <w:t>B</w:t>
      </w:r>
      <w:r>
        <w:rPr>
          <w:b w:val="0"/>
        </w:rPr>
        <w:t>)</w:t>
      </w:r>
      <w:r w:rsidRPr="00DC15EC">
        <w:rPr>
          <w:b w:val="0"/>
        </w:rPr>
        <w:t xml:space="preserve"> Phase delay PC2 reflected an anti-synchronous mode between association and sensorimotor regions. </w:t>
      </w:r>
      <w:r>
        <w:rPr>
          <w:b w:val="0"/>
        </w:rPr>
        <w:t>(</w:t>
      </w:r>
      <w:r w:rsidRPr="00DC15EC">
        <w:t>C</w:t>
      </w:r>
      <w:r>
        <w:rPr>
          <w:b w:val="0"/>
        </w:rPr>
        <w:t>)</w:t>
      </w:r>
      <w:r w:rsidRPr="00DC15EC">
        <w:rPr>
          <w:b w:val="0"/>
        </w:rPr>
        <w:t xml:space="preserve"> Phase delay PC3 exhibited a lateralized temporal progression, suggesting hemispheric asymmetries in cerebellar information flow.</w:t>
      </w:r>
    </w:p>
    <w:p w14:paraId="1CCFBF31" w14:textId="77777777" w:rsidR="00275E66" w:rsidRDefault="00275E66" w:rsidP="00275E66">
      <w:pPr>
        <w:pStyle w:val="SMcaption"/>
      </w:pPr>
    </w:p>
    <w:p w14:paraId="68E686C7" w14:textId="77777777" w:rsidR="00275E66" w:rsidRDefault="00275E66" w:rsidP="00275E66">
      <w:r>
        <w:br w:type="page"/>
      </w:r>
    </w:p>
    <w:p w14:paraId="6ECD612C" w14:textId="77777777" w:rsidR="00275E66" w:rsidRDefault="00275E66" w:rsidP="00275E66">
      <w:pPr>
        <w:pStyle w:val="SMcaption"/>
        <w:jc w:val="center"/>
      </w:pPr>
      <w:r>
        <w:rPr>
          <w:noProof/>
          <w:lang w:eastAsia="zh-CN"/>
        </w:rPr>
        <w:lastRenderedPageBreak/>
        <w:drawing>
          <wp:inline distT="0" distB="0" distL="0" distR="0" wp14:anchorId="170DCE56" wp14:editId="07B18932">
            <wp:extent cx="4695477" cy="381306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7672" cy="3822971"/>
                    </a:xfrm>
                    <a:prstGeom prst="rect">
                      <a:avLst/>
                    </a:prstGeom>
                  </pic:spPr>
                </pic:pic>
              </a:graphicData>
            </a:graphic>
          </wp:inline>
        </w:drawing>
      </w:r>
    </w:p>
    <w:p w14:paraId="5815CFDE" w14:textId="08880F89" w:rsidR="00275E66" w:rsidRPr="00DC15EC" w:rsidRDefault="00275E66" w:rsidP="00275E66">
      <w:pPr>
        <w:pStyle w:val="SMHeading"/>
        <w:rPr>
          <w:b w:val="0"/>
        </w:rPr>
      </w:pPr>
      <w:r w:rsidRPr="00355362">
        <w:t>Fig. S</w:t>
      </w:r>
      <w:r>
        <w:t>5.</w:t>
      </w:r>
      <w:r w:rsidRPr="00DC15EC">
        <w:t xml:space="preserve"> CPCA-based BOLD </w:t>
      </w:r>
      <w:r>
        <w:rPr>
          <w:rFonts w:hint="eastAsia"/>
          <w:lang w:eastAsia="zh-CN"/>
        </w:rPr>
        <w:t>s</w:t>
      </w:r>
      <w:r w:rsidRPr="00DC15EC">
        <w:t xml:space="preserve">ignal </w:t>
      </w:r>
      <w:r>
        <w:rPr>
          <w:rFonts w:hint="eastAsia"/>
          <w:lang w:eastAsia="zh-CN"/>
        </w:rPr>
        <w:t>r</w:t>
      </w:r>
      <w:r w:rsidRPr="00DC15EC">
        <w:t xml:space="preserve">econstructions in the HCP-D dataset. </w:t>
      </w:r>
      <w:r w:rsidRPr="00DC15EC">
        <w:rPr>
          <w:b w:val="0"/>
        </w:rPr>
        <w:t xml:space="preserve">The CPCA-based BOLD signal reconstructions from the HCP-D dataset exhibit similar </w:t>
      </w:r>
      <w:proofErr w:type="spellStart"/>
      <w:r w:rsidR="00A43A9B">
        <w:rPr>
          <w:rFonts w:hint="eastAsia"/>
          <w:b w:val="0"/>
          <w:lang w:eastAsia="zh-CN"/>
        </w:rPr>
        <w:t>rsFC</w:t>
      </w:r>
      <w:proofErr w:type="spellEnd"/>
      <w:r w:rsidR="00A43A9B">
        <w:rPr>
          <w:rFonts w:hint="eastAsia"/>
          <w:b w:val="0"/>
          <w:lang w:eastAsia="zh-CN"/>
        </w:rPr>
        <w:t xml:space="preserve"> </w:t>
      </w:r>
      <w:r w:rsidRPr="00DC15EC">
        <w:rPr>
          <w:b w:val="0"/>
        </w:rPr>
        <w:t xml:space="preserve">and modularity to those observed in the HCP-YA data. </w:t>
      </w:r>
      <w:r>
        <w:rPr>
          <w:b w:val="0"/>
        </w:rPr>
        <w:t>(</w:t>
      </w:r>
      <w:r w:rsidRPr="00DC15EC">
        <w:t>A</w:t>
      </w:r>
      <w:r>
        <w:rPr>
          <w:b w:val="0"/>
        </w:rPr>
        <w:t>)</w:t>
      </w:r>
      <w:r w:rsidRPr="00DC15EC">
        <w:rPr>
          <w:b w:val="0"/>
        </w:rPr>
        <w:t xml:space="preserve"> </w:t>
      </w:r>
      <w:proofErr w:type="spellStart"/>
      <w:r w:rsidRPr="00DC15EC">
        <w:rPr>
          <w:b w:val="0"/>
        </w:rPr>
        <w:t>rsFC</w:t>
      </w:r>
      <w:proofErr w:type="spellEnd"/>
      <w:r w:rsidRPr="00DC15EC">
        <w:rPr>
          <w:b w:val="0"/>
        </w:rPr>
        <w:t xml:space="preserve"> computed from the empirical BOLD signals (left) and CPCA-reconstructed BOLD signals (right) from the HCP-D dataset. The reconstructed </w:t>
      </w:r>
      <w:proofErr w:type="spellStart"/>
      <w:r w:rsidRPr="00DC15EC">
        <w:rPr>
          <w:b w:val="0"/>
        </w:rPr>
        <w:t>rsFC</w:t>
      </w:r>
      <w:proofErr w:type="spellEnd"/>
      <w:r w:rsidRPr="00DC15EC">
        <w:rPr>
          <w:b w:val="0"/>
        </w:rPr>
        <w:t xml:space="preserve"> matrix not only retained the core modular structure observed in the empirical data (Pearson’s </w:t>
      </w:r>
      <w:r w:rsidRPr="002A654B">
        <w:rPr>
          <w:b w:val="0"/>
          <w:i/>
        </w:rPr>
        <w:t>r</w:t>
      </w:r>
      <w:r w:rsidRPr="00DC15EC">
        <w:rPr>
          <w:b w:val="0"/>
        </w:rPr>
        <w:t xml:space="preserve"> = 0.676) but also exhibited higher overall connectivity values, indicating the robustness of the CPCA-derived patterns in the HCP-D dataset. </w:t>
      </w:r>
      <w:r>
        <w:rPr>
          <w:b w:val="0"/>
        </w:rPr>
        <w:t>(</w:t>
      </w:r>
      <w:r w:rsidRPr="00DC15EC">
        <w:t>B</w:t>
      </w:r>
      <w:r>
        <w:rPr>
          <w:b w:val="0"/>
        </w:rPr>
        <w:t>)</w:t>
      </w:r>
      <w:r w:rsidRPr="00DC15EC">
        <w:rPr>
          <w:b w:val="0"/>
        </w:rPr>
        <w:t xml:space="preserve"> Modularity partition maps derived from the empirical (left) and reconstructed (right) </w:t>
      </w:r>
      <w:proofErr w:type="spellStart"/>
      <w:r w:rsidRPr="00DC15EC">
        <w:rPr>
          <w:b w:val="0"/>
        </w:rPr>
        <w:t>rsFC</w:t>
      </w:r>
      <w:proofErr w:type="spellEnd"/>
      <w:r w:rsidRPr="00DC15EC">
        <w:rPr>
          <w:b w:val="0"/>
        </w:rPr>
        <w:t xml:space="preserve"> matrices in the HCP-D dataset. Despite the dimensionality reduction, the reconstructed signals faithfully reproduced the major functional subdivisions of the cerebellum (NMI = 0.94).</w:t>
      </w:r>
    </w:p>
    <w:p w14:paraId="57D44D4A" w14:textId="77777777" w:rsidR="00275E66" w:rsidRDefault="00275E66" w:rsidP="00275E66">
      <w:pPr>
        <w:pStyle w:val="SMcaption"/>
      </w:pPr>
    </w:p>
    <w:p w14:paraId="06A60154" w14:textId="77777777" w:rsidR="00275E66" w:rsidRDefault="00275E66" w:rsidP="00275E66">
      <w:r>
        <w:br w:type="page"/>
      </w:r>
    </w:p>
    <w:p w14:paraId="298DA725" w14:textId="77777777" w:rsidR="00275E66" w:rsidRDefault="00275E66" w:rsidP="00275E66">
      <w:pPr>
        <w:pStyle w:val="SMcaption"/>
      </w:pPr>
      <w:r>
        <w:rPr>
          <w:noProof/>
          <w:lang w:eastAsia="zh-CN"/>
        </w:rPr>
        <w:lastRenderedPageBreak/>
        <w:drawing>
          <wp:inline distT="0" distB="0" distL="0" distR="0" wp14:anchorId="40E8EF5F" wp14:editId="4333EFCB">
            <wp:extent cx="5943600" cy="38315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31590"/>
                    </a:xfrm>
                    <a:prstGeom prst="rect">
                      <a:avLst/>
                    </a:prstGeom>
                  </pic:spPr>
                </pic:pic>
              </a:graphicData>
            </a:graphic>
          </wp:inline>
        </w:drawing>
      </w:r>
    </w:p>
    <w:p w14:paraId="3A51EFB0" w14:textId="77777777" w:rsidR="00275E66" w:rsidRPr="00DC15EC" w:rsidRDefault="00275E66" w:rsidP="00275E66">
      <w:pPr>
        <w:pStyle w:val="SMHeading"/>
      </w:pPr>
      <w:r w:rsidRPr="00355362">
        <w:t>Fig. S</w:t>
      </w:r>
      <w:r>
        <w:t xml:space="preserve">6. </w:t>
      </w:r>
      <w:r w:rsidRPr="00DC15EC">
        <w:t xml:space="preserve">Schematic illustration of reference-based sine relative phase (SRP) mapping. </w:t>
      </w:r>
      <w:r w:rsidRPr="00DC15EC">
        <w:rPr>
          <w:b w:val="0"/>
        </w:rPr>
        <w:t xml:space="preserve">Each voxel’s BOLD signal is transformed into its analytic representation using the Hilbert transform, allowing instantaneous phase extraction. The diagram shows how the phase </w:t>
      </w:r>
      <w:r w:rsidRPr="002A654B">
        <w:rPr>
          <w:b w:val="0"/>
          <w:position w:val="-12"/>
        </w:rPr>
        <w:object w:dxaOrig="260" w:dyaOrig="360" w14:anchorId="17BF0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8.05pt" o:ole="">
            <v:imagedata r:id="rId14" o:title=""/>
          </v:shape>
          <o:OLEObject Type="Embed" ProgID="Equation.DSMT4" ShapeID="_x0000_i1025" DrawAspect="Content" ObjectID="_1818832197" r:id="rId15"/>
        </w:object>
      </w:r>
      <w:r>
        <w:rPr>
          <w:b w:val="0"/>
        </w:rPr>
        <w:t xml:space="preserve"> </w:t>
      </w:r>
      <w:r w:rsidRPr="00DC15EC">
        <w:rPr>
          <w:b w:val="0"/>
        </w:rPr>
        <w:t>of a voxel is geometrically represented on the complex plane. This sine-based transform resolves the circularity of phase values and yields a bounded measure in</w:t>
      </w:r>
      <w:r>
        <w:rPr>
          <w:b w:val="0"/>
        </w:rPr>
        <w:t xml:space="preserve"> </w:t>
      </w:r>
      <w:r w:rsidRPr="002A654B">
        <w:rPr>
          <w:b w:val="0"/>
          <w:position w:val="-10"/>
        </w:rPr>
        <w:object w:dxaOrig="600" w:dyaOrig="320" w14:anchorId="1656B813">
          <v:shape id="_x0000_i1026" type="#_x0000_t75" style="width:30pt;height:15.85pt" o:ole="">
            <v:imagedata r:id="rId16" o:title=""/>
          </v:shape>
          <o:OLEObject Type="Embed" ProgID="Equation.DSMT4" ShapeID="_x0000_i1026" DrawAspect="Content" ObjectID="_1818832198" r:id="rId17"/>
        </w:object>
      </w:r>
      <w:r w:rsidRPr="00DC15EC">
        <w:rPr>
          <w:b w:val="0"/>
        </w:rPr>
        <w:t xml:space="preserve">, emphasizing the direction of phase delay: positive values indicate voxel </w:t>
      </w:r>
      <w:r w:rsidRPr="002A654B">
        <w:rPr>
          <w:rFonts w:ascii="Cambria Math" w:hAnsi="Cambria Math" w:cs="Cambria Math"/>
          <w:b w:val="0"/>
          <w:position w:val="-6"/>
        </w:rPr>
        <w:object w:dxaOrig="139" w:dyaOrig="260" w14:anchorId="17E0649B">
          <v:shape id="_x0000_i1027" type="#_x0000_t75" style="width:6.95pt;height:13.05pt" o:ole="">
            <v:imagedata r:id="rId18" o:title=""/>
          </v:shape>
          <o:OLEObject Type="Embed" ProgID="Equation.DSMT4" ShapeID="_x0000_i1027" DrawAspect="Content" ObjectID="_1818832199" r:id="rId19"/>
        </w:object>
      </w:r>
      <w:r w:rsidRPr="00DC15EC">
        <w:rPr>
          <w:b w:val="0"/>
        </w:rPr>
        <w:t xml:space="preserve"> lags behind the reference, negative values indicate voxel </w:t>
      </w:r>
      <w:r w:rsidRPr="002A654B">
        <w:rPr>
          <w:rFonts w:ascii="Cambria Math" w:hAnsi="Cambria Math" w:cs="Cambria Math"/>
          <w:b w:val="0"/>
          <w:position w:val="-6"/>
        </w:rPr>
        <w:object w:dxaOrig="139" w:dyaOrig="260" w14:anchorId="16804E86">
          <v:shape id="_x0000_i1028" type="#_x0000_t75" style="width:6.95pt;height:13.05pt" o:ole="">
            <v:imagedata r:id="rId20" o:title=""/>
          </v:shape>
          <o:OLEObject Type="Embed" ProgID="Equation.DSMT4" ShapeID="_x0000_i1028" DrawAspect="Content" ObjectID="_1818832200" r:id="rId21"/>
        </w:object>
      </w:r>
      <w:r w:rsidRPr="00DC15EC">
        <w:rPr>
          <w:b w:val="0"/>
        </w:rPr>
        <w:t xml:space="preserve"> leads the reference, and values near 0 imply either aligned or opposite phases. </w:t>
      </w:r>
      <w:r w:rsidRPr="00345445">
        <w:rPr>
          <w:b w:val="0"/>
        </w:rPr>
        <w:t>The reference point indicates the cerebellar voxel chosen as the phase origin, serving to anchor propagation timing and directionality across the map.</w:t>
      </w:r>
      <w:r>
        <w:rPr>
          <w:b w:val="0"/>
          <w:lang w:eastAsia="zh-CN"/>
        </w:rPr>
        <w:t xml:space="preserve"> </w:t>
      </w:r>
      <w:r w:rsidRPr="00DC15EC">
        <w:rPr>
          <w:b w:val="0"/>
        </w:rPr>
        <w:t>This representation removes phase circularity and preserves fine-grained relative timing information across the spatial domain.</w:t>
      </w:r>
      <w:r>
        <w:rPr>
          <w:b w:val="0"/>
        </w:rPr>
        <w:t xml:space="preserve"> </w:t>
      </w:r>
    </w:p>
    <w:p w14:paraId="74650415" w14:textId="77777777" w:rsidR="00275E66" w:rsidRDefault="00275E66" w:rsidP="00275E66">
      <w:pPr>
        <w:pStyle w:val="SMcaption"/>
      </w:pPr>
    </w:p>
    <w:p w14:paraId="625A8EF7" w14:textId="77777777" w:rsidR="00275E66" w:rsidRDefault="00275E66" w:rsidP="00275E66">
      <w:r>
        <w:br w:type="page"/>
      </w:r>
    </w:p>
    <w:p w14:paraId="472B84F4" w14:textId="77777777" w:rsidR="00275E66" w:rsidRDefault="00275E66" w:rsidP="00275E66">
      <w:pPr>
        <w:pStyle w:val="SMcaption"/>
      </w:pPr>
      <w:r>
        <w:rPr>
          <w:noProof/>
          <w:lang w:eastAsia="zh-CN"/>
        </w:rPr>
        <w:lastRenderedPageBreak/>
        <w:drawing>
          <wp:inline distT="0" distB="0" distL="0" distR="0" wp14:anchorId="3A83283F" wp14:editId="54ABC922">
            <wp:extent cx="5943600" cy="38392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839210"/>
                    </a:xfrm>
                    <a:prstGeom prst="rect">
                      <a:avLst/>
                    </a:prstGeom>
                  </pic:spPr>
                </pic:pic>
              </a:graphicData>
            </a:graphic>
          </wp:inline>
        </w:drawing>
      </w:r>
    </w:p>
    <w:p w14:paraId="6B985BB4" w14:textId="77777777" w:rsidR="00275E66" w:rsidRPr="002A654B" w:rsidRDefault="00275E66" w:rsidP="00275E66">
      <w:pPr>
        <w:pStyle w:val="SMHeading"/>
        <w:rPr>
          <w:b w:val="0"/>
        </w:rPr>
      </w:pPr>
      <w:r w:rsidRPr="00355362">
        <w:t>Fig. S</w:t>
      </w:r>
      <w:r>
        <w:t>7.</w:t>
      </w:r>
      <w:r w:rsidRPr="002A654B">
        <w:t xml:space="preserve"> Age-related effects in CPCA-derived patterns. </w:t>
      </w:r>
      <w:r w:rsidRPr="002A654B">
        <w:rPr>
          <w:b w:val="0"/>
        </w:rPr>
        <w:t>Age-related effects were examined using linear mixed-effects models (LMM) including age, sex, head motion, and education background as fixed effects with a random intercept. Analyses were conducted within the HCP-D dataset. Results revealed a marked effect of age with the direction of association aligning across principal components. These findings indicate that even after accounting for demographic and neuroimaging covariates, subtle age-related modulations persist during the developmental period captured by the HCP-D dataset.</w:t>
      </w:r>
    </w:p>
    <w:p w14:paraId="4F030B24" w14:textId="77777777" w:rsidR="00275E66" w:rsidRDefault="00275E66" w:rsidP="00275E66">
      <w:pPr>
        <w:pStyle w:val="SMcaption"/>
      </w:pPr>
    </w:p>
    <w:p w14:paraId="42CF3C92" w14:textId="77777777" w:rsidR="00275E66" w:rsidRDefault="00275E66" w:rsidP="00275E66">
      <w:r>
        <w:br w:type="page"/>
      </w:r>
    </w:p>
    <w:p w14:paraId="2353745F" w14:textId="77777777" w:rsidR="00275E66" w:rsidRDefault="00275E66" w:rsidP="00275E66">
      <w:pPr>
        <w:pStyle w:val="SMcaption"/>
        <w:jc w:val="center"/>
      </w:pPr>
      <w:r>
        <w:rPr>
          <w:noProof/>
          <w:lang w:eastAsia="zh-CN"/>
        </w:rPr>
        <w:lastRenderedPageBreak/>
        <w:drawing>
          <wp:inline distT="0" distB="0" distL="0" distR="0" wp14:anchorId="5D500BCB" wp14:editId="62E160E8">
            <wp:extent cx="5282906" cy="661830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5834" cy="6647031"/>
                    </a:xfrm>
                    <a:prstGeom prst="rect">
                      <a:avLst/>
                    </a:prstGeom>
                  </pic:spPr>
                </pic:pic>
              </a:graphicData>
            </a:graphic>
          </wp:inline>
        </w:drawing>
      </w:r>
    </w:p>
    <w:p w14:paraId="53A4375A" w14:textId="77777777" w:rsidR="00275E66" w:rsidRPr="002A654B" w:rsidRDefault="00275E66" w:rsidP="00275E66">
      <w:pPr>
        <w:pStyle w:val="SMHeading"/>
        <w:rPr>
          <w:b w:val="0"/>
        </w:rPr>
      </w:pPr>
      <w:r w:rsidRPr="00355362">
        <w:t>Fig. S</w:t>
      </w:r>
      <w:r>
        <w:t>8.</w:t>
      </w:r>
      <w:r w:rsidRPr="002A654B">
        <w:t xml:space="preserve"> Classification performance of artificial neural network trained on the first three SRP PCs. </w:t>
      </w:r>
      <w:r w:rsidRPr="002A654B">
        <w:rPr>
          <w:b w:val="0"/>
        </w:rPr>
        <w:t xml:space="preserve">We evaluated the performance of artificial neural network (ANN) in predicting sex using leave-one-out cross-validation (LOOCV) and underwent grid optimization. Each row in the figure corresponds to a different SRP PC (from top to bottom: SRP PC1, SRP PC2, SRP PC3). In each panel among </w:t>
      </w:r>
      <w:r>
        <w:rPr>
          <w:b w:val="0"/>
        </w:rPr>
        <w:t>(</w:t>
      </w:r>
      <w:r w:rsidRPr="002A654B">
        <w:t>A</w:t>
      </w:r>
      <w:r w:rsidRPr="002A654B">
        <w:rPr>
          <w:rFonts w:eastAsia="宋体"/>
          <w:b w:val="0"/>
        </w:rPr>
        <w:t>–</w:t>
      </w:r>
      <w:r>
        <w:rPr>
          <w:rFonts w:eastAsia="宋体"/>
        </w:rPr>
        <w:t>C</w:t>
      </w:r>
      <w:r w:rsidRPr="002A654B">
        <w:rPr>
          <w:rFonts w:eastAsia="宋体"/>
          <w:b w:val="0"/>
        </w:rPr>
        <w:t>)</w:t>
      </w:r>
      <w:r w:rsidRPr="002A654B">
        <w:rPr>
          <w:b w:val="0"/>
        </w:rPr>
        <w:t>, we displayed the receiver operating characteristic (ROC) curves with predicted probability distributions, confusion matrices and permutation-based null model. All classifiers significantly outperformed null model (</w:t>
      </w:r>
      <w:r w:rsidRPr="002A654B">
        <w:rPr>
          <w:b w:val="0"/>
          <w:i/>
        </w:rPr>
        <w:t>P</w:t>
      </w:r>
      <w:r w:rsidRPr="002A654B">
        <w:rPr>
          <w:b w:val="0"/>
        </w:rPr>
        <w:t xml:space="preserve"> &lt; 0.001).</w:t>
      </w:r>
    </w:p>
    <w:p w14:paraId="5DEC658A" w14:textId="77777777" w:rsidR="00275E66" w:rsidRDefault="00275E66" w:rsidP="00275E66"/>
    <w:p w14:paraId="510043E9" w14:textId="77777777" w:rsidR="00275E66" w:rsidRDefault="00275E66" w:rsidP="00275E66">
      <w:pPr>
        <w:pStyle w:val="SMcaption"/>
        <w:jc w:val="center"/>
      </w:pPr>
      <w:r>
        <w:rPr>
          <w:noProof/>
          <w:lang w:eastAsia="zh-CN"/>
        </w:rPr>
        <w:lastRenderedPageBreak/>
        <w:drawing>
          <wp:inline distT="0" distB="0" distL="0" distR="0" wp14:anchorId="7B4F8F47" wp14:editId="36387F52">
            <wp:extent cx="5254451" cy="6591080"/>
            <wp:effectExtent l="0" t="0" r="381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S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2884" cy="6614202"/>
                    </a:xfrm>
                    <a:prstGeom prst="rect">
                      <a:avLst/>
                    </a:prstGeom>
                  </pic:spPr>
                </pic:pic>
              </a:graphicData>
            </a:graphic>
          </wp:inline>
        </w:drawing>
      </w:r>
    </w:p>
    <w:p w14:paraId="123A2740" w14:textId="77777777" w:rsidR="00275E66" w:rsidRPr="002A654B" w:rsidRDefault="00275E66" w:rsidP="00275E66">
      <w:pPr>
        <w:pStyle w:val="SMHeading"/>
        <w:rPr>
          <w:b w:val="0"/>
        </w:rPr>
      </w:pPr>
      <w:r w:rsidRPr="00355362">
        <w:t>Fig. S</w:t>
      </w:r>
      <w:r>
        <w:t>9.</w:t>
      </w:r>
      <w:r w:rsidRPr="002A654B">
        <w:t xml:space="preserve"> Classification performance of linear support vector machine trained on the first three complex PCs. </w:t>
      </w:r>
      <w:r w:rsidRPr="002A654B">
        <w:rPr>
          <w:b w:val="0"/>
        </w:rPr>
        <w:t xml:space="preserve">We evaluated the performance of linear support vector machine (LSVM) in predicting sex using LOOCV and underwent grid optimization. Each row in the figure corresponds to a different complex PC (from top to bottom: complex PC1, complex PC2, complex PC3). In each panel among </w:t>
      </w:r>
      <w:r>
        <w:rPr>
          <w:b w:val="0"/>
        </w:rPr>
        <w:t>(</w:t>
      </w:r>
      <w:r w:rsidRPr="002A654B">
        <w:t>A</w:t>
      </w:r>
      <w:r w:rsidRPr="002A654B">
        <w:rPr>
          <w:rFonts w:eastAsia="宋体"/>
          <w:b w:val="0"/>
        </w:rPr>
        <w:t>–</w:t>
      </w:r>
      <w:r>
        <w:rPr>
          <w:rFonts w:eastAsia="宋体"/>
        </w:rPr>
        <w:t>C</w:t>
      </w:r>
      <w:r w:rsidRPr="002A654B">
        <w:rPr>
          <w:rFonts w:eastAsia="宋体"/>
          <w:b w:val="0"/>
        </w:rPr>
        <w:t>)</w:t>
      </w:r>
      <w:r w:rsidRPr="002A654B">
        <w:rPr>
          <w:b w:val="0"/>
        </w:rPr>
        <w:t>, we displayed the ROC curves with predicted probability distributions, confusion matrices and permutation-based null model. All classifiers significantly outperformed null model (</w:t>
      </w:r>
      <w:r w:rsidRPr="002A654B">
        <w:rPr>
          <w:b w:val="0"/>
          <w:i/>
        </w:rPr>
        <w:t>P</w:t>
      </w:r>
      <w:r w:rsidRPr="002A654B">
        <w:rPr>
          <w:b w:val="0"/>
        </w:rPr>
        <w:t xml:space="preserve"> &lt; 0.001).</w:t>
      </w:r>
    </w:p>
    <w:p w14:paraId="5C00816A" w14:textId="77777777" w:rsidR="00275E66" w:rsidRDefault="00275E66" w:rsidP="00275E66"/>
    <w:p w14:paraId="1A719E12" w14:textId="77777777" w:rsidR="00275E66" w:rsidRDefault="00275E66" w:rsidP="00275E66">
      <w:pPr>
        <w:pStyle w:val="SMcaption"/>
        <w:jc w:val="center"/>
      </w:pPr>
      <w:r>
        <w:rPr>
          <w:noProof/>
          <w:lang w:eastAsia="zh-CN"/>
        </w:rPr>
        <w:lastRenderedPageBreak/>
        <w:drawing>
          <wp:inline distT="0" distB="0" distL="0" distR="0" wp14:anchorId="30792F40" wp14:editId="2B7E0D9B">
            <wp:extent cx="5319514" cy="670736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S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40811" cy="6734215"/>
                    </a:xfrm>
                    <a:prstGeom prst="rect">
                      <a:avLst/>
                    </a:prstGeom>
                  </pic:spPr>
                </pic:pic>
              </a:graphicData>
            </a:graphic>
          </wp:inline>
        </w:drawing>
      </w:r>
    </w:p>
    <w:p w14:paraId="13C9D4DC" w14:textId="77777777" w:rsidR="00275E66" w:rsidRDefault="00275E66" w:rsidP="00275E66">
      <w:pPr>
        <w:pStyle w:val="SMHeading"/>
      </w:pPr>
      <w:r w:rsidRPr="00355362">
        <w:t>Fig. S</w:t>
      </w:r>
      <w:r>
        <w:t>10.</w:t>
      </w:r>
      <w:r w:rsidRPr="002A654B">
        <w:t xml:space="preserve"> Classification performance of artificial neural network trained on the first three complex PCs. </w:t>
      </w:r>
      <w:r w:rsidRPr="002A654B">
        <w:rPr>
          <w:b w:val="0"/>
        </w:rPr>
        <w:t xml:space="preserve">We evaluated the performance of ANN in predicting sex using LOOCV and underwent grid optimization. Each row in the figure corresponds to a different complex PC (from top to bottom: complex PC1, complex PC2, complex PC3). In each panel among </w:t>
      </w:r>
      <w:r>
        <w:rPr>
          <w:b w:val="0"/>
        </w:rPr>
        <w:t>(</w:t>
      </w:r>
      <w:r w:rsidRPr="002A654B">
        <w:t>A</w:t>
      </w:r>
      <w:r w:rsidRPr="002A654B">
        <w:rPr>
          <w:rFonts w:eastAsia="宋体"/>
          <w:b w:val="0"/>
        </w:rPr>
        <w:t>–</w:t>
      </w:r>
      <w:r>
        <w:rPr>
          <w:rFonts w:eastAsia="宋体"/>
        </w:rPr>
        <w:t>C</w:t>
      </w:r>
      <w:r w:rsidRPr="002A654B">
        <w:rPr>
          <w:rFonts w:eastAsia="宋体"/>
          <w:b w:val="0"/>
        </w:rPr>
        <w:t>)</w:t>
      </w:r>
      <w:r w:rsidRPr="002A654B">
        <w:rPr>
          <w:b w:val="0"/>
        </w:rPr>
        <w:t>, we displayed the ROC curves with predicted probability distributions, confusion matrices and permutation-based null model. All classifiers significantly outperformed null model (</w:t>
      </w:r>
      <w:r w:rsidRPr="002A654B">
        <w:rPr>
          <w:b w:val="0"/>
          <w:i/>
        </w:rPr>
        <w:t>P</w:t>
      </w:r>
      <w:r w:rsidRPr="002A654B">
        <w:rPr>
          <w:b w:val="0"/>
        </w:rPr>
        <w:t xml:space="preserve"> &lt; 0.001). </w:t>
      </w:r>
    </w:p>
    <w:p w14:paraId="40F7B7DD" w14:textId="77777777" w:rsidR="00275E66" w:rsidRDefault="00275E66" w:rsidP="00275E66"/>
    <w:p w14:paraId="7A557F1C" w14:textId="77777777" w:rsidR="00275E66" w:rsidRDefault="00275E66" w:rsidP="00275E66">
      <w:pPr>
        <w:pStyle w:val="SMcaption"/>
      </w:pPr>
      <w:r>
        <w:rPr>
          <w:noProof/>
          <w:lang w:eastAsia="zh-CN"/>
        </w:rPr>
        <w:lastRenderedPageBreak/>
        <w:drawing>
          <wp:inline distT="0" distB="0" distL="0" distR="0" wp14:anchorId="5F7FD065" wp14:editId="456AA57B">
            <wp:extent cx="5943600" cy="4800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S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800600"/>
                    </a:xfrm>
                    <a:prstGeom prst="rect">
                      <a:avLst/>
                    </a:prstGeom>
                  </pic:spPr>
                </pic:pic>
              </a:graphicData>
            </a:graphic>
          </wp:inline>
        </w:drawing>
      </w:r>
    </w:p>
    <w:p w14:paraId="3CFA4F9B" w14:textId="77777777" w:rsidR="00275E66" w:rsidRDefault="00275E66" w:rsidP="00275E66">
      <w:pPr>
        <w:pStyle w:val="SMHeading"/>
      </w:pPr>
      <w:r w:rsidRPr="00355362">
        <w:t>Fig. S</w:t>
      </w:r>
      <w:r>
        <w:t xml:space="preserve">11. </w:t>
      </w:r>
      <w:r w:rsidRPr="002A654B">
        <w:t xml:space="preserve">Identification of behaviorally relevant canonical components across CPCA-derived spatiotemporal patterns. </w:t>
      </w:r>
      <w:r>
        <w:rPr>
          <w:b w:val="0"/>
        </w:rPr>
        <w:t>(</w:t>
      </w:r>
      <w:r w:rsidRPr="00E738F8">
        <w:t>A</w:t>
      </w:r>
      <w:r>
        <w:rPr>
          <w:b w:val="0"/>
        </w:rPr>
        <w:t>)</w:t>
      </w:r>
      <w:r w:rsidRPr="002A654B">
        <w:rPr>
          <w:b w:val="0"/>
        </w:rPr>
        <w:t xml:space="preserve"> Heatmaps show the correlation between canonical components (x-axis) derived from </w:t>
      </w:r>
      <w:proofErr w:type="spellStart"/>
      <w:r w:rsidRPr="002A654B">
        <w:rPr>
          <w:b w:val="0"/>
        </w:rPr>
        <w:t>sCCA</w:t>
      </w:r>
      <w:proofErr w:type="spellEnd"/>
      <w:r w:rsidRPr="002A654B">
        <w:rPr>
          <w:b w:val="0"/>
        </w:rPr>
        <w:t xml:space="preserve"> and behavioral components (y-axis) derived via PCA on 35 behavioral measures for each pattern (left: SRP PC1, middle: SRP PC3, right: complex PC2). White circles mark the canonical components selected for further analysis. </w:t>
      </w:r>
      <w:r>
        <w:rPr>
          <w:rFonts w:hint="eastAsia"/>
          <w:b w:val="0"/>
          <w:lang w:eastAsia="zh-CN"/>
        </w:rPr>
        <w:t>Specifically, f</w:t>
      </w:r>
      <w:r w:rsidRPr="002A654B">
        <w:rPr>
          <w:b w:val="0"/>
        </w:rPr>
        <w:t xml:space="preserve">or each behavioral component, the </w:t>
      </w:r>
      <w:r>
        <w:rPr>
          <w:rFonts w:hint="eastAsia"/>
          <w:b w:val="0"/>
          <w:lang w:eastAsia="zh-CN"/>
        </w:rPr>
        <w:t>canonical</w:t>
      </w:r>
      <w:r>
        <w:rPr>
          <w:b w:val="0"/>
        </w:rPr>
        <w:t xml:space="preserve"> </w:t>
      </w:r>
      <w:r>
        <w:rPr>
          <w:rFonts w:hint="eastAsia"/>
          <w:b w:val="0"/>
          <w:lang w:eastAsia="zh-CN"/>
        </w:rPr>
        <w:t>component</w:t>
      </w:r>
      <w:r>
        <w:rPr>
          <w:b w:val="0"/>
        </w:rPr>
        <w:t xml:space="preserve"> </w:t>
      </w:r>
      <w:r>
        <w:rPr>
          <w:rFonts w:hint="eastAsia"/>
          <w:b w:val="0"/>
          <w:lang w:eastAsia="zh-CN"/>
        </w:rPr>
        <w:t>showing</w:t>
      </w:r>
      <w:r>
        <w:rPr>
          <w:b w:val="0"/>
        </w:rPr>
        <w:t xml:space="preserve"> </w:t>
      </w:r>
      <w:r>
        <w:rPr>
          <w:rFonts w:hint="eastAsia"/>
          <w:b w:val="0"/>
          <w:lang w:eastAsia="zh-CN"/>
        </w:rPr>
        <w:t>the</w:t>
      </w:r>
      <w:r>
        <w:rPr>
          <w:b w:val="0"/>
        </w:rPr>
        <w:t xml:space="preserve"> </w:t>
      </w:r>
      <w:r>
        <w:rPr>
          <w:rFonts w:hint="eastAsia"/>
          <w:b w:val="0"/>
          <w:lang w:eastAsia="zh-CN"/>
        </w:rPr>
        <w:t>strongest</w:t>
      </w:r>
      <w:r>
        <w:rPr>
          <w:b w:val="0"/>
        </w:rPr>
        <w:t xml:space="preserve"> and statistically significant correlation was selected</w:t>
      </w:r>
      <w:r w:rsidRPr="002A654B">
        <w:rPr>
          <w:b w:val="0"/>
        </w:rPr>
        <w:t xml:space="preserve">. </w:t>
      </w:r>
      <w:r w:rsidRPr="0044247C">
        <w:rPr>
          <w:b w:val="0"/>
        </w:rPr>
        <w:t>Only correlations with absolute values exceeding 0.5 were highlighted in color.</w:t>
      </w:r>
      <w:r w:rsidRPr="002A654B">
        <w:rPr>
          <w:b w:val="0"/>
        </w:rPr>
        <w:t xml:space="preserve"> </w:t>
      </w:r>
      <w:r>
        <w:rPr>
          <w:b w:val="0"/>
        </w:rPr>
        <w:t>(</w:t>
      </w:r>
      <w:r w:rsidRPr="00E738F8">
        <w:t>B</w:t>
      </w:r>
      <w:r>
        <w:rPr>
          <w:b w:val="0"/>
        </w:rPr>
        <w:t>)</w:t>
      </w:r>
      <w:r w:rsidRPr="002A654B">
        <w:rPr>
          <w:b w:val="0"/>
        </w:rPr>
        <w:t xml:space="preserve"> Bar plots show the absolute values of canonical correlation coefficients for all eight canonical components, corresponding to the heatmaps in panel </w:t>
      </w:r>
      <w:r>
        <w:rPr>
          <w:b w:val="0"/>
        </w:rPr>
        <w:t>(</w:t>
      </w:r>
      <w:r w:rsidRPr="0023369F">
        <w:t>A</w:t>
      </w:r>
      <w:r>
        <w:rPr>
          <w:b w:val="0"/>
        </w:rPr>
        <w:t>)</w:t>
      </w:r>
      <w:r w:rsidRPr="002A654B">
        <w:rPr>
          <w:b w:val="0"/>
        </w:rPr>
        <w:t xml:space="preserve"> (left: SRP PC1, middle: SRP PC3, right: complex PC2). Error bars represent the standard deviation of canonical correlation values estimated from 100 null permutations. Significance was determined by comparing observed correlations to the null distribution generated from 1000 permutations and asterisks denote significance levels (*</w:t>
      </w:r>
      <w:r w:rsidRPr="0023369F">
        <w:rPr>
          <w:b w:val="0"/>
          <w:i/>
        </w:rPr>
        <w:t>P</w:t>
      </w:r>
      <w:r w:rsidRPr="002A654B">
        <w:rPr>
          <w:b w:val="0"/>
        </w:rPr>
        <w:t xml:space="preserve"> &lt; 0.05, **</w:t>
      </w:r>
      <w:r w:rsidRPr="0023369F">
        <w:rPr>
          <w:b w:val="0"/>
          <w:i/>
        </w:rPr>
        <w:t>P</w:t>
      </w:r>
      <w:r w:rsidRPr="002A654B">
        <w:rPr>
          <w:b w:val="0"/>
        </w:rPr>
        <w:t xml:space="preserve"> &lt; 0.01, ***</w:t>
      </w:r>
      <w:r w:rsidRPr="0023369F">
        <w:rPr>
          <w:b w:val="0"/>
          <w:i/>
        </w:rPr>
        <w:t>P</w:t>
      </w:r>
      <w:r w:rsidRPr="002A654B">
        <w:rPr>
          <w:b w:val="0"/>
        </w:rPr>
        <w:t xml:space="preserve"> &lt; 0.001). These results indicate that specific CPCA-derived spatiotemporal components are selectively aligned with interpretable behavioral domains.</w:t>
      </w:r>
      <w:r>
        <w:rPr>
          <w:b w:val="0"/>
        </w:rPr>
        <w:t xml:space="preserve"> </w:t>
      </w:r>
    </w:p>
    <w:p w14:paraId="69CCBFA7" w14:textId="77777777" w:rsidR="00275E66" w:rsidRDefault="00275E66" w:rsidP="00275E66">
      <w:pPr>
        <w:pStyle w:val="SMcaption"/>
      </w:pPr>
    </w:p>
    <w:p w14:paraId="6EE15B68" w14:textId="77777777" w:rsidR="00275E66" w:rsidRDefault="00275E66" w:rsidP="00275E66">
      <w:pPr>
        <w:rPr>
          <w:b/>
          <w:bCs/>
          <w:kern w:val="32"/>
          <w:szCs w:val="24"/>
        </w:rPr>
      </w:pPr>
      <w:r>
        <w:br w:type="page"/>
      </w:r>
    </w:p>
    <w:p w14:paraId="567C9AA4" w14:textId="77777777" w:rsidR="00275E66" w:rsidRDefault="00275E66" w:rsidP="00275E66">
      <w:pPr>
        <w:pStyle w:val="SMHeading"/>
      </w:pPr>
      <w:r>
        <w:lastRenderedPageBreak/>
        <w:t xml:space="preserve">Table S1. Behavioral phenotypes used in the paper. </w:t>
      </w:r>
      <w:r w:rsidRPr="0023369F">
        <w:rPr>
          <w:b w:val="0"/>
        </w:rPr>
        <w:t>This table lists the 35 behavioral phenotypes used in the prediction analyses. Measures were selected from the HCP-YA dataset to represent a broad range of cognitive, emotional, and personality domains. Behaviors were grouped into five categories:</w:t>
      </w:r>
      <w:r>
        <w:rPr>
          <w:b w:val="0"/>
        </w:rPr>
        <w:t xml:space="preserve"> </w:t>
      </w:r>
    </w:p>
    <w:p w14:paraId="05457B25" w14:textId="77777777" w:rsidR="00275E66" w:rsidRDefault="00275E66" w:rsidP="00275E66">
      <w:pPr>
        <w:pStyle w:val="SMcaption"/>
        <w:numPr>
          <w:ilvl w:val="0"/>
          <w:numId w:val="1"/>
        </w:numPr>
        <w:ind w:leftChars="74" w:left="598"/>
      </w:pPr>
      <w:r>
        <w:t>Alertness: Including MMSE (Mini-Mental State Examination) and PSQI (Pittsburgh Sleep Quality Index) scores.</w:t>
      </w:r>
    </w:p>
    <w:p w14:paraId="5591EDB1" w14:textId="77777777" w:rsidR="00275E66" w:rsidRDefault="00275E66" w:rsidP="00275E66">
      <w:pPr>
        <w:pStyle w:val="SMcaption"/>
        <w:numPr>
          <w:ilvl w:val="0"/>
          <w:numId w:val="1"/>
        </w:numPr>
        <w:ind w:leftChars="74" w:left="598"/>
      </w:pPr>
      <w:r>
        <w:t xml:space="preserve">Cognition: Covering executive function, memory, processing speed, language, and composite cognitive scores (e.g., </w:t>
      </w:r>
      <w:proofErr w:type="spellStart"/>
      <w:r>
        <w:t>ListSort</w:t>
      </w:r>
      <w:proofErr w:type="spellEnd"/>
      <w:r>
        <w:t xml:space="preserve">, Flanker, </w:t>
      </w:r>
      <w:proofErr w:type="spellStart"/>
      <w:r>
        <w:t>ProcSpeed</w:t>
      </w:r>
      <w:proofErr w:type="spellEnd"/>
      <w:r>
        <w:t xml:space="preserve">, </w:t>
      </w:r>
      <w:proofErr w:type="spellStart"/>
      <w:r>
        <w:t>CogTotalComp</w:t>
      </w:r>
      <w:proofErr w:type="spellEnd"/>
      <w:r>
        <w:t>).</w:t>
      </w:r>
    </w:p>
    <w:p w14:paraId="5A58826E" w14:textId="77777777" w:rsidR="00275E66" w:rsidRDefault="00275E66" w:rsidP="00275E66">
      <w:pPr>
        <w:pStyle w:val="SMcaption"/>
        <w:numPr>
          <w:ilvl w:val="0"/>
          <w:numId w:val="1"/>
        </w:numPr>
        <w:ind w:leftChars="74" w:left="598"/>
      </w:pPr>
      <w:r>
        <w:t>Emotion: Including affective traits and self-reported emotional well-being measures (e.g., Sadness, Anger, Loneliness, Stress).</w:t>
      </w:r>
    </w:p>
    <w:p w14:paraId="10909BB7" w14:textId="77777777" w:rsidR="00275E66" w:rsidRDefault="00275E66" w:rsidP="00275E66">
      <w:pPr>
        <w:pStyle w:val="SMcaption"/>
        <w:numPr>
          <w:ilvl w:val="0"/>
          <w:numId w:val="1"/>
        </w:numPr>
        <w:ind w:leftChars="74" w:left="598"/>
      </w:pPr>
      <w:r>
        <w:t>Personality: Represented by the five-factor NEO personality inventory (NEOFAC A, O, C, N, E).</w:t>
      </w:r>
    </w:p>
    <w:p w14:paraId="16B28896" w14:textId="77777777" w:rsidR="00275E66" w:rsidRDefault="00275E66" w:rsidP="00275E66">
      <w:pPr>
        <w:pStyle w:val="SMcaption"/>
      </w:pPr>
      <w:r>
        <w:t>All measures were used in regression-based prediction analyses, in which cerebellar spatiotemporal patterns were used as input features.</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005"/>
        <w:gridCol w:w="1701"/>
        <w:gridCol w:w="3005"/>
      </w:tblGrid>
      <w:tr w:rsidR="00275E66" w:rsidRPr="00267120" w14:paraId="422BFBD3" w14:textId="77777777" w:rsidTr="00FA12D8">
        <w:trPr>
          <w:trHeight w:val="454"/>
          <w:jc w:val="center"/>
        </w:trPr>
        <w:tc>
          <w:tcPr>
            <w:tcW w:w="1701" w:type="dxa"/>
            <w:tcBorders>
              <w:top w:val="single" w:sz="8" w:space="0" w:color="auto"/>
              <w:bottom w:val="single" w:sz="4" w:space="0" w:color="auto"/>
            </w:tcBorders>
            <w:vAlign w:val="center"/>
          </w:tcPr>
          <w:p w14:paraId="5A2E9272" w14:textId="77777777" w:rsidR="00275E66" w:rsidRPr="00095400" w:rsidRDefault="00275E66" w:rsidP="00FA12D8">
            <w:pPr>
              <w:jc w:val="center"/>
              <w:rPr>
                <w:b/>
                <w:szCs w:val="24"/>
              </w:rPr>
            </w:pPr>
            <w:r w:rsidRPr="00095400">
              <w:rPr>
                <w:b/>
                <w:szCs w:val="24"/>
              </w:rPr>
              <w:t>Category</w:t>
            </w:r>
          </w:p>
        </w:tc>
        <w:tc>
          <w:tcPr>
            <w:tcW w:w="3005" w:type="dxa"/>
            <w:tcBorders>
              <w:top w:val="single" w:sz="8" w:space="0" w:color="auto"/>
              <w:bottom w:val="single" w:sz="4" w:space="0" w:color="auto"/>
              <w:right w:val="single" w:sz="4" w:space="0" w:color="auto"/>
            </w:tcBorders>
            <w:vAlign w:val="center"/>
          </w:tcPr>
          <w:p w14:paraId="47B502D8" w14:textId="77777777" w:rsidR="00275E66" w:rsidRPr="00095400" w:rsidRDefault="00275E66" w:rsidP="00FA12D8">
            <w:pPr>
              <w:jc w:val="center"/>
              <w:rPr>
                <w:b/>
                <w:szCs w:val="24"/>
              </w:rPr>
            </w:pPr>
            <w:r w:rsidRPr="00095400">
              <w:rPr>
                <w:b/>
                <w:szCs w:val="24"/>
              </w:rPr>
              <w:t>Behavioral phenotype</w:t>
            </w:r>
          </w:p>
        </w:tc>
        <w:tc>
          <w:tcPr>
            <w:tcW w:w="1701" w:type="dxa"/>
            <w:tcBorders>
              <w:top w:val="single" w:sz="8" w:space="0" w:color="auto"/>
              <w:left w:val="single" w:sz="4" w:space="0" w:color="auto"/>
              <w:bottom w:val="single" w:sz="4" w:space="0" w:color="auto"/>
            </w:tcBorders>
            <w:vAlign w:val="center"/>
          </w:tcPr>
          <w:p w14:paraId="063AF3BC" w14:textId="77777777" w:rsidR="00275E66" w:rsidRPr="00095400" w:rsidRDefault="00275E66" w:rsidP="00FA12D8">
            <w:pPr>
              <w:jc w:val="center"/>
              <w:rPr>
                <w:b/>
                <w:szCs w:val="24"/>
              </w:rPr>
            </w:pPr>
            <w:r w:rsidRPr="00095400">
              <w:rPr>
                <w:b/>
                <w:szCs w:val="24"/>
              </w:rPr>
              <w:t>Category</w:t>
            </w:r>
          </w:p>
        </w:tc>
        <w:tc>
          <w:tcPr>
            <w:tcW w:w="3005" w:type="dxa"/>
            <w:tcBorders>
              <w:top w:val="single" w:sz="8" w:space="0" w:color="auto"/>
              <w:bottom w:val="single" w:sz="4" w:space="0" w:color="auto"/>
            </w:tcBorders>
            <w:vAlign w:val="center"/>
          </w:tcPr>
          <w:p w14:paraId="1EA52FEB" w14:textId="77777777" w:rsidR="00275E66" w:rsidRPr="00095400" w:rsidRDefault="00275E66" w:rsidP="00FA12D8">
            <w:pPr>
              <w:jc w:val="center"/>
              <w:rPr>
                <w:b/>
                <w:szCs w:val="24"/>
              </w:rPr>
            </w:pPr>
            <w:r w:rsidRPr="00095400">
              <w:rPr>
                <w:b/>
                <w:szCs w:val="24"/>
              </w:rPr>
              <w:t>Behavioral phenotype</w:t>
            </w:r>
          </w:p>
        </w:tc>
      </w:tr>
      <w:tr w:rsidR="00275E66" w:rsidRPr="00267120" w14:paraId="6E36446C" w14:textId="77777777" w:rsidTr="00FA12D8">
        <w:trPr>
          <w:jc w:val="center"/>
        </w:trPr>
        <w:tc>
          <w:tcPr>
            <w:tcW w:w="1701" w:type="dxa"/>
            <w:tcBorders>
              <w:top w:val="single" w:sz="4" w:space="0" w:color="auto"/>
            </w:tcBorders>
            <w:vAlign w:val="center"/>
          </w:tcPr>
          <w:p w14:paraId="2C68A2FF" w14:textId="77777777" w:rsidR="00275E66" w:rsidRPr="00CB39E8" w:rsidRDefault="00275E66" w:rsidP="00FA12D8">
            <w:pPr>
              <w:spacing w:beforeLines="25" w:before="60" w:afterLines="25" w:after="60"/>
              <w:jc w:val="center"/>
              <w:rPr>
                <w:szCs w:val="24"/>
              </w:rPr>
            </w:pPr>
            <w:r w:rsidRPr="00CB39E8">
              <w:rPr>
                <w:szCs w:val="24"/>
              </w:rPr>
              <w:t>Alertness</w:t>
            </w:r>
          </w:p>
        </w:tc>
        <w:tc>
          <w:tcPr>
            <w:tcW w:w="3005" w:type="dxa"/>
            <w:tcBorders>
              <w:top w:val="single" w:sz="4" w:space="0" w:color="auto"/>
              <w:right w:val="single" w:sz="4" w:space="0" w:color="auto"/>
            </w:tcBorders>
            <w:vAlign w:val="center"/>
          </w:tcPr>
          <w:p w14:paraId="4541E634"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MMSE_Score</w:t>
            </w:r>
            <w:proofErr w:type="spellEnd"/>
          </w:p>
        </w:tc>
        <w:tc>
          <w:tcPr>
            <w:tcW w:w="1701" w:type="dxa"/>
            <w:tcBorders>
              <w:top w:val="single" w:sz="4" w:space="0" w:color="auto"/>
              <w:left w:val="single" w:sz="4" w:space="0" w:color="auto"/>
            </w:tcBorders>
            <w:vAlign w:val="center"/>
          </w:tcPr>
          <w:p w14:paraId="0C29435E"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tcBorders>
              <w:top w:val="single" w:sz="4" w:space="0" w:color="auto"/>
            </w:tcBorders>
            <w:vAlign w:val="center"/>
          </w:tcPr>
          <w:p w14:paraId="260A24E6"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Sadness_Unadj</w:t>
            </w:r>
            <w:proofErr w:type="spellEnd"/>
          </w:p>
        </w:tc>
      </w:tr>
      <w:tr w:rsidR="00275E66" w:rsidRPr="00267120" w14:paraId="7EA9A114" w14:textId="77777777" w:rsidTr="00FA12D8">
        <w:trPr>
          <w:jc w:val="center"/>
        </w:trPr>
        <w:tc>
          <w:tcPr>
            <w:tcW w:w="1701" w:type="dxa"/>
            <w:vAlign w:val="center"/>
          </w:tcPr>
          <w:p w14:paraId="32EBDE45" w14:textId="77777777" w:rsidR="00275E66" w:rsidRPr="00CB39E8" w:rsidRDefault="00275E66" w:rsidP="00FA12D8">
            <w:pPr>
              <w:spacing w:beforeLines="25" w:before="60" w:afterLines="25" w:after="60"/>
              <w:jc w:val="center"/>
              <w:rPr>
                <w:szCs w:val="24"/>
              </w:rPr>
            </w:pPr>
            <w:r w:rsidRPr="00CB39E8">
              <w:rPr>
                <w:szCs w:val="24"/>
              </w:rPr>
              <w:t>Alertness</w:t>
            </w:r>
          </w:p>
        </w:tc>
        <w:tc>
          <w:tcPr>
            <w:tcW w:w="3005" w:type="dxa"/>
            <w:tcBorders>
              <w:right w:val="single" w:sz="4" w:space="0" w:color="auto"/>
            </w:tcBorders>
            <w:vAlign w:val="center"/>
          </w:tcPr>
          <w:p w14:paraId="1DBABA6F"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PSQI_Score</w:t>
            </w:r>
            <w:proofErr w:type="spellEnd"/>
          </w:p>
        </w:tc>
        <w:tc>
          <w:tcPr>
            <w:tcW w:w="1701" w:type="dxa"/>
            <w:tcBorders>
              <w:left w:val="single" w:sz="4" w:space="0" w:color="auto"/>
            </w:tcBorders>
            <w:vAlign w:val="center"/>
          </w:tcPr>
          <w:p w14:paraId="1F8F0519"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4CC36294"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LifeSatisf_Unadj</w:t>
            </w:r>
            <w:proofErr w:type="spellEnd"/>
          </w:p>
        </w:tc>
      </w:tr>
      <w:tr w:rsidR="00275E66" w:rsidRPr="00267120" w14:paraId="6DEEE15B" w14:textId="77777777" w:rsidTr="00FA12D8">
        <w:trPr>
          <w:jc w:val="center"/>
        </w:trPr>
        <w:tc>
          <w:tcPr>
            <w:tcW w:w="1701" w:type="dxa"/>
            <w:vAlign w:val="center"/>
          </w:tcPr>
          <w:p w14:paraId="4C9569E3"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1B0BF96A"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PicSeq_Unadj</w:t>
            </w:r>
            <w:proofErr w:type="spellEnd"/>
          </w:p>
        </w:tc>
        <w:tc>
          <w:tcPr>
            <w:tcW w:w="1701" w:type="dxa"/>
            <w:tcBorders>
              <w:left w:val="single" w:sz="4" w:space="0" w:color="auto"/>
            </w:tcBorders>
            <w:vAlign w:val="center"/>
          </w:tcPr>
          <w:p w14:paraId="356C2A14"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1197218D"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MeanPurp_Unadj</w:t>
            </w:r>
            <w:proofErr w:type="spellEnd"/>
          </w:p>
        </w:tc>
      </w:tr>
      <w:tr w:rsidR="00275E66" w:rsidRPr="00267120" w14:paraId="210E629D" w14:textId="77777777" w:rsidTr="00FA12D8">
        <w:trPr>
          <w:jc w:val="center"/>
        </w:trPr>
        <w:tc>
          <w:tcPr>
            <w:tcW w:w="1701" w:type="dxa"/>
            <w:vAlign w:val="center"/>
          </w:tcPr>
          <w:p w14:paraId="004856AD"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7231CCA3"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CardSort_Unadj</w:t>
            </w:r>
            <w:proofErr w:type="spellEnd"/>
          </w:p>
        </w:tc>
        <w:tc>
          <w:tcPr>
            <w:tcW w:w="1701" w:type="dxa"/>
            <w:tcBorders>
              <w:left w:val="single" w:sz="4" w:space="0" w:color="auto"/>
            </w:tcBorders>
            <w:vAlign w:val="center"/>
          </w:tcPr>
          <w:p w14:paraId="7B848658"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2622D33C"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PosAffect_Unadj</w:t>
            </w:r>
            <w:proofErr w:type="spellEnd"/>
          </w:p>
        </w:tc>
      </w:tr>
      <w:tr w:rsidR="00275E66" w:rsidRPr="00267120" w14:paraId="4D2B26E6" w14:textId="77777777" w:rsidTr="00FA12D8">
        <w:trPr>
          <w:jc w:val="center"/>
        </w:trPr>
        <w:tc>
          <w:tcPr>
            <w:tcW w:w="1701" w:type="dxa"/>
            <w:vAlign w:val="center"/>
          </w:tcPr>
          <w:p w14:paraId="3FE9F541"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0D729EC0"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Flanker_Unadj</w:t>
            </w:r>
            <w:proofErr w:type="spellEnd"/>
          </w:p>
        </w:tc>
        <w:tc>
          <w:tcPr>
            <w:tcW w:w="1701" w:type="dxa"/>
            <w:tcBorders>
              <w:left w:val="single" w:sz="4" w:space="0" w:color="auto"/>
            </w:tcBorders>
            <w:vAlign w:val="center"/>
          </w:tcPr>
          <w:p w14:paraId="0140E0F4"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3102A2C5"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Friendship_Unadj</w:t>
            </w:r>
            <w:proofErr w:type="spellEnd"/>
          </w:p>
        </w:tc>
      </w:tr>
      <w:tr w:rsidR="00275E66" w:rsidRPr="00267120" w14:paraId="59A537A3" w14:textId="77777777" w:rsidTr="00FA12D8">
        <w:trPr>
          <w:jc w:val="center"/>
        </w:trPr>
        <w:tc>
          <w:tcPr>
            <w:tcW w:w="1701" w:type="dxa"/>
            <w:vAlign w:val="center"/>
          </w:tcPr>
          <w:p w14:paraId="0B8027E7"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4E8778B9"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ReadEng_Unadj</w:t>
            </w:r>
            <w:proofErr w:type="spellEnd"/>
          </w:p>
        </w:tc>
        <w:tc>
          <w:tcPr>
            <w:tcW w:w="1701" w:type="dxa"/>
            <w:tcBorders>
              <w:left w:val="single" w:sz="4" w:space="0" w:color="auto"/>
            </w:tcBorders>
            <w:vAlign w:val="center"/>
          </w:tcPr>
          <w:p w14:paraId="3E2F26B3"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31EC8489"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Loneliness_Unadj</w:t>
            </w:r>
            <w:proofErr w:type="spellEnd"/>
          </w:p>
        </w:tc>
      </w:tr>
      <w:tr w:rsidR="00275E66" w:rsidRPr="00267120" w14:paraId="728A3BEC" w14:textId="77777777" w:rsidTr="00FA12D8">
        <w:trPr>
          <w:jc w:val="center"/>
        </w:trPr>
        <w:tc>
          <w:tcPr>
            <w:tcW w:w="1701" w:type="dxa"/>
            <w:vAlign w:val="center"/>
          </w:tcPr>
          <w:p w14:paraId="32544713"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66377C17"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PicVocab_Unadj</w:t>
            </w:r>
            <w:proofErr w:type="spellEnd"/>
          </w:p>
        </w:tc>
        <w:tc>
          <w:tcPr>
            <w:tcW w:w="1701" w:type="dxa"/>
            <w:tcBorders>
              <w:left w:val="single" w:sz="4" w:space="0" w:color="auto"/>
            </w:tcBorders>
            <w:vAlign w:val="center"/>
          </w:tcPr>
          <w:p w14:paraId="79A0768A"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1BF07376"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PercHostil_Unadj</w:t>
            </w:r>
            <w:proofErr w:type="spellEnd"/>
          </w:p>
        </w:tc>
      </w:tr>
      <w:tr w:rsidR="00275E66" w:rsidRPr="00267120" w14:paraId="791A4CAC" w14:textId="77777777" w:rsidTr="00FA12D8">
        <w:trPr>
          <w:jc w:val="center"/>
        </w:trPr>
        <w:tc>
          <w:tcPr>
            <w:tcW w:w="1701" w:type="dxa"/>
            <w:vAlign w:val="center"/>
          </w:tcPr>
          <w:p w14:paraId="3C29C691"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29B39001"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ProcSpeed_Unadj</w:t>
            </w:r>
            <w:proofErr w:type="spellEnd"/>
          </w:p>
        </w:tc>
        <w:tc>
          <w:tcPr>
            <w:tcW w:w="1701" w:type="dxa"/>
            <w:tcBorders>
              <w:left w:val="single" w:sz="4" w:space="0" w:color="auto"/>
            </w:tcBorders>
            <w:vAlign w:val="center"/>
          </w:tcPr>
          <w:p w14:paraId="68A83C58"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191FEED6"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PercReject_Unadj</w:t>
            </w:r>
            <w:proofErr w:type="spellEnd"/>
          </w:p>
        </w:tc>
      </w:tr>
      <w:tr w:rsidR="00275E66" w:rsidRPr="00267120" w14:paraId="204BC957" w14:textId="77777777" w:rsidTr="00FA12D8">
        <w:trPr>
          <w:jc w:val="center"/>
        </w:trPr>
        <w:tc>
          <w:tcPr>
            <w:tcW w:w="1701" w:type="dxa"/>
            <w:vAlign w:val="center"/>
          </w:tcPr>
          <w:p w14:paraId="00FC66E3"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6E03C471"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ListSort_Unadj</w:t>
            </w:r>
            <w:proofErr w:type="spellEnd"/>
          </w:p>
        </w:tc>
        <w:tc>
          <w:tcPr>
            <w:tcW w:w="1701" w:type="dxa"/>
            <w:tcBorders>
              <w:left w:val="single" w:sz="4" w:space="0" w:color="auto"/>
            </w:tcBorders>
            <w:vAlign w:val="center"/>
          </w:tcPr>
          <w:p w14:paraId="219402D0"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463CA9D2"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EmotSupp_Unadj</w:t>
            </w:r>
            <w:proofErr w:type="spellEnd"/>
          </w:p>
        </w:tc>
      </w:tr>
      <w:tr w:rsidR="00275E66" w:rsidRPr="00267120" w14:paraId="70703CD1" w14:textId="77777777" w:rsidTr="00FA12D8">
        <w:trPr>
          <w:jc w:val="center"/>
        </w:trPr>
        <w:tc>
          <w:tcPr>
            <w:tcW w:w="1701" w:type="dxa"/>
            <w:vAlign w:val="center"/>
          </w:tcPr>
          <w:p w14:paraId="1677BF3D"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0AF03638"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CogFluidComp_Unadj</w:t>
            </w:r>
            <w:proofErr w:type="spellEnd"/>
          </w:p>
        </w:tc>
        <w:tc>
          <w:tcPr>
            <w:tcW w:w="1701" w:type="dxa"/>
            <w:tcBorders>
              <w:left w:val="single" w:sz="4" w:space="0" w:color="auto"/>
            </w:tcBorders>
            <w:vAlign w:val="center"/>
          </w:tcPr>
          <w:p w14:paraId="3C5CB884"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4C1F864E"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InstruSupp_Unadj</w:t>
            </w:r>
            <w:proofErr w:type="spellEnd"/>
          </w:p>
        </w:tc>
      </w:tr>
      <w:tr w:rsidR="00275E66" w:rsidRPr="00267120" w14:paraId="02E0F69C" w14:textId="77777777" w:rsidTr="00FA12D8">
        <w:trPr>
          <w:jc w:val="center"/>
        </w:trPr>
        <w:tc>
          <w:tcPr>
            <w:tcW w:w="1701" w:type="dxa"/>
            <w:vAlign w:val="center"/>
          </w:tcPr>
          <w:p w14:paraId="1CDA2001"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770A866D"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CogEarlyComp_Unadj</w:t>
            </w:r>
            <w:proofErr w:type="spellEnd"/>
          </w:p>
        </w:tc>
        <w:tc>
          <w:tcPr>
            <w:tcW w:w="1701" w:type="dxa"/>
            <w:tcBorders>
              <w:left w:val="single" w:sz="4" w:space="0" w:color="auto"/>
            </w:tcBorders>
            <w:vAlign w:val="center"/>
          </w:tcPr>
          <w:p w14:paraId="69D3E90C"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01A06F78"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PercStress_Unadj</w:t>
            </w:r>
            <w:proofErr w:type="spellEnd"/>
          </w:p>
        </w:tc>
      </w:tr>
      <w:tr w:rsidR="00275E66" w:rsidRPr="00267120" w14:paraId="03E7A6EE" w14:textId="77777777" w:rsidTr="00FA12D8">
        <w:trPr>
          <w:jc w:val="center"/>
        </w:trPr>
        <w:tc>
          <w:tcPr>
            <w:tcW w:w="1701" w:type="dxa"/>
            <w:vAlign w:val="center"/>
          </w:tcPr>
          <w:p w14:paraId="0B617201"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345F393C"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CogTotalComp_Unadj</w:t>
            </w:r>
            <w:proofErr w:type="spellEnd"/>
          </w:p>
        </w:tc>
        <w:tc>
          <w:tcPr>
            <w:tcW w:w="1701" w:type="dxa"/>
            <w:tcBorders>
              <w:left w:val="single" w:sz="4" w:space="0" w:color="auto"/>
            </w:tcBorders>
            <w:vAlign w:val="center"/>
          </w:tcPr>
          <w:p w14:paraId="44238C15"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vAlign w:val="center"/>
          </w:tcPr>
          <w:p w14:paraId="22C1E7D5"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SelfEff_Unadj</w:t>
            </w:r>
            <w:proofErr w:type="spellEnd"/>
          </w:p>
        </w:tc>
      </w:tr>
      <w:tr w:rsidR="00275E66" w:rsidRPr="00267120" w14:paraId="0CCAD074" w14:textId="77777777" w:rsidTr="00FA12D8">
        <w:trPr>
          <w:jc w:val="center"/>
        </w:trPr>
        <w:tc>
          <w:tcPr>
            <w:tcW w:w="1701" w:type="dxa"/>
            <w:vAlign w:val="center"/>
          </w:tcPr>
          <w:p w14:paraId="68FBB60D"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Cognition</w:t>
            </w:r>
          </w:p>
        </w:tc>
        <w:tc>
          <w:tcPr>
            <w:tcW w:w="3005" w:type="dxa"/>
            <w:tcBorders>
              <w:right w:val="single" w:sz="4" w:space="0" w:color="auto"/>
            </w:tcBorders>
            <w:vAlign w:val="center"/>
          </w:tcPr>
          <w:p w14:paraId="1B83F667"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CogCrystalComp_Unadj</w:t>
            </w:r>
            <w:proofErr w:type="spellEnd"/>
          </w:p>
        </w:tc>
        <w:tc>
          <w:tcPr>
            <w:tcW w:w="1701" w:type="dxa"/>
            <w:tcBorders>
              <w:left w:val="single" w:sz="4" w:space="0" w:color="auto"/>
            </w:tcBorders>
            <w:vAlign w:val="center"/>
          </w:tcPr>
          <w:p w14:paraId="3090938D"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Personality</w:t>
            </w:r>
          </w:p>
        </w:tc>
        <w:tc>
          <w:tcPr>
            <w:tcW w:w="3005" w:type="dxa"/>
            <w:vAlign w:val="center"/>
          </w:tcPr>
          <w:p w14:paraId="357962A9"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NEOFAC_A</w:t>
            </w:r>
          </w:p>
        </w:tc>
      </w:tr>
      <w:tr w:rsidR="00275E66" w:rsidRPr="00267120" w14:paraId="0F509D0C" w14:textId="77777777" w:rsidTr="00FA12D8">
        <w:trPr>
          <w:jc w:val="center"/>
        </w:trPr>
        <w:tc>
          <w:tcPr>
            <w:tcW w:w="1701" w:type="dxa"/>
            <w:vAlign w:val="center"/>
          </w:tcPr>
          <w:p w14:paraId="5BABAA8F"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tcBorders>
              <w:right w:val="single" w:sz="4" w:space="0" w:color="auto"/>
            </w:tcBorders>
            <w:vAlign w:val="center"/>
          </w:tcPr>
          <w:p w14:paraId="63BB2788"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AngAffect_Unadj</w:t>
            </w:r>
            <w:proofErr w:type="spellEnd"/>
          </w:p>
        </w:tc>
        <w:tc>
          <w:tcPr>
            <w:tcW w:w="1701" w:type="dxa"/>
            <w:tcBorders>
              <w:left w:val="single" w:sz="4" w:space="0" w:color="auto"/>
            </w:tcBorders>
            <w:vAlign w:val="center"/>
          </w:tcPr>
          <w:p w14:paraId="1DE888B7"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Personality</w:t>
            </w:r>
          </w:p>
        </w:tc>
        <w:tc>
          <w:tcPr>
            <w:tcW w:w="3005" w:type="dxa"/>
            <w:vAlign w:val="center"/>
          </w:tcPr>
          <w:p w14:paraId="7CD19511"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NEOFAC_O</w:t>
            </w:r>
          </w:p>
        </w:tc>
      </w:tr>
      <w:tr w:rsidR="00275E66" w:rsidRPr="00267120" w14:paraId="22D99193" w14:textId="77777777" w:rsidTr="00FA12D8">
        <w:trPr>
          <w:jc w:val="center"/>
        </w:trPr>
        <w:tc>
          <w:tcPr>
            <w:tcW w:w="1701" w:type="dxa"/>
            <w:vAlign w:val="center"/>
          </w:tcPr>
          <w:p w14:paraId="22A5902E"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tcBorders>
              <w:right w:val="single" w:sz="4" w:space="0" w:color="auto"/>
            </w:tcBorders>
            <w:vAlign w:val="center"/>
          </w:tcPr>
          <w:p w14:paraId="4498FEBD"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AngHostil_Unadj</w:t>
            </w:r>
            <w:proofErr w:type="spellEnd"/>
          </w:p>
        </w:tc>
        <w:tc>
          <w:tcPr>
            <w:tcW w:w="1701" w:type="dxa"/>
            <w:tcBorders>
              <w:left w:val="single" w:sz="4" w:space="0" w:color="auto"/>
            </w:tcBorders>
            <w:vAlign w:val="center"/>
          </w:tcPr>
          <w:p w14:paraId="3C71842F"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Personality</w:t>
            </w:r>
          </w:p>
        </w:tc>
        <w:tc>
          <w:tcPr>
            <w:tcW w:w="3005" w:type="dxa"/>
            <w:vAlign w:val="center"/>
          </w:tcPr>
          <w:p w14:paraId="69E8CBA6"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NEOFAC_C</w:t>
            </w:r>
          </w:p>
        </w:tc>
      </w:tr>
      <w:tr w:rsidR="00275E66" w:rsidRPr="00267120" w14:paraId="44077BC2" w14:textId="77777777" w:rsidTr="00FA12D8">
        <w:trPr>
          <w:jc w:val="center"/>
        </w:trPr>
        <w:tc>
          <w:tcPr>
            <w:tcW w:w="1701" w:type="dxa"/>
            <w:vAlign w:val="center"/>
          </w:tcPr>
          <w:p w14:paraId="0FB267F5"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tcBorders>
              <w:right w:val="single" w:sz="4" w:space="0" w:color="auto"/>
            </w:tcBorders>
            <w:vAlign w:val="center"/>
          </w:tcPr>
          <w:p w14:paraId="4A4AD448"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AngAggr_Unadj</w:t>
            </w:r>
            <w:proofErr w:type="spellEnd"/>
          </w:p>
        </w:tc>
        <w:tc>
          <w:tcPr>
            <w:tcW w:w="1701" w:type="dxa"/>
            <w:tcBorders>
              <w:left w:val="single" w:sz="4" w:space="0" w:color="auto"/>
            </w:tcBorders>
            <w:vAlign w:val="center"/>
          </w:tcPr>
          <w:p w14:paraId="33BEA36D"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Personality</w:t>
            </w:r>
          </w:p>
        </w:tc>
        <w:tc>
          <w:tcPr>
            <w:tcW w:w="3005" w:type="dxa"/>
            <w:vAlign w:val="center"/>
          </w:tcPr>
          <w:p w14:paraId="33905B33"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NEOFAC_N</w:t>
            </w:r>
          </w:p>
        </w:tc>
      </w:tr>
      <w:tr w:rsidR="00275E66" w:rsidRPr="00267120" w14:paraId="3EBC45F2" w14:textId="77777777" w:rsidTr="00FA12D8">
        <w:trPr>
          <w:jc w:val="center"/>
        </w:trPr>
        <w:tc>
          <w:tcPr>
            <w:tcW w:w="1701" w:type="dxa"/>
            <w:vAlign w:val="center"/>
          </w:tcPr>
          <w:p w14:paraId="6E239F36"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tcBorders>
              <w:right w:val="single" w:sz="4" w:space="0" w:color="auto"/>
            </w:tcBorders>
            <w:vAlign w:val="center"/>
          </w:tcPr>
          <w:p w14:paraId="679FBD5F"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FearAffect_Unadj</w:t>
            </w:r>
            <w:proofErr w:type="spellEnd"/>
          </w:p>
        </w:tc>
        <w:tc>
          <w:tcPr>
            <w:tcW w:w="1701" w:type="dxa"/>
            <w:tcBorders>
              <w:left w:val="single" w:sz="4" w:space="0" w:color="auto"/>
            </w:tcBorders>
            <w:vAlign w:val="center"/>
          </w:tcPr>
          <w:p w14:paraId="7630CEEF"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Personality</w:t>
            </w:r>
          </w:p>
        </w:tc>
        <w:tc>
          <w:tcPr>
            <w:tcW w:w="3005" w:type="dxa"/>
            <w:vAlign w:val="center"/>
          </w:tcPr>
          <w:p w14:paraId="497F9678"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NEOFAC_E</w:t>
            </w:r>
          </w:p>
        </w:tc>
      </w:tr>
      <w:tr w:rsidR="00275E66" w:rsidRPr="00267120" w14:paraId="3B85C29C" w14:textId="77777777" w:rsidTr="00FA12D8">
        <w:trPr>
          <w:jc w:val="center"/>
        </w:trPr>
        <w:tc>
          <w:tcPr>
            <w:tcW w:w="1701" w:type="dxa"/>
            <w:tcBorders>
              <w:bottom w:val="single" w:sz="8" w:space="0" w:color="auto"/>
            </w:tcBorders>
            <w:vAlign w:val="center"/>
          </w:tcPr>
          <w:p w14:paraId="57D43246" w14:textId="77777777" w:rsidR="00275E66" w:rsidRPr="00CB39E8" w:rsidRDefault="00275E66" w:rsidP="00FA12D8">
            <w:pPr>
              <w:spacing w:beforeLines="25" w:before="60" w:afterLines="25" w:after="60"/>
              <w:jc w:val="center"/>
              <w:rPr>
                <w:rFonts w:eastAsia="等线"/>
                <w:szCs w:val="24"/>
              </w:rPr>
            </w:pPr>
            <w:r w:rsidRPr="00CB39E8">
              <w:rPr>
                <w:rFonts w:eastAsia="等线"/>
                <w:szCs w:val="24"/>
              </w:rPr>
              <w:t>Emotion</w:t>
            </w:r>
          </w:p>
        </w:tc>
        <w:tc>
          <w:tcPr>
            <w:tcW w:w="3005" w:type="dxa"/>
            <w:tcBorders>
              <w:bottom w:val="single" w:sz="8" w:space="0" w:color="auto"/>
              <w:right w:val="single" w:sz="4" w:space="0" w:color="auto"/>
            </w:tcBorders>
            <w:vAlign w:val="center"/>
          </w:tcPr>
          <w:p w14:paraId="02998DB6" w14:textId="77777777" w:rsidR="00275E66" w:rsidRPr="00CB39E8" w:rsidRDefault="00275E66" w:rsidP="00FA12D8">
            <w:pPr>
              <w:spacing w:beforeLines="25" w:before="60" w:afterLines="25" w:after="60"/>
              <w:jc w:val="center"/>
              <w:rPr>
                <w:rFonts w:eastAsia="等线"/>
                <w:szCs w:val="24"/>
              </w:rPr>
            </w:pPr>
            <w:proofErr w:type="spellStart"/>
            <w:r w:rsidRPr="00CB39E8">
              <w:rPr>
                <w:rFonts w:eastAsia="等线"/>
                <w:szCs w:val="24"/>
              </w:rPr>
              <w:t>FearSomat_Unadj</w:t>
            </w:r>
            <w:proofErr w:type="spellEnd"/>
          </w:p>
        </w:tc>
        <w:tc>
          <w:tcPr>
            <w:tcW w:w="1701" w:type="dxa"/>
            <w:tcBorders>
              <w:left w:val="single" w:sz="4" w:space="0" w:color="auto"/>
              <w:bottom w:val="single" w:sz="8" w:space="0" w:color="auto"/>
            </w:tcBorders>
            <w:vAlign w:val="center"/>
          </w:tcPr>
          <w:p w14:paraId="57DE3045" w14:textId="77777777" w:rsidR="00275E66" w:rsidRPr="00CB39E8" w:rsidRDefault="00275E66" w:rsidP="00FA12D8">
            <w:pPr>
              <w:spacing w:beforeLines="25" w:before="60" w:afterLines="25" w:after="60"/>
              <w:jc w:val="center"/>
              <w:rPr>
                <w:szCs w:val="24"/>
              </w:rPr>
            </w:pPr>
          </w:p>
        </w:tc>
        <w:tc>
          <w:tcPr>
            <w:tcW w:w="3005" w:type="dxa"/>
            <w:tcBorders>
              <w:bottom w:val="single" w:sz="8" w:space="0" w:color="auto"/>
            </w:tcBorders>
            <w:vAlign w:val="center"/>
          </w:tcPr>
          <w:p w14:paraId="01EEA6E8" w14:textId="77777777" w:rsidR="00275E66" w:rsidRPr="00CB39E8" w:rsidRDefault="00275E66" w:rsidP="00FA12D8">
            <w:pPr>
              <w:spacing w:beforeLines="25" w:before="60" w:afterLines="25" w:after="60"/>
              <w:jc w:val="center"/>
              <w:rPr>
                <w:szCs w:val="24"/>
              </w:rPr>
            </w:pPr>
          </w:p>
        </w:tc>
      </w:tr>
    </w:tbl>
    <w:p w14:paraId="1587BA96" w14:textId="77777777" w:rsidR="00275E66" w:rsidRPr="00015F74" w:rsidRDefault="00275E66" w:rsidP="00275E66">
      <w:pPr>
        <w:pStyle w:val="SMcaption"/>
      </w:pPr>
    </w:p>
    <w:p w14:paraId="2441E838" w14:textId="77777777" w:rsidR="0067487F" w:rsidRDefault="0067487F"/>
    <w:sectPr w:rsidR="0067487F" w:rsidSect="00275E66">
      <w:headerReference w:type="default" r:id="rId2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7C4CC" w14:textId="77777777" w:rsidR="00DB0E8F" w:rsidRDefault="00DB0E8F" w:rsidP="00275E66">
      <w:pPr>
        <w:rPr>
          <w:rFonts w:hint="eastAsia"/>
        </w:rPr>
      </w:pPr>
      <w:r>
        <w:separator/>
      </w:r>
    </w:p>
  </w:endnote>
  <w:endnote w:type="continuationSeparator" w:id="0">
    <w:p w14:paraId="2FC0CC24" w14:textId="77777777" w:rsidR="00DB0E8F" w:rsidRDefault="00DB0E8F" w:rsidP="00275E6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E7AE" w14:textId="77777777" w:rsidR="00275E66" w:rsidRDefault="00275E66">
    <w:pPr>
      <w:pStyle w:val="af0"/>
      <w:jc w:val="right"/>
    </w:pPr>
    <w:r>
      <w:fldChar w:fldCharType="begin"/>
    </w:r>
    <w:r>
      <w:instrText xml:space="preserve"> PAGE   \* MERGEFORMAT </w:instrText>
    </w:r>
    <w:r>
      <w:fldChar w:fldCharType="separate"/>
    </w:r>
    <w:r>
      <w:rPr>
        <w:noProof/>
      </w:rPr>
      <w:t>7</w:t>
    </w:r>
    <w:r>
      <w:fldChar w:fldCharType="end"/>
    </w:r>
  </w:p>
  <w:p w14:paraId="19ABD6B4" w14:textId="77777777" w:rsidR="00275E66" w:rsidRDefault="00275E6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C8D73" w14:textId="77777777" w:rsidR="00DB0E8F" w:rsidRDefault="00DB0E8F" w:rsidP="00275E66">
      <w:pPr>
        <w:rPr>
          <w:rFonts w:hint="eastAsia"/>
        </w:rPr>
      </w:pPr>
      <w:r>
        <w:separator/>
      </w:r>
    </w:p>
  </w:footnote>
  <w:footnote w:type="continuationSeparator" w:id="0">
    <w:p w14:paraId="3B974806" w14:textId="77777777" w:rsidR="00DB0E8F" w:rsidRDefault="00DB0E8F" w:rsidP="00275E6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B4404" w14:textId="77777777" w:rsidR="00275E66" w:rsidRPr="005001AC" w:rsidRDefault="00275E66" w:rsidP="005001AC">
    <w:pPr>
      <w:jc w:val="right"/>
      <w:rPr>
        <w:sz w:val="20"/>
      </w:rPr>
    </w:pPr>
  </w:p>
  <w:p w14:paraId="734D093E" w14:textId="77777777" w:rsidR="00275E66" w:rsidRDefault="00275E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A5332"/>
    <w:multiLevelType w:val="hybridMultilevel"/>
    <w:tmpl w:val="E8A0D260"/>
    <w:lvl w:ilvl="0" w:tplc="C08897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593123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87F"/>
    <w:rsid w:val="00275E66"/>
    <w:rsid w:val="005E7C7E"/>
    <w:rsid w:val="0067487F"/>
    <w:rsid w:val="00A14040"/>
    <w:rsid w:val="00A43A9B"/>
    <w:rsid w:val="00DB0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F9C837"/>
  <w15:chartTrackingRefBased/>
  <w15:docId w15:val="{A35C0DBB-4C8A-4F3E-AC5C-93733112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5E66"/>
    <w:pPr>
      <w:spacing w:after="0" w:line="240" w:lineRule="auto"/>
    </w:pPr>
    <w:rPr>
      <w:rFonts w:ascii="Times New Roman" w:hAnsi="Times New Roman" w:cs="Times New Roman"/>
      <w:kern w:val="0"/>
      <w:sz w:val="24"/>
      <w:szCs w:val="20"/>
      <w:lang w:eastAsia="en-US"/>
      <w14:ligatures w14:val="none"/>
    </w:rPr>
  </w:style>
  <w:style w:type="paragraph" w:styleId="1">
    <w:name w:val="heading 1"/>
    <w:basedOn w:val="a"/>
    <w:next w:val="a"/>
    <w:link w:val="10"/>
    <w:uiPriority w:val="9"/>
    <w:qFormat/>
    <w:rsid w:val="0067487F"/>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7487F"/>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7487F"/>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7487F"/>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7487F"/>
    <w:pPr>
      <w:keepNext/>
      <w:keepLines/>
      <w:spacing w:before="80" w:after="40"/>
      <w:outlineLvl w:val="4"/>
    </w:pPr>
    <w:rPr>
      <w:rFonts w:cstheme="majorBidi"/>
      <w:color w:val="2F5496" w:themeColor="accent1" w:themeShade="BF"/>
    </w:rPr>
  </w:style>
  <w:style w:type="paragraph" w:styleId="6">
    <w:name w:val="heading 6"/>
    <w:basedOn w:val="a"/>
    <w:next w:val="a"/>
    <w:link w:val="60"/>
    <w:uiPriority w:val="9"/>
    <w:semiHidden/>
    <w:unhideWhenUsed/>
    <w:qFormat/>
    <w:rsid w:val="0067487F"/>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7487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7487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7487F"/>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7487F"/>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7487F"/>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7487F"/>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7487F"/>
    <w:rPr>
      <w:rFonts w:cstheme="majorBidi"/>
      <w:color w:val="2F5496" w:themeColor="accent1" w:themeShade="BF"/>
      <w:sz w:val="28"/>
      <w:szCs w:val="28"/>
    </w:rPr>
  </w:style>
  <w:style w:type="character" w:customStyle="1" w:styleId="50">
    <w:name w:val="标题 5 字符"/>
    <w:basedOn w:val="a0"/>
    <w:link w:val="5"/>
    <w:uiPriority w:val="9"/>
    <w:semiHidden/>
    <w:rsid w:val="0067487F"/>
    <w:rPr>
      <w:rFonts w:cstheme="majorBidi"/>
      <w:color w:val="2F5496" w:themeColor="accent1" w:themeShade="BF"/>
      <w:sz w:val="24"/>
    </w:rPr>
  </w:style>
  <w:style w:type="character" w:customStyle="1" w:styleId="60">
    <w:name w:val="标题 6 字符"/>
    <w:basedOn w:val="a0"/>
    <w:link w:val="6"/>
    <w:uiPriority w:val="9"/>
    <w:semiHidden/>
    <w:rsid w:val="0067487F"/>
    <w:rPr>
      <w:rFonts w:cstheme="majorBidi"/>
      <w:b/>
      <w:bCs/>
      <w:color w:val="2F5496" w:themeColor="accent1" w:themeShade="BF"/>
    </w:rPr>
  </w:style>
  <w:style w:type="character" w:customStyle="1" w:styleId="70">
    <w:name w:val="标题 7 字符"/>
    <w:basedOn w:val="a0"/>
    <w:link w:val="7"/>
    <w:uiPriority w:val="9"/>
    <w:semiHidden/>
    <w:rsid w:val="0067487F"/>
    <w:rPr>
      <w:rFonts w:cstheme="majorBidi"/>
      <w:b/>
      <w:bCs/>
      <w:color w:val="595959" w:themeColor="text1" w:themeTint="A6"/>
    </w:rPr>
  </w:style>
  <w:style w:type="character" w:customStyle="1" w:styleId="80">
    <w:name w:val="标题 8 字符"/>
    <w:basedOn w:val="a0"/>
    <w:link w:val="8"/>
    <w:uiPriority w:val="9"/>
    <w:semiHidden/>
    <w:rsid w:val="0067487F"/>
    <w:rPr>
      <w:rFonts w:cstheme="majorBidi"/>
      <w:color w:val="595959" w:themeColor="text1" w:themeTint="A6"/>
    </w:rPr>
  </w:style>
  <w:style w:type="character" w:customStyle="1" w:styleId="90">
    <w:name w:val="标题 9 字符"/>
    <w:basedOn w:val="a0"/>
    <w:link w:val="9"/>
    <w:uiPriority w:val="9"/>
    <w:semiHidden/>
    <w:rsid w:val="0067487F"/>
    <w:rPr>
      <w:rFonts w:eastAsiaTheme="majorEastAsia" w:cstheme="majorBidi"/>
      <w:color w:val="595959" w:themeColor="text1" w:themeTint="A6"/>
    </w:rPr>
  </w:style>
  <w:style w:type="paragraph" w:styleId="a3">
    <w:name w:val="Title"/>
    <w:basedOn w:val="a"/>
    <w:next w:val="a"/>
    <w:link w:val="a4"/>
    <w:uiPriority w:val="10"/>
    <w:qFormat/>
    <w:rsid w:val="0067487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748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7487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7487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7487F"/>
    <w:pPr>
      <w:spacing w:before="160"/>
      <w:jc w:val="center"/>
    </w:pPr>
    <w:rPr>
      <w:i/>
      <w:iCs/>
      <w:color w:val="404040" w:themeColor="text1" w:themeTint="BF"/>
    </w:rPr>
  </w:style>
  <w:style w:type="character" w:customStyle="1" w:styleId="a8">
    <w:name w:val="引用 字符"/>
    <w:basedOn w:val="a0"/>
    <w:link w:val="a7"/>
    <w:uiPriority w:val="29"/>
    <w:rsid w:val="0067487F"/>
    <w:rPr>
      <w:i/>
      <w:iCs/>
      <w:color w:val="404040" w:themeColor="text1" w:themeTint="BF"/>
    </w:rPr>
  </w:style>
  <w:style w:type="paragraph" w:styleId="a9">
    <w:name w:val="List Paragraph"/>
    <w:basedOn w:val="a"/>
    <w:uiPriority w:val="34"/>
    <w:qFormat/>
    <w:rsid w:val="0067487F"/>
    <w:pPr>
      <w:ind w:left="720"/>
      <w:contextualSpacing/>
    </w:pPr>
  </w:style>
  <w:style w:type="character" w:styleId="aa">
    <w:name w:val="Intense Emphasis"/>
    <w:basedOn w:val="a0"/>
    <w:uiPriority w:val="21"/>
    <w:qFormat/>
    <w:rsid w:val="0067487F"/>
    <w:rPr>
      <w:i/>
      <w:iCs/>
      <w:color w:val="2F5496" w:themeColor="accent1" w:themeShade="BF"/>
    </w:rPr>
  </w:style>
  <w:style w:type="paragraph" w:styleId="ab">
    <w:name w:val="Intense Quote"/>
    <w:basedOn w:val="a"/>
    <w:next w:val="a"/>
    <w:link w:val="ac"/>
    <w:uiPriority w:val="30"/>
    <w:qFormat/>
    <w:rsid w:val="006748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7487F"/>
    <w:rPr>
      <w:i/>
      <w:iCs/>
      <w:color w:val="2F5496" w:themeColor="accent1" w:themeShade="BF"/>
    </w:rPr>
  </w:style>
  <w:style w:type="character" w:styleId="ad">
    <w:name w:val="Intense Reference"/>
    <w:basedOn w:val="a0"/>
    <w:uiPriority w:val="32"/>
    <w:qFormat/>
    <w:rsid w:val="0067487F"/>
    <w:rPr>
      <w:b/>
      <w:bCs/>
      <w:smallCaps/>
      <w:color w:val="2F5496" w:themeColor="accent1" w:themeShade="BF"/>
      <w:spacing w:val="5"/>
    </w:rPr>
  </w:style>
  <w:style w:type="paragraph" w:styleId="ae">
    <w:name w:val="header"/>
    <w:basedOn w:val="a"/>
    <w:link w:val="af"/>
    <w:uiPriority w:val="99"/>
    <w:unhideWhenUsed/>
    <w:rsid w:val="00275E66"/>
    <w:pPr>
      <w:tabs>
        <w:tab w:val="center" w:pos="4153"/>
        <w:tab w:val="right" w:pos="8306"/>
      </w:tabs>
      <w:snapToGrid w:val="0"/>
      <w:jc w:val="center"/>
    </w:pPr>
    <w:rPr>
      <w:sz w:val="18"/>
      <w:szCs w:val="18"/>
    </w:rPr>
  </w:style>
  <w:style w:type="character" w:customStyle="1" w:styleId="af">
    <w:name w:val="页眉 字符"/>
    <w:basedOn w:val="a0"/>
    <w:link w:val="ae"/>
    <w:uiPriority w:val="99"/>
    <w:rsid w:val="00275E66"/>
    <w:rPr>
      <w:sz w:val="18"/>
      <w:szCs w:val="18"/>
    </w:rPr>
  </w:style>
  <w:style w:type="paragraph" w:styleId="af0">
    <w:name w:val="footer"/>
    <w:basedOn w:val="a"/>
    <w:link w:val="af1"/>
    <w:unhideWhenUsed/>
    <w:rsid w:val="00275E66"/>
    <w:pPr>
      <w:tabs>
        <w:tab w:val="center" w:pos="4153"/>
        <w:tab w:val="right" w:pos="8306"/>
      </w:tabs>
      <w:snapToGrid w:val="0"/>
    </w:pPr>
    <w:rPr>
      <w:sz w:val="18"/>
      <w:szCs w:val="18"/>
    </w:rPr>
  </w:style>
  <w:style w:type="character" w:customStyle="1" w:styleId="af1">
    <w:name w:val="页脚 字符"/>
    <w:basedOn w:val="a0"/>
    <w:link w:val="af0"/>
    <w:rsid w:val="00275E66"/>
    <w:rPr>
      <w:sz w:val="18"/>
      <w:szCs w:val="18"/>
    </w:rPr>
  </w:style>
  <w:style w:type="paragraph" w:customStyle="1" w:styleId="SMHeading">
    <w:name w:val="SM Heading"/>
    <w:basedOn w:val="1"/>
    <w:qFormat/>
    <w:rsid w:val="00275E66"/>
    <w:pPr>
      <w:keepLines w:val="0"/>
      <w:spacing w:before="240" w:after="60"/>
    </w:pPr>
    <w:rPr>
      <w:rFonts w:ascii="Times New Roman" w:eastAsiaTheme="minorEastAsia" w:hAnsi="Times New Roman" w:cs="Times New Roman"/>
      <w:b/>
      <w:bCs/>
      <w:color w:val="auto"/>
      <w:kern w:val="32"/>
      <w:sz w:val="24"/>
      <w:szCs w:val="24"/>
    </w:rPr>
  </w:style>
  <w:style w:type="paragraph" w:customStyle="1" w:styleId="SMcaption">
    <w:name w:val="SM caption"/>
    <w:basedOn w:val="a"/>
    <w:qFormat/>
    <w:rsid w:val="00275E66"/>
  </w:style>
  <w:style w:type="character" w:styleId="af2">
    <w:name w:val="Hyperlink"/>
    <w:uiPriority w:val="99"/>
    <w:rsid w:val="00275E66"/>
    <w:rPr>
      <w:color w:val="0000FF"/>
      <w:u w:val="single"/>
    </w:rPr>
  </w:style>
  <w:style w:type="paragraph" w:customStyle="1" w:styleId="PubInfo">
    <w:name w:val="PubInfo"/>
    <w:basedOn w:val="a"/>
    <w:qFormat/>
    <w:rsid w:val="00275E66"/>
    <w:pPr>
      <w:suppressAutoHyphens/>
      <w:jc w:val="center"/>
    </w:pPr>
    <w:rPr>
      <w:sz w:val="20"/>
      <w:lang w:eastAsia="ar-SA"/>
    </w:rPr>
  </w:style>
  <w:style w:type="table" w:styleId="af3">
    <w:name w:val="Table Grid"/>
    <w:basedOn w:val="a1"/>
    <w:uiPriority w:val="39"/>
    <w:rsid w:val="00275E66"/>
    <w:pPr>
      <w:spacing w:after="0" w:line="240" w:lineRule="auto"/>
    </w:pPr>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mailto:yanggy@bit.edu.cn" TargetMode="Externa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1615</Words>
  <Characters>10289</Characters>
  <Application>Microsoft Office Word</Application>
  <DocSecurity>0</DocSecurity>
  <Lines>257</Lines>
  <Paragraphs>114</Paragraphs>
  <ScaleCrop>false</ScaleCrop>
  <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Guoyuan Yang</dc:creator>
  <cp:keywords/>
  <dc:description/>
  <cp:lastModifiedBy>Guoyuan Yang</cp:lastModifiedBy>
  <cp:revision>4</cp:revision>
  <dcterms:created xsi:type="dcterms:W3CDTF">2025-09-08T02:18:00Z</dcterms:created>
  <dcterms:modified xsi:type="dcterms:W3CDTF">2025-09-08T02:20:00Z</dcterms:modified>
</cp:coreProperties>
</file>