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AFCB0" w14:textId="77777777" w:rsidR="00490E45" w:rsidRPr="00327986" w:rsidRDefault="00462E20" w:rsidP="00327986">
      <w:pPr>
        <w:spacing w:line="48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27986">
        <w:rPr>
          <w:rFonts w:ascii="Times New Roman" w:hAnsi="Times New Roman" w:cs="Times New Roman"/>
          <w:b/>
          <w:bCs/>
          <w:sz w:val="32"/>
          <w:szCs w:val="32"/>
        </w:rPr>
        <w:t>Supporting information</w:t>
      </w:r>
    </w:p>
    <w:p w14:paraId="4720B6D2" w14:textId="77777777" w:rsidR="00F12643" w:rsidRPr="00327986" w:rsidRDefault="00F12643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4CD2786F" w14:textId="6597C4DA" w:rsidR="00F12643" w:rsidRPr="00327986" w:rsidRDefault="0047233C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Heparin’s Inhibition Capability on DNA Polymerase Enables Probe-Free Heparin Quantitative Detection Assay</w:t>
      </w:r>
    </w:p>
    <w:p w14:paraId="6D3E8ACC" w14:textId="77777777" w:rsidR="00A360BD" w:rsidRDefault="00A360BD" w:rsidP="00A360BD">
      <w:pPr>
        <w:spacing w:line="480" w:lineRule="auto"/>
        <w:ind w:right="210"/>
        <w:rPr>
          <w:rFonts w:ascii="Times New Roman" w:hAnsi="Times New Roman" w:cs="Times New Roman"/>
          <w:sz w:val="22"/>
          <w:szCs w:val="22"/>
        </w:rPr>
      </w:pPr>
    </w:p>
    <w:p w14:paraId="19C49044" w14:textId="4B573FFC" w:rsidR="00A360BD" w:rsidRPr="00B55C0C" w:rsidRDefault="00A360BD" w:rsidP="00A360BD">
      <w:pPr>
        <w:spacing w:line="480" w:lineRule="auto"/>
        <w:ind w:right="210"/>
        <w:rPr>
          <w:rFonts w:ascii="Times New Roman" w:hAnsi="Times New Roman" w:cs="Times New Roman"/>
          <w:sz w:val="22"/>
          <w:szCs w:val="22"/>
        </w:rPr>
      </w:pPr>
      <w:r w:rsidRPr="004D3CAD">
        <w:rPr>
          <w:rFonts w:ascii="Times New Roman" w:hAnsi="Times New Roman" w:cs="Times New Roman"/>
          <w:sz w:val="22"/>
          <w:szCs w:val="22"/>
        </w:rPr>
        <w:t>Yi Xie</w:t>
      </w:r>
      <w:r w:rsidRPr="004D3CAD">
        <w:rPr>
          <w:rFonts w:ascii="Times New Roman" w:hAnsi="Times New Roman" w:cs="Times New Roman"/>
          <w:sz w:val="22"/>
          <w:szCs w:val="22"/>
          <w:vertAlign w:val="superscript"/>
        </w:rPr>
        <w:t>1, 2</w:t>
      </w:r>
      <w:r w:rsidRPr="004D3CAD">
        <w:rPr>
          <w:rFonts w:ascii="Times New Roman" w:hAnsi="Times New Roman" w:cs="Times New Roman"/>
          <w:sz w:val="22"/>
          <w:szCs w:val="22"/>
        </w:rPr>
        <w:t>, Yi Li</w:t>
      </w:r>
      <w:r w:rsidRPr="004D3CAD">
        <w:rPr>
          <w:rFonts w:ascii="Times New Roman" w:hAnsi="Times New Roman" w:cs="Times New Roman"/>
          <w:sz w:val="22"/>
          <w:szCs w:val="22"/>
          <w:vertAlign w:val="superscript"/>
        </w:rPr>
        <w:t>2</w:t>
      </w:r>
      <w:r w:rsidRPr="004D3CAD">
        <w:rPr>
          <w:rFonts w:ascii="Times New Roman" w:hAnsi="Times New Roman" w:cs="Times New Roman"/>
          <w:sz w:val="22"/>
          <w:szCs w:val="22"/>
        </w:rPr>
        <w:t>,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4D3CAD">
        <w:rPr>
          <w:rFonts w:ascii="Times New Roman" w:hAnsi="Times New Roman" w:cs="Times New Roman"/>
          <w:sz w:val="22"/>
          <w:szCs w:val="22"/>
        </w:rPr>
        <w:t>Xiong Ding</w:t>
      </w:r>
      <w:r w:rsidRPr="004D3CAD">
        <w:rPr>
          <w:rFonts w:ascii="Times New Roman" w:hAnsi="Times New Roman" w:cs="Times New Roman"/>
          <w:sz w:val="22"/>
          <w:szCs w:val="22"/>
          <w:vertAlign w:val="superscript"/>
        </w:rPr>
        <w:t>3*</w:t>
      </w:r>
      <w:r w:rsidRPr="004D3CAD">
        <w:rPr>
          <w:rFonts w:ascii="Times New Roman" w:hAnsi="Times New Roman" w:cs="Times New Roman"/>
          <w:sz w:val="22"/>
          <w:szCs w:val="22"/>
        </w:rPr>
        <w:t>, Meilin Weng</w:t>
      </w:r>
      <w:r w:rsidRPr="004D3CAD">
        <w:rPr>
          <w:rFonts w:ascii="Times New Roman" w:hAnsi="Times New Roman" w:cs="Times New Roman"/>
          <w:sz w:val="22"/>
          <w:szCs w:val="22"/>
          <w:vertAlign w:val="superscript"/>
        </w:rPr>
        <w:t>2*</w:t>
      </w:r>
      <w:r w:rsidRPr="004D3CAD">
        <w:rPr>
          <w:rFonts w:ascii="Times New Roman" w:hAnsi="Times New Roman" w:cs="Times New Roman"/>
          <w:sz w:val="22"/>
          <w:szCs w:val="22"/>
        </w:rPr>
        <w:t>, Kun Yin</w:t>
      </w:r>
      <w:r w:rsidRPr="004D3CAD">
        <w:rPr>
          <w:rFonts w:ascii="Times New Roman" w:hAnsi="Times New Roman" w:cs="Times New Roman"/>
          <w:sz w:val="22"/>
          <w:szCs w:val="22"/>
          <w:vertAlign w:val="superscript"/>
        </w:rPr>
        <w:t>1*</w:t>
      </w:r>
    </w:p>
    <w:p w14:paraId="24DF4B7C" w14:textId="77777777" w:rsidR="00A360BD" w:rsidRDefault="00A360BD" w:rsidP="00A360BD">
      <w:pPr>
        <w:spacing w:line="480" w:lineRule="auto"/>
        <w:ind w:right="210"/>
        <w:rPr>
          <w:rFonts w:ascii="Times New Roman" w:hAnsi="Times New Roman" w:cs="Times New Roman"/>
          <w:sz w:val="22"/>
          <w:szCs w:val="22"/>
        </w:rPr>
      </w:pPr>
    </w:p>
    <w:p w14:paraId="255F922A" w14:textId="77777777" w:rsidR="00A360BD" w:rsidRPr="004D3CAD" w:rsidRDefault="00A360BD" w:rsidP="00A360BD">
      <w:pPr>
        <w:spacing w:line="480" w:lineRule="auto"/>
        <w:ind w:right="210"/>
        <w:rPr>
          <w:rFonts w:ascii="Times New Roman" w:hAnsi="Times New Roman" w:cs="Times New Roman"/>
          <w:sz w:val="22"/>
          <w:szCs w:val="22"/>
        </w:rPr>
      </w:pPr>
      <w:r w:rsidRPr="004D3CAD">
        <w:rPr>
          <w:rFonts w:ascii="Times New Roman" w:hAnsi="Times New Roman" w:cs="Times New Roman"/>
          <w:sz w:val="22"/>
          <w:szCs w:val="22"/>
        </w:rPr>
        <w:t>1School of Global Health, Chinese Center for Tropical Diseases Research, Shanghai Jiao Tong University School of Medicine, Shanghai, 200025, People’s Republic of China 2One Health Center, Shanghai Jiao Tong University-The University of Edinburgh, Shanghai, 200025, People’s Republic of China</w:t>
      </w:r>
    </w:p>
    <w:p w14:paraId="5E771EFC" w14:textId="77777777" w:rsidR="00A360BD" w:rsidRPr="004D3CAD" w:rsidRDefault="00A360BD" w:rsidP="00A360BD">
      <w:pPr>
        <w:spacing w:line="480" w:lineRule="auto"/>
        <w:rPr>
          <w:rFonts w:ascii="Times New Roman" w:hAnsi="Times New Roman" w:cs="Times New Roman"/>
          <w:sz w:val="22"/>
          <w:szCs w:val="22"/>
        </w:rPr>
      </w:pPr>
      <w:r w:rsidRPr="004D3CAD">
        <w:rPr>
          <w:rFonts w:ascii="Times New Roman" w:hAnsi="Times New Roman" w:cs="Times New Roman"/>
          <w:sz w:val="22"/>
          <w:szCs w:val="22"/>
        </w:rPr>
        <w:t>2Department of Anesthesiology, Zhongshan Hospital, Fudan University, Shanghai 200032, China</w:t>
      </w:r>
    </w:p>
    <w:p w14:paraId="1AEC9F90" w14:textId="77777777" w:rsidR="00A360BD" w:rsidRPr="004D3CAD" w:rsidRDefault="00A360BD" w:rsidP="00A360BD">
      <w:pPr>
        <w:spacing w:line="480" w:lineRule="auto"/>
        <w:ind w:right="210"/>
        <w:rPr>
          <w:rFonts w:ascii="Times New Roman" w:hAnsi="Times New Roman" w:cs="Times New Roman"/>
          <w:sz w:val="22"/>
          <w:szCs w:val="22"/>
        </w:rPr>
      </w:pPr>
      <w:r w:rsidRPr="004D3CAD">
        <w:rPr>
          <w:rFonts w:ascii="Times New Roman" w:hAnsi="Times New Roman" w:cs="Times New Roman"/>
          <w:sz w:val="22"/>
          <w:szCs w:val="22"/>
        </w:rPr>
        <w:t>3Key Laboratory of Environmental Medicine and Engineering, Ministry of Education, School of Public Health, Southeast University, Nanjing 210009, P. R. China; Department of Nutrition and Food Hygiene, School of Public Health, Southeast University, Nanjing 210009, P. R. China</w:t>
      </w:r>
    </w:p>
    <w:p w14:paraId="1C247765" w14:textId="77777777" w:rsidR="00F12643" w:rsidRDefault="00F12643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9C8F07B" w14:textId="77777777" w:rsidR="00A360BD" w:rsidRDefault="00A360BD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037E4EB5" w14:textId="77777777" w:rsidR="00A360BD" w:rsidRDefault="00A360BD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11922EC1" w14:textId="77777777" w:rsidR="00A360BD" w:rsidRDefault="00A360BD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339D90BD" w14:textId="77777777" w:rsidR="00A360BD" w:rsidRPr="00A360BD" w:rsidRDefault="00A360BD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7F3541A0" w14:textId="2033E4C0" w:rsidR="00E15118" w:rsidRPr="00327986" w:rsidRDefault="00E15118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lastRenderedPageBreak/>
        <w:t>Methods/Experimental Sections</w:t>
      </w:r>
    </w:p>
    <w:p w14:paraId="46FF975E" w14:textId="78696ADB" w:rsidR="00462E20" w:rsidRPr="00327986" w:rsidRDefault="00462E20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Materials</w:t>
      </w:r>
      <w:r w:rsidR="00E15118" w:rsidRPr="00327986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565EBA34" w14:textId="77777777" w:rsidR="00462E20" w:rsidRPr="00327986" w:rsidRDefault="00462E20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Heparin, heparan sulfate, (NH4)2SO4, Tween 20, </w:t>
      </w:r>
      <w:proofErr w:type="spellStart"/>
      <w:r w:rsidRPr="00327986">
        <w:rPr>
          <w:rFonts w:ascii="Times New Roman" w:hAnsi="Times New Roman" w:cs="Times New Roman"/>
          <w:sz w:val="24"/>
        </w:rPr>
        <w:t>KCl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, glycerol, and KOH were purchased from Sigma-Aldrich (Shanghai, China). Sterile molecular biology-grade water was purchased from </w:t>
      </w:r>
      <w:proofErr w:type="spellStart"/>
      <w:r w:rsidRPr="00327986">
        <w:rPr>
          <w:rFonts w:ascii="Times New Roman" w:hAnsi="Times New Roman" w:cs="Times New Roman"/>
          <w:sz w:val="24"/>
        </w:rPr>
        <w:t>Thermo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Fisher Scientific Inc (USA). Eva Green dye was purchased from </w:t>
      </w:r>
      <w:proofErr w:type="spellStart"/>
      <w:r w:rsidRPr="00327986">
        <w:rPr>
          <w:rFonts w:ascii="Times New Roman" w:hAnsi="Times New Roman" w:cs="Times New Roman"/>
          <w:sz w:val="24"/>
        </w:rPr>
        <w:t>Yeason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Biotechnology Co., Ltd. (Shanghai, China), </w:t>
      </w:r>
      <w:bookmarkStart w:id="0" w:name="OLE_LINK4"/>
      <w:proofErr w:type="spellStart"/>
      <w:r w:rsidRPr="00327986">
        <w:rPr>
          <w:rFonts w:ascii="Times New Roman" w:hAnsi="Times New Roman" w:cs="Times New Roman"/>
          <w:sz w:val="24"/>
        </w:rPr>
        <w:t>Bst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2.0 </w:t>
      </w:r>
      <w:proofErr w:type="spellStart"/>
      <w:r w:rsidRPr="00327986">
        <w:rPr>
          <w:rFonts w:ascii="Times New Roman" w:hAnsi="Times New Roman" w:cs="Times New Roman"/>
          <w:sz w:val="24"/>
        </w:rPr>
        <w:t>Warmstart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DNA Polymerase</w:t>
      </w:r>
      <w:bookmarkEnd w:id="0"/>
      <w:r w:rsidRPr="00327986">
        <w:rPr>
          <w:rFonts w:ascii="Times New Roman" w:hAnsi="Times New Roman" w:cs="Times New Roman"/>
          <w:sz w:val="24"/>
        </w:rPr>
        <w:t xml:space="preserve"> (8000 U/mL), </w:t>
      </w:r>
      <w:proofErr w:type="spellStart"/>
      <w:r w:rsidRPr="00327986">
        <w:rPr>
          <w:rFonts w:ascii="Times New Roman" w:hAnsi="Times New Roman" w:cs="Times New Roman"/>
          <w:sz w:val="24"/>
        </w:rPr>
        <w:t>Bst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3.0 DNA Polymerase (8,000 U/mL), </w:t>
      </w:r>
      <w:bookmarkStart w:id="1" w:name="OLE_LINK5"/>
      <w:r w:rsidRPr="00327986">
        <w:rPr>
          <w:rFonts w:ascii="Times New Roman" w:hAnsi="Times New Roman" w:cs="Times New Roman"/>
          <w:sz w:val="24"/>
        </w:rPr>
        <w:t>10 × NEB isothermal amplification buffer</w:t>
      </w:r>
      <w:bookmarkEnd w:id="1"/>
      <w:r w:rsidRPr="00327986">
        <w:rPr>
          <w:rFonts w:ascii="Times New Roman" w:hAnsi="Times New Roman" w:cs="Times New Roman"/>
          <w:sz w:val="24"/>
        </w:rPr>
        <w:t xml:space="preserve">, 10 × NEB isothermal amplification buffer 2, and 10 × </w:t>
      </w:r>
      <w:proofErr w:type="spellStart"/>
      <w:r w:rsidRPr="00327986">
        <w:rPr>
          <w:rFonts w:ascii="Times New Roman" w:hAnsi="Times New Roman" w:cs="Times New Roman"/>
          <w:sz w:val="24"/>
        </w:rPr>
        <w:t>ThermoPol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@ reaction buffer, magnesium sulfate (MgSO4) Solution (100 </w:t>
      </w:r>
      <w:proofErr w:type="spellStart"/>
      <w:r w:rsidRPr="00327986">
        <w:rPr>
          <w:rFonts w:ascii="Times New Roman" w:hAnsi="Times New Roman" w:cs="Times New Roman"/>
          <w:sz w:val="24"/>
        </w:rPr>
        <w:t>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), </w:t>
      </w:r>
      <w:proofErr w:type="spellStart"/>
      <w:r w:rsidRPr="00327986">
        <w:rPr>
          <w:rFonts w:ascii="Times New Roman" w:hAnsi="Times New Roman" w:cs="Times New Roman"/>
          <w:sz w:val="24"/>
        </w:rPr>
        <w:t>dATPs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(100 </w:t>
      </w:r>
      <w:proofErr w:type="spellStart"/>
      <w:r w:rsidRPr="00327986">
        <w:rPr>
          <w:rFonts w:ascii="Times New Roman" w:hAnsi="Times New Roman" w:cs="Times New Roman"/>
          <w:sz w:val="24"/>
        </w:rPr>
        <w:t>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), </w:t>
      </w:r>
      <w:proofErr w:type="spellStart"/>
      <w:r w:rsidRPr="00327986">
        <w:rPr>
          <w:rFonts w:ascii="Times New Roman" w:hAnsi="Times New Roman" w:cs="Times New Roman"/>
          <w:sz w:val="24"/>
        </w:rPr>
        <w:t>dCTPs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(100 </w:t>
      </w:r>
      <w:proofErr w:type="spellStart"/>
      <w:r w:rsidRPr="00327986">
        <w:rPr>
          <w:rFonts w:ascii="Times New Roman" w:hAnsi="Times New Roman" w:cs="Times New Roman"/>
          <w:sz w:val="24"/>
        </w:rPr>
        <w:t>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), </w:t>
      </w:r>
      <w:proofErr w:type="spellStart"/>
      <w:r w:rsidRPr="00327986">
        <w:rPr>
          <w:rFonts w:ascii="Times New Roman" w:hAnsi="Times New Roman" w:cs="Times New Roman"/>
          <w:sz w:val="24"/>
        </w:rPr>
        <w:t>dUTPs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(100 </w:t>
      </w:r>
      <w:proofErr w:type="spellStart"/>
      <w:r w:rsidRPr="00327986">
        <w:rPr>
          <w:rFonts w:ascii="Times New Roman" w:hAnsi="Times New Roman" w:cs="Times New Roman"/>
          <w:sz w:val="24"/>
        </w:rPr>
        <w:t>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), and </w:t>
      </w:r>
      <w:proofErr w:type="spellStart"/>
      <w:r w:rsidRPr="00327986">
        <w:rPr>
          <w:rFonts w:ascii="Times New Roman" w:hAnsi="Times New Roman" w:cs="Times New Roman"/>
          <w:sz w:val="24"/>
        </w:rPr>
        <w:t>dGTPs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(100 </w:t>
      </w:r>
      <w:proofErr w:type="spellStart"/>
      <w:r w:rsidRPr="00327986">
        <w:rPr>
          <w:rFonts w:ascii="Times New Roman" w:hAnsi="Times New Roman" w:cs="Times New Roman"/>
          <w:sz w:val="24"/>
        </w:rPr>
        <w:t>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) were purchased from New England </w:t>
      </w:r>
      <w:proofErr w:type="spellStart"/>
      <w:r w:rsidRPr="00327986">
        <w:rPr>
          <w:rFonts w:ascii="Times New Roman" w:hAnsi="Times New Roman" w:cs="Times New Roman"/>
          <w:sz w:val="24"/>
        </w:rPr>
        <w:t>BioLabs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(NEB) Inc (USA). 10 × DNA Loading Buffer and </w:t>
      </w:r>
      <w:proofErr w:type="spellStart"/>
      <w:r w:rsidRPr="00327986">
        <w:rPr>
          <w:rFonts w:ascii="Times New Roman" w:hAnsi="Times New Roman" w:cs="Times New Roman"/>
          <w:sz w:val="24"/>
        </w:rPr>
        <w:t>GelStain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were obtained from </w:t>
      </w:r>
      <w:proofErr w:type="spellStart"/>
      <w:r w:rsidRPr="00327986">
        <w:rPr>
          <w:rFonts w:ascii="Times New Roman" w:hAnsi="Times New Roman" w:cs="Times New Roman"/>
          <w:sz w:val="24"/>
        </w:rPr>
        <w:t>TransGen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Biotech Co., Ltd (China). </w:t>
      </w:r>
      <w:proofErr w:type="spellStart"/>
      <w:r w:rsidRPr="00327986">
        <w:rPr>
          <w:rFonts w:ascii="Times New Roman" w:hAnsi="Times New Roman" w:cs="Times New Roman"/>
          <w:sz w:val="24"/>
        </w:rPr>
        <w:t>Biowest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regular agarose was provided by </w:t>
      </w:r>
      <w:proofErr w:type="spellStart"/>
      <w:r w:rsidRPr="00327986">
        <w:rPr>
          <w:rFonts w:ascii="Times New Roman" w:hAnsi="Times New Roman" w:cs="Times New Roman"/>
          <w:sz w:val="24"/>
        </w:rPr>
        <w:t>Baygene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Biotech Co., Ltd (China). </w:t>
      </w:r>
    </w:p>
    <w:p w14:paraId="0B1A3A8E" w14:textId="77777777" w:rsidR="00462E20" w:rsidRPr="00327986" w:rsidRDefault="00462E20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76FD0D61" w14:textId="77777777" w:rsidR="00E15118" w:rsidRPr="00327986" w:rsidRDefault="00462E20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 xml:space="preserve">Construction and purification of </w:t>
      </w:r>
      <w:proofErr w:type="spellStart"/>
      <w:r w:rsidRPr="00327986">
        <w:rPr>
          <w:rFonts w:ascii="Times New Roman" w:hAnsi="Times New Roman" w:cs="Times New Roman"/>
          <w:b/>
          <w:bCs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b/>
          <w:bCs/>
          <w:sz w:val="24"/>
        </w:rPr>
        <w:t xml:space="preserve"> polymerase </w:t>
      </w:r>
    </w:p>
    <w:p w14:paraId="08450F03" w14:textId="68E78ECB" w:rsidR="00462E20" w:rsidRPr="00327986" w:rsidRDefault="00E15118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The construction and purification of this engineered </w:t>
      </w:r>
      <w:proofErr w:type="spellStart"/>
      <w:r w:rsidRPr="00327986">
        <w:rPr>
          <w:rFonts w:ascii="Times New Roman" w:hAnsi="Times New Roman" w:cs="Times New Roman"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polymerase </w:t>
      </w:r>
      <w:r w:rsidR="00462E20" w:rsidRPr="00327986">
        <w:rPr>
          <w:rFonts w:ascii="Times New Roman" w:hAnsi="Times New Roman" w:cs="Times New Roman"/>
          <w:sz w:val="24"/>
        </w:rPr>
        <w:t xml:space="preserve">has been reported in our previous work </w:t>
      </w:r>
      <w:r w:rsidR="00F12643"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&lt;EndNote&gt;&lt;Cite&gt;&lt;Author&gt;Xie&lt;/Author&gt;&lt;Year&gt;2024&lt;/Year&gt;&lt;RecNum&gt;39&lt;/RecNum&gt;&lt;DisplayText&gt;&lt;style face="superscript"&gt;1&lt;/style&gt;&lt;/DisplayText&gt;&lt;record&gt;&lt;rec-number&gt;39&lt;/rec-number&gt;&lt;foreign-keys&gt;&lt;key app="EN" db-id="spfa05tr8pf25eer9xm5vevnsd5dsr052zxf" timestamp="1753342478"&gt;39&lt;/key&gt;&lt;/foreign-keys&gt;&lt;ref-type name="Journal Article"&gt;17&lt;/ref-type&gt;&lt;contributors&gt;&lt;authors&gt;&lt;author&gt;Xie, Yi&lt;/author&gt;&lt;author&gt;Jiang, Kai&lt;/author&gt;&lt;author&gt;Zhang, Yuqian&lt;/author&gt;&lt;author&gt;Cao, Liqin&lt;/author&gt;&lt;author&gt;Guo, Xiaokui&lt;/author&gt;&lt;author&gt;Shi, Jun&lt;/author&gt;&lt;author&gt;Ding, Xiong&lt;/author&gt;&lt;author&gt;Yin, Kun&lt;/author&gt;&lt;/authors&gt;&lt;/contributors&gt;&lt;titles&gt;&lt;title&gt;Enhanced Two-Step LAMP-CRISPR Assay with an Engineered Zst Polymerase for Contamination-Free and Ultrasensitive DNA Detection&lt;/title&gt;&lt;secondary-title&gt;Analytical Chemistry&lt;/secondary-title&gt;&lt;/titles&gt;&lt;periodical&gt;&lt;full-title&gt;Analytical chemistry&lt;/full-title&gt;&lt;/periodical&gt;&lt;pages&gt;15493-15502&lt;/pages&gt;&lt;volume&gt;96&lt;/volume&gt;&lt;number&gt;38&lt;/number&gt;&lt;dates&gt;&lt;year&gt;2024&lt;/year&gt;&lt;/dates&gt;&lt;isbn&gt;0003-2700&lt;/isbn&gt;&lt;urls&gt;&lt;/urls&gt;&lt;/record&gt;&lt;/Cite&gt;&lt;/EndNote&gt;</w:instrText>
      </w:r>
      <w:r w:rsidR="00F12643"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</w:t>
      </w:r>
      <w:r w:rsidR="00F12643" w:rsidRPr="00327986">
        <w:rPr>
          <w:rFonts w:ascii="Times New Roman" w:hAnsi="Times New Roman" w:cs="Times New Roman"/>
          <w:sz w:val="24"/>
        </w:rPr>
        <w:fldChar w:fldCharType="end"/>
      </w:r>
      <w:r w:rsidR="00462E20" w:rsidRPr="00327986">
        <w:rPr>
          <w:rFonts w:ascii="Times New Roman" w:hAnsi="Times New Roman" w:cs="Times New Roman"/>
          <w:sz w:val="24"/>
        </w:rPr>
        <w:t>.</w:t>
      </w:r>
    </w:p>
    <w:p w14:paraId="42B60273" w14:textId="77777777" w:rsidR="00E15118" w:rsidRPr="00327986" w:rsidRDefault="00E15118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C5DAD1F" w14:textId="4F377696" w:rsidR="00A95D24" w:rsidRPr="00327986" w:rsidRDefault="00E15118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bookmarkStart w:id="2" w:name="OLE_LINK15"/>
      <w:r w:rsidRPr="00327986">
        <w:rPr>
          <w:rFonts w:ascii="Times New Roman" w:hAnsi="Times New Roman" w:cs="Times New Roman"/>
          <w:b/>
          <w:bCs/>
          <w:sz w:val="24"/>
        </w:rPr>
        <w:t xml:space="preserve">Three-dimensional structure construction of the </w:t>
      </w:r>
      <w:proofErr w:type="spellStart"/>
      <w:r w:rsidRPr="00327986">
        <w:rPr>
          <w:rFonts w:ascii="Times New Roman" w:hAnsi="Times New Roman" w:cs="Times New Roman"/>
          <w:b/>
          <w:bCs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b/>
          <w:bCs/>
          <w:sz w:val="24"/>
        </w:rPr>
        <w:t xml:space="preserve"> protein and energy minimization</w:t>
      </w:r>
    </w:p>
    <w:p w14:paraId="10C75F99" w14:textId="16FDA7F8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>Protein structure prediction</w:t>
      </w:r>
      <w:bookmarkEnd w:id="2"/>
      <w:r w:rsidRPr="00327986">
        <w:rPr>
          <w:rFonts w:ascii="Times New Roman" w:hAnsi="Times New Roman" w:cs="Times New Roman"/>
          <w:sz w:val="24"/>
        </w:rPr>
        <w:t xml:space="preserve"> of </w:t>
      </w:r>
      <w:proofErr w:type="spellStart"/>
      <w:r w:rsidRPr="00327986">
        <w:rPr>
          <w:rFonts w:ascii="Times New Roman" w:hAnsi="Times New Roman" w:cs="Times New Roman"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protein was performed on a local install of </w:t>
      </w:r>
      <w:proofErr w:type="spellStart"/>
      <w:r w:rsidRPr="00327986">
        <w:rPr>
          <w:rFonts w:ascii="Times New Roman" w:hAnsi="Times New Roman" w:cs="Times New Roman"/>
          <w:sz w:val="24"/>
        </w:rPr>
        <w:t>Colab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-Fold with ‘‘AlphaFold2’’ parameters using A100 GPUs, where MSA search was done </w:t>
      </w:r>
      <w:r w:rsidRPr="00327986">
        <w:rPr>
          <w:rFonts w:ascii="Times New Roman" w:hAnsi="Times New Roman" w:cs="Times New Roman"/>
          <w:sz w:val="24"/>
        </w:rPr>
        <w:lastRenderedPageBreak/>
        <w:t xml:space="preserve">by MMseqs2 on </w:t>
      </w:r>
      <w:proofErr w:type="spellStart"/>
      <w:r w:rsidRPr="00327986">
        <w:rPr>
          <w:rFonts w:ascii="Times New Roman" w:hAnsi="Times New Roman" w:cs="Times New Roman"/>
          <w:sz w:val="24"/>
        </w:rPr>
        <w:t>Uniref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. 100 database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&lt;EndNote&gt;&lt;Cite&gt;&lt;Author&gt;Mirdita&lt;/Author&gt;&lt;Year&gt;2022&lt;/Year&gt;&lt;RecNum&gt;2&lt;/RecNum&gt;&lt;DisplayText&gt;&lt;style face="superscript"&gt;2&lt;/style&gt;&lt;/DisplayText&gt;&lt;record&gt;&lt;rec-number&gt;2&lt;/rec-number&gt;&lt;foreign-keys&gt;&lt;key app="EN" db-id="spfa05tr8pf25eer9xm5vevnsd5dsr052zxf" timestamp="1707211340"&gt;2&lt;/key&gt;&lt;/foreign-keys&gt;&lt;ref-type name="Journal Article"&gt;17&lt;/ref-type&gt;&lt;contributors&gt;&lt;authors&gt;&lt;author&gt;Mirdita, Milot&lt;/author&gt;&lt;author&gt;Schütze, Konstantin&lt;/author&gt;&lt;author&gt;Moriwaki, Yoshitaka&lt;/author&gt;&lt;author&gt;Heo, Lim&lt;/author&gt;&lt;author&gt;Ovchinnikov, Sergey&lt;/author&gt;&lt;author&gt;Steinegger, Martin&lt;/author&gt;&lt;/authors&gt;&lt;/contributors&gt;&lt;titles&gt;&lt;title&gt;ColabFold: making protein folding accessible to all&lt;/title&gt;&lt;secondary-title&gt;Nature Methods&lt;/secondary-title&gt;&lt;/titles&gt;&lt;periodical&gt;&lt;full-title&gt;Nature Methods&lt;/full-title&gt;&lt;/periodical&gt;&lt;pages&gt;679-682&lt;/pages&gt;&lt;volume&gt;19&lt;/volume&gt;&lt;number&gt;6&lt;/number&gt;&lt;dates&gt;&lt;year&gt;2022&lt;/year&gt;&lt;pub-dates&gt;&lt;date&gt;2022/06/01&lt;/date&gt;&lt;/pub-dates&gt;&lt;/dates&gt;&lt;isbn&gt;1548-7105&lt;/isbn&gt;&lt;urls&gt;&lt;related-urls&gt;&lt;url&gt;https://doi.org/10.1038/s41592-022-01488-1&lt;/url&gt;&lt;/related-urls&gt;&lt;/urls&gt;&lt;electronic-resource-num&gt;10.1038/s41592-022-01488-1&lt;/electronic-resource-num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2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. For SWISS-MODEL predictions, protein sequences were input into the web-based tool via </w:t>
      </w:r>
      <w:bookmarkStart w:id="3" w:name="OLE_LINK18"/>
      <w:proofErr w:type="spellStart"/>
      <w:r w:rsidRPr="00327986">
        <w:rPr>
          <w:rFonts w:ascii="Times New Roman" w:hAnsi="Times New Roman" w:cs="Times New Roman"/>
          <w:sz w:val="24"/>
        </w:rPr>
        <w:t>Expasy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web server</w:t>
      </w:r>
      <w:bookmarkEnd w:id="3"/>
      <w:r w:rsidRPr="00327986">
        <w:rPr>
          <w:rFonts w:ascii="Times New Roman" w:hAnsi="Times New Roman" w:cs="Times New Roman"/>
          <w:sz w:val="24"/>
        </w:rPr>
        <w:t xml:space="preserve"> </w:t>
      </w:r>
      <w:r w:rsidRPr="00327986">
        <w:rPr>
          <w:rFonts w:ascii="Times New Roman" w:hAnsi="Times New Roman" w:cs="Times New Roman"/>
          <w:sz w:val="24"/>
        </w:rPr>
        <w:fldChar w:fldCharType="begin">
          <w:fldData xml:space="preserve">PEVuZE5vdGU+PENpdGU+PEF1dGhvcj5XYXRlcmhvdXNlPC9BdXRob3I+PFllYXI+MjAxODwvWWVh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=
</w:fldData>
        </w:fldChar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</w:instrText>
      </w:r>
      <w:r w:rsidR="00F12643" w:rsidRPr="00327986">
        <w:rPr>
          <w:rFonts w:ascii="Times New Roman" w:hAnsi="Times New Roman" w:cs="Times New Roman"/>
          <w:sz w:val="24"/>
        </w:rPr>
        <w:fldChar w:fldCharType="begin">
          <w:fldData xml:space="preserve">PEVuZE5vdGU+PENpdGU+PEF1dGhvcj5XYXRlcmhvdXNlPC9BdXRob3I+PFllYXI+MjAxODwvWWVh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=
</w:fldData>
        </w:fldChar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EN.CITE.DATA </w:instrText>
      </w:r>
      <w:r w:rsidR="00F12643" w:rsidRPr="00327986">
        <w:rPr>
          <w:rFonts w:ascii="Times New Roman" w:hAnsi="Times New Roman" w:cs="Times New Roman"/>
          <w:sz w:val="24"/>
        </w:rPr>
      </w:r>
      <w:r w:rsidR="00F12643"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3-6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. The models obtained from different servers were subjected to energy minimization using the YASARA tool (http://www.yasara.org/minimizationserver.php)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&lt;EndNote&gt;&lt;Cite&gt;&lt;Author&gt;Land&lt;/Author&gt;&lt;Year&gt;2018&lt;/Year&gt;&lt;RecNum&gt;4&lt;/RecNum&gt;&lt;DisplayText&gt;&lt;style face="superscript"&gt;7&lt;/style&gt;&lt;/DisplayText&gt;&lt;record&gt;&lt;rec-number&gt;4&lt;/rec-number&gt;&lt;foreign-keys&gt;&lt;key app="EN" db-id="spfa05tr8pf25eer9xm5vevnsd5dsr052zxf" timestamp="1707212686"&gt;4&lt;/key&gt;&lt;/foreign-keys&gt;&lt;ref-type name="Journal Article"&gt;17&lt;/ref-type&gt;&lt;contributors&gt;&lt;authors&gt;&lt;author&gt;Land, Henrik&lt;/author&gt;&lt;author&gt;Humble, Maria Svedendahl&lt;/author&gt;&lt;/authors&gt;&lt;/contributors&gt;&lt;titles&gt;&lt;title&gt;YASARA: a tool to obtain structural guidance in biocatalytic investigations&lt;/title&gt;&lt;secondary-title&gt;Protein engineering: methods and protocols&lt;/secondary-title&gt;&lt;/titles&gt;&lt;periodical&gt;&lt;full-title&gt;Protein engineering: methods and protocols&lt;/full-title&gt;&lt;/periodical&gt;&lt;pages&gt;43-67&lt;/pages&gt;&lt;dates&gt;&lt;year&gt;2018&lt;/year&gt;&lt;/dates&gt;&lt;isbn&gt;1493973649&lt;/isbn&gt;&lt;urls&gt;&lt;/urls&gt;&lt;/record&gt;&lt;/Cite&gt;&lt;/EndNote&gt;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7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>.</w:t>
      </w:r>
    </w:p>
    <w:p w14:paraId="4BAB222F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7F4B485A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 xml:space="preserve">Quality assessment of </w:t>
      </w:r>
      <w:proofErr w:type="spellStart"/>
      <w:r w:rsidRPr="00327986">
        <w:rPr>
          <w:rFonts w:ascii="Times New Roman" w:hAnsi="Times New Roman" w:cs="Times New Roman"/>
          <w:b/>
          <w:bCs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b/>
          <w:bCs/>
          <w:sz w:val="24"/>
        </w:rPr>
        <w:t xml:space="preserve"> modeled structures</w:t>
      </w:r>
    </w:p>
    <w:p w14:paraId="06239863" w14:textId="1DE63DF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The energy-minimized 3-D structures predicted by servers, namely, AlphaFold2 and Swiss-Model, were assessed for the quality of the modeled structure using the </w:t>
      </w:r>
      <w:bookmarkStart w:id="4" w:name="OLE_LINK16"/>
      <w:r w:rsidRPr="00327986">
        <w:rPr>
          <w:rFonts w:ascii="Times New Roman" w:hAnsi="Times New Roman" w:cs="Times New Roman"/>
          <w:sz w:val="24"/>
        </w:rPr>
        <w:t>UCLA (USA) SAVES v6.0 tool</w:t>
      </w:r>
      <w:bookmarkEnd w:id="4"/>
      <w:r w:rsidRPr="00327986">
        <w:rPr>
          <w:rFonts w:ascii="Times New Roman" w:hAnsi="Times New Roman" w:cs="Times New Roman"/>
          <w:sz w:val="24"/>
        </w:rPr>
        <w:t xml:space="preserve">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&lt;EndNote&gt;&lt;Cite&gt;&lt;Author&gt;Kumar&lt;/Author&gt;&lt;Year&gt;2021&lt;/Year&gt;&lt;RecNum&gt;5&lt;/RecNum&gt;&lt;DisplayText&gt;&lt;style face="superscript"&gt;8&lt;/style&gt;&lt;/DisplayText&gt;&lt;record&gt;&lt;rec-number&gt;5&lt;/rec-number&gt;&lt;foreign-keys&gt;&lt;key app="EN" db-id="spfa05tr8pf25eer9xm5vevnsd5dsr052zxf" timestamp="1707215083"&gt;5&lt;/key&gt;&lt;/foreign-keys&gt;&lt;ref-type name="Journal Article"&gt;17&lt;/ref-type&gt;&lt;contributors&gt;&lt;authors&gt;&lt;author&gt;Kumar, Krishan&lt;/author&gt;&lt;author&gt;Singh, Shubha&lt;/author&gt;&lt;author&gt;Sharma, Kedar&lt;/author&gt;&lt;author&gt;Goyal, Arun&lt;/author&gt;&lt;/authors&gt;&lt;/contributors&gt;&lt;titles&gt;&lt;title&gt;Computational modeling and small-angle X-ray scattering based structure analysis and identifying ligand cleavage mechanism by processive endocellulase of family 9 glycoside hydrolase (HtGH9) from Hungateiclostridium thermocellum ATCC 27405&lt;/title&gt;&lt;secondary-title&gt;Journal of Molecular Graphics and Modelling&lt;/secondary-title&gt;&lt;/titles&gt;&lt;periodical&gt;&lt;full-title&gt;Journal of Molecular Graphics and Modelling&lt;/full-title&gt;&lt;/periodical&gt;&lt;pages&gt;107808&lt;/pages&gt;&lt;volume&gt;103&lt;/volume&gt;&lt;dates&gt;&lt;year&gt;2021&lt;/year&gt;&lt;/dates&gt;&lt;isbn&gt;1093-3263&lt;/isbn&gt;&lt;urls&gt;&lt;/urls&gt;&lt;/record&gt;&lt;/Cite&gt;&lt;/EndNote&gt;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8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. This assessment included Ramachandran plot analysis of the homology modeled structures by PROCHECK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&lt;EndNote&gt;&lt;Cite&gt;&lt;Author&gt;Laskowski&lt;/Author&gt;&lt;Year&gt;2006&lt;/Year&gt;&lt;RecNum&gt;6&lt;/RecNum&gt;&lt;DisplayText&gt;&lt;style face="superscript"&gt;9&lt;/style&gt;&lt;/DisplayText&gt;&lt;record&gt;&lt;rec-number&gt;6&lt;/rec-number&gt;&lt;foreign-keys&gt;&lt;key app="EN" db-id="spfa05tr8pf25eer9xm5vevnsd5dsr052zxf" timestamp="1707215169"&gt;6&lt;/key&gt;&lt;/foreign-keys&gt;&lt;ref-type name="Journal Article"&gt;17&lt;/ref-type&gt;&lt;contributors&gt;&lt;authors&gt;&lt;author&gt;Laskowski, RA&lt;/author&gt;&lt;author&gt;MacArthur, MW&lt;/author&gt;&lt;author&gt;Thornton, JM&lt;/author&gt;&lt;/authors&gt;&lt;/contributors&gt;&lt;titles&gt;&lt;title&gt;PROCHECK: validation of protein-structure coordinates&lt;/title&gt;&lt;/titles&gt;&lt;dates&gt;&lt;year&gt;2006&lt;/year&gt;&lt;/dates&gt;&lt;isbn&gt;0792368576&lt;/isbn&gt;&lt;urls&gt;&lt;/urls&gt;&lt;/record&gt;&lt;/Cite&gt;&lt;/EndNote&gt;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9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 and PROSA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&lt;EndNote&gt;&lt;Cite&gt;&lt;Author&gt;Wiederstein&lt;/Author&gt;&lt;Year&gt;2007&lt;/Year&gt;&lt;RecNum&gt;7&lt;/RecNum&gt;&lt;DisplayText&gt;&lt;style face="superscript"&gt;10&lt;/style&gt;&lt;/DisplayText&gt;&lt;record&gt;&lt;rec-number&gt;7&lt;/rec-number&gt;&lt;foreign-keys&gt;&lt;key app="EN" db-id="spfa05tr8pf25eer9xm5vevnsd5dsr052zxf" timestamp="1707215207"&gt;7&lt;/key&gt;&lt;/foreign-keys&gt;&lt;ref-type name="Journal Article"&gt;17&lt;/ref-type&gt;&lt;contributors&gt;&lt;authors&gt;&lt;author&gt;Wiederstein, Markus&lt;/author&gt;&lt;author&gt;Sippl, Manfred J&lt;/author&gt;&lt;/authors&gt;&lt;/contributors&gt;&lt;titles&gt;&lt;title&gt;ProSA-web: interactive web service for the recognition of errors in three-dimensional structures of proteins&lt;/title&gt;&lt;secondary-title&gt;Nucleic acids research&lt;/secondary-title&gt;&lt;/titles&gt;&lt;periodical&gt;&lt;full-title&gt;Nucleic acids research&lt;/full-title&gt;&lt;/periodical&gt;&lt;pages&gt;W407-W410&lt;/pages&gt;&lt;volume&gt;35&lt;/volume&gt;&lt;number&gt;suppl_2&lt;/number&gt;&lt;dates&gt;&lt;year&gt;2007&lt;/year&gt;&lt;/dates&gt;&lt;isbn&gt;1362-4962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10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 by Z-score analysis. The Z-score analysis by PROSA uses the knowledge of currently available X-ray crystallographic and NMR structures of proteins. The 3D-1D average score by the Verify-3D tool and the percentage of error-free residues were derived by ERRAT of UCLA SAVES v6.0. Structural figures were prepared using Chimera or </w:t>
      </w:r>
      <w:proofErr w:type="spellStart"/>
      <w:r w:rsidRPr="00327986">
        <w:rPr>
          <w:rFonts w:ascii="Times New Roman" w:hAnsi="Times New Roman" w:cs="Times New Roman"/>
          <w:sz w:val="24"/>
        </w:rPr>
        <w:t>Pymol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(</w:t>
      </w:r>
      <w:hyperlink r:id="rId6" w:history="1">
        <w:r w:rsidRPr="00327986">
          <w:rPr>
            <w:rStyle w:val="ae"/>
            <w:rFonts w:ascii="Times New Roman" w:hAnsi="Times New Roman" w:cs="Times New Roman"/>
            <w:sz w:val="24"/>
          </w:rPr>
          <w:t>https://pymol.org/2/</w:t>
        </w:r>
      </w:hyperlink>
      <w:r w:rsidRPr="00327986">
        <w:rPr>
          <w:rFonts w:ascii="Times New Roman" w:hAnsi="Times New Roman" w:cs="Times New Roman"/>
          <w:sz w:val="24"/>
        </w:rPr>
        <w:t>).</w:t>
      </w:r>
    </w:p>
    <w:p w14:paraId="1E99D2D4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0E39BFB9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Molecular Dynamics Simulation of Zst-</w:t>
      </w:r>
      <w:bookmarkStart w:id="5" w:name="OLE_LINK24"/>
      <w:r w:rsidRPr="00327986">
        <w:rPr>
          <w:rFonts w:ascii="Times New Roman" w:hAnsi="Times New Roman" w:cs="Times New Roman"/>
          <w:b/>
          <w:bCs/>
          <w:sz w:val="24"/>
        </w:rPr>
        <w:t>Heparin</w:t>
      </w:r>
      <w:bookmarkEnd w:id="5"/>
      <w:r w:rsidRPr="00327986">
        <w:rPr>
          <w:rFonts w:ascii="Times New Roman" w:hAnsi="Times New Roman" w:cs="Times New Roman"/>
          <w:b/>
          <w:bCs/>
          <w:sz w:val="24"/>
        </w:rPr>
        <w:t xml:space="preserve"> complex </w:t>
      </w:r>
    </w:p>
    <w:p w14:paraId="587CD23B" w14:textId="16DA0228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All-atom molecular dynamics simulations were performed based on the Zst-heparin complex obtained by docking as the initial structure. The simulations were performed using GROMACS 2020.6. Heparin and </w:t>
      </w:r>
      <w:proofErr w:type="spellStart"/>
      <w:r w:rsidRPr="00327986">
        <w:rPr>
          <w:rFonts w:ascii="Times New Roman" w:hAnsi="Times New Roman" w:cs="Times New Roman"/>
          <w:sz w:val="24"/>
        </w:rPr>
        <w:t>Zst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were described using the GAFF force field and the AMBER14SB protein force field respectively. Use the pdb2gmx subroutine to add hydrogen atoms to the system, add a truncated cubic TIP3P solvent box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&lt;EndNote&gt;&lt;Cite&gt;&lt;Author&gt;Mark&lt;/Author&gt;&lt;Year&gt;2001&lt;/Year&gt;&lt;RecNum&gt;16&lt;/RecNum&gt;&lt;DisplayText&gt;&lt;style face="superscript"&gt;11&lt;/style&gt;&lt;/DisplayText&gt;&lt;record&gt;&lt;rec-number&gt;16&lt;/rec-number&gt;&lt;foreign-keys&gt;&lt;key app="EN" db-id="spfa05tr8pf25eer9xm5vevnsd5dsr052zxf" timestamp="1707244136"&gt;16&lt;/key&gt;&lt;/foreign-keys&gt;&lt;ref-type name="Journal Article"&gt;17&lt;/ref-type&gt;&lt;contributors&gt;&lt;authors&gt;&lt;author&gt;Mark, Pekka&lt;/author&gt;&lt;author&gt;Nilsson, Lennart&lt;/author&gt;&lt;/authors&gt;&lt;/contributors&gt;&lt;titles&gt;&lt;title&gt;Structure and dynamics of the TIP3P, SPC, and SPC/E water models at 298 K&lt;/title&gt;&lt;secondary-title&gt;The Journal of Physical Chemistry A&lt;/secondary-title&gt;&lt;/titles&gt;&lt;periodical&gt;&lt;full-title&gt;The Journal of Physical Chemistry A&lt;/full-title&gt;&lt;/periodical&gt;&lt;pages&gt;9954-9960&lt;/pages&gt;&lt;volume&gt;105&lt;/volume&gt;&lt;number&gt;43&lt;/number&gt;&lt;dates&gt;&lt;year&gt;2001&lt;/year&gt;&lt;/dates&gt;&lt;isbn&gt;1089-5639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11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 at a </w:t>
      </w:r>
      <w:r w:rsidRPr="00327986">
        <w:rPr>
          <w:rFonts w:ascii="Times New Roman" w:hAnsi="Times New Roman" w:cs="Times New Roman"/>
          <w:sz w:val="24"/>
        </w:rPr>
        <w:lastRenderedPageBreak/>
        <w:t>distance of 10 Å to the system, and add Na+ and Cl- to the system to balance the charge of the system, and finally output it for simulation topology and parameter files.</w:t>
      </w:r>
    </w:p>
    <w:p w14:paraId="4799F9D9" w14:textId="764CE330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Molecular dynamics simulations were performed using GROMACS 2020.6 software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&lt;EndNote&gt;&lt;Cite&gt;&lt;Author&gt;Salomon‐Ferrer&lt;/Author&gt;&lt;Year&gt;2013&lt;/Year&gt;&lt;RecNum&gt;17&lt;/RecNum&gt;&lt;DisplayText&gt;&lt;style face="superscript"&gt;12&lt;/style&gt;&lt;/DisplayText&gt;&lt;record&gt;&lt;rec-number&gt;17&lt;/rec-number&gt;&lt;foreign-keys&gt;&lt;key app="EN" db-id="spfa05tr8pf25eer9xm5vevnsd5dsr052zxf" timestamp="1707244257"&gt;17&lt;/key&gt;&lt;/foreign-keys&gt;&lt;ref-type name="Journal Article"&gt;17&lt;/ref-type&gt;&lt;contributors&gt;&lt;authors&gt;&lt;author&gt;Salomon‐Ferrer, Romelia&lt;/author&gt;&lt;author&gt;Case, David A&lt;/author&gt;&lt;author&gt;Walker, Ross C&lt;/author&gt;&lt;/authors&gt;&lt;/contributors&gt;&lt;titles&gt;&lt;title&gt;An overview of the Amber biomolecular simulation package&lt;/title&gt;&lt;secondary-title&gt;Wiley Interdisciplinary Reviews: Computational Molecular Science&lt;/secondary-title&gt;&lt;/titles&gt;&lt;periodical&gt;&lt;full-title&gt;Wiley Interdisciplinary Reviews: Computational Molecular Science&lt;/full-title&gt;&lt;/periodical&gt;&lt;pages&gt;198-210&lt;/pages&gt;&lt;volume&gt;3&lt;/volume&gt;&lt;number&gt;2&lt;/number&gt;&lt;dates&gt;&lt;year&gt;2013&lt;/year&gt;&lt;/dates&gt;&lt;isbn&gt;1759-0876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12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, and the simulation time was 50 ns. Before the simulation, the energy of the system was optimized, using the </w:t>
      </w:r>
      <w:proofErr w:type="spellStart"/>
      <w:r w:rsidRPr="00327986">
        <w:rPr>
          <w:rFonts w:ascii="Times New Roman" w:hAnsi="Times New Roman" w:cs="Times New Roman"/>
          <w:sz w:val="24"/>
        </w:rPr>
        <w:t>mdrun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command and the steepest descent method for energy minimization (canonical ensemble). The starting step size was set to 0.01 nm, and the maximum allowable force value was 1000 kJ/</w:t>
      </w:r>
      <w:proofErr w:type="spellStart"/>
      <w:r w:rsidRPr="00327986">
        <w:rPr>
          <w:rFonts w:ascii="Times New Roman" w:hAnsi="Times New Roman" w:cs="Times New Roman"/>
          <w:sz w:val="24"/>
        </w:rPr>
        <w:t>mol·nm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. After the energy optimization of the system is completed, a 100 </w:t>
      </w:r>
      <w:proofErr w:type="spellStart"/>
      <w:r w:rsidRPr="00327986">
        <w:rPr>
          <w:rFonts w:ascii="Times New Roman" w:hAnsi="Times New Roman" w:cs="Times New Roman"/>
          <w:sz w:val="24"/>
        </w:rPr>
        <w:t>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</w:t>
      </w:r>
      <w:bookmarkStart w:id="6" w:name="OLE_LINK1"/>
      <w:r w:rsidRPr="00327986">
        <w:rPr>
          <w:rFonts w:ascii="Times New Roman" w:hAnsi="Times New Roman" w:cs="Times New Roman"/>
          <w:sz w:val="24"/>
        </w:rPr>
        <w:t xml:space="preserve">NVT </w:t>
      </w:r>
      <w:bookmarkEnd w:id="6"/>
      <w:r w:rsidRPr="00327986">
        <w:rPr>
          <w:rFonts w:ascii="Times New Roman" w:hAnsi="Times New Roman" w:cs="Times New Roman"/>
          <w:sz w:val="24"/>
        </w:rPr>
        <w:t xml:space="preserve">(isothermal isotherm) system simulation is performed on the system at a fixed volume and constant heating rate to slowly increase the system temperature from 0 K to 310.15 K to further homogenize the solvent molecules. is distributed in the solvent box. Subsequently, a Berendsen </w:t>
      </w:r>
      <w:proofErr w:type="spellStart"/>
      <w:r w:rsidRPr="00327986">
        <w:rPr>
          <w:rFonts w:ascii="Times New Roman" w:hAnsi="Times New Roman" w:cs="Times New Roman"/>
          <w:sz w:val="24"/>
        </w:rPr>
        <w:t>barostat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was used to perform a 100 </w:t>
      </w:r>
      <w:proofErr w:type="spellStart"/>
      <w:r w:rsidRPr="00327986">
        <w:rPr>
          <w:rFonts w:ascii="Times New Roman" w:hAnsi="Times New Roman" w:cs="Times New Roman"/>
          <w:sz w:val="24"/>
        </w:rPr>
        <w:t>ps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NPT (isobaric and equal volume) ensemble simulation to balance the pressure of the solvent and composite system, raising the system pressure to 1 bar. During the MD simulation process, all hydrogen bonds involved were constrained using the LINCS (Linear Constraint Solver) algorithm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&lt;EndNote&gt;&lt;Cite&gt;&lt;Author&gt;Hess&lt;/Author&gt;&lt;Year&gt;1997&lt;/Year&gt;&lt;RecNum&gt;23&lt;/RecNum&gt;&lt;DisplayText&gt;&lt;style face="superscript"&gt;13&lt;/style&gt;&lt;/DisplayText&gt;&lt;record&gt;&lt;rec-number&gt;23&lt;/rec-number&gt;&lt;foreign-keys&gt;&lt;key app="EN" db-id="spfa05tr8pf25eer9xm5vevnsd5dsr052zxf" timestamp="1707247442"&gt;23&lt;/key&gt;&lt;/foreign-keys&gt;&lt;ref-type name="Journal Article"&gt;17&lt;/ref-type&gt;&lt;contributors&gt;&lt;authors&gt;&lt;author&gt;Hess, Berk&lt;/author&gt;&lt;author&gt;Bekker, Henk&lt;/author&gt;&lt;author&gt;Berendsen, Herman JC&lt;/author&gt;&lt;author&gt;Fraaije, Johannes GEM&lt;/author&gt;&lt;/authors&gt;&lt;/contributors&gt;&lt;titles&gt;&lt;title&gt;LINCS: A linear constraint solver for molecular simulations&lt;/title&gt;&lt;secondary-title&gt;Journal of computational chemistry&lt;/secondary-title&gt;&lt;/titles&gt;&lt;periodical&gt;&lt;full-title&gt;Journal of Computational Chemistry&lt;/full-title&gt;&lt;/periodical&gt;&lt;pages&gt;1463-1472&lt;/pages&gt;&lt;volume&gt;18&lt;/volume&gt;&lt;number&gt;12&lt;/number&gt;&lt;dates&gt;&lt;year&gt;1997&lt;/year&gt;&lt;/dates&gt;&lt;isbn&gt;0192-8651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13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, and the integration step was 2 fs. Electrostatic interactions were calculated using the PME (Particle-mesh Ewald) method, with the cutoff value set to 1.2 nm. The nonbonded interaction cutoff is set to 10 Å and updated every 10 steps. The simulated trajectories are periodically eliminated. Subsequently, the quality of the receptor-ligand complex was analyzed by root-mean-square deviation (RMSD) and root-mean-square fluctuation (RMSF) plots. The number of hydrogen bonds formed during the simulation was calculated using </w:t>
      </w:r>
      <w:proofErr w:type="spellStart"/>
      <w:r w:rsidRPr="00327986">
        <w:rPr>
          <w:rFonts w:ascii="Times New Roman" w:hAnsi="Times New Roman" w:cs="Times New Roman"/>
          <w:sz w:val="24"/>
        </w:rPr>
        <w:t>g_hbond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utility of GROMACS.</w:t>
      </w:r>
    </w:p>
    <w:p w14:paraId="7912E08E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643DA8E9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MM-PBSA Binding Free Energy Calculation</w:t>
      </w:r>
    </w:p>
    <w:p w14:paraId="2C85E01E" w14:textId="0BC2855F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MM-PBSA approach is one of the most widely used binding free energy calculation methods combined with MD simulation. It has been successfully applied to various protein-ligand or protein-protein / peptide complexes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&lt;EndNote&gt;&lt;Cite&gt;&lt;Author&gt;Genheden&lt;/Author&gt;&lt;Year&gt;2015&lt;/Year&gt;&lt;RecNum&gt;18&lt;/RecNum&gt;&lt;DisplayText&gt;&lt;style face="superscript"&gt;14, 15&lt;/style&gt;&lt;/DisplayText&gt;&lt;record&gt;&lt;rec-number&gt;18&lt;/rec-number&gt;&lt;foreign-keys&gt;&lt;key app="EN" db-id="spfa05tr8pf25eer9xm5vevnsd5dsr052zxf" timestamp="1707245978"&gt;18&lt;/key&gt;&lt;/foreign-keys&gt;&lt;ref-type name="Journal Article"&gt;17&lt;/ref-type&gt;&lt;contributors&gt;&lt;authors&gt;&lt;author&gt;Genheden, Samuel&lt;/author&gt;&lt;author&gt;Ryde, Ulf&lt;/author&gt;&lt;/authors&gt;&lt;/contributors&gt;&lt;titles&gt;&lt;title&gt;The MM/PBSA and MM/GBSA methods to estimate ligand-binding affinities&lt;/title&gt;&lt;secondary-title&gt;Expert opinion on drug discovery&lt;/secondary-title&gt;&lt;/titles&gt;&lt;periodical&gt;&lt;full-title&gt;Expert opinion on drug discovery&lt;/full-title&gt;&lt;/periodical&gt;&lt;pages&gt;449-461&lt;/pages&gt;&lt;volume&gt;10&lt;/volume&gt;&lt;number&gt;5&lt;/number&gt;&lt;dates&gt;&lt;year&gt;2015&lt;/year&gt;&lt;/dates&gt;&lt;isbn&gt;1746-045X&lt;/isbn&gt;&lt;urls&gt;&lt;/urls&gt;&lt;/record&gt;&lt;/Cite&gt;&lt;Cite&gt;&lt;Author&gt;Wang&lt;/Author&gt;&lt;Year&gt;2019&lt;/Year&gt;&lt;RecNum&gt;19&lt;/RecNum&gt;&lt;record&gt;&lt;rec-number&gt;19&lt;/rec-number&gt;&lt;foreign-keys&gt;&lt;key app="EN" db-id="spfa05tr8pf25eer9xm5vevnsd5dsr052zxf" timestamp="1707246065"&gt;19&lt;/key&gt;&lt;/foreign-keys&gt;&lt;ref-type name="Journal Article"&gt;17&lt;/ref-type&gt;&lt;contributors&gt;&lt;authors&gt;&lt;author&gt;Wang, Ercheng&lt;/author&gt;&lt;author&gt;Sun, Huiyong&lt;/author&gt;&lt;author&gt;Wang, Junmei&lt;/author&gt;&lt;author&gt;Wang, Zhe&lt;/author&gt;&lt;author&gt;Liu, Hui&lt;/author&gt;&lt;author&gt;Zhang, John ZH&lt;/author&gt;&lt;author&gt;Hou, Tingjun&lt;/author&gt;&lt;/authors&gt;&lt;/contributors&gt;&lt;titles&gt;&lt;title&gt;End-point binding free energy calculation with MM/PBSA and MM/GBSA: strategies and applications in drug design&lt;/title&gt;&lt;secondary-title&gt;Chemical reviews&lt;/secondary-title&gt;&lt;/titles&gt;&lt;periodical&gt;&lt;full-title&gt;Chemical reviews&lt;/full-title&gt;&lt;/periodical&gt;&lt;pages&gt;9478-9508&lt;/pages&gt;&lt;volume&gt;119&lt;/volume&gt;&lt;number&gt;16&lt;/number&gt;&lt;dates&gt;&lt;year&gt;2019&lt;/year&gt;&lt;/dates&gt;&lt;isbn&gt;0009-2665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14, 15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>. This method also helps to understand biomolecular associations in detail by decomposing the total binding energy into a series of components. This module estimates Gibb’s free energy of binding using the MM-PBSA method as described by the equations below:</w:t>
      </w:r>
    </w:p>
    <w:p w14:paraId="26F3A0D6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65"/>
        <w:gridCol w:w="2631"/>
      </w:tblGrid>
      <w:tr w:rsidR="00A95D24" w:rsidRPr="00327986" w14:paraId="04F28E9D" w14:textId="77777777" w:rsidTr="00400746">
        <w:tc>
          <w:tcPr>
            <w:tcW w:w="5665" w:type="dxa"/>
          </w:tcPr>
          <w:bookmarkStart w:id="7" w:name="OLE_LINK81"/>
          <w:bookmarkStart w:id="8" w:name="OLE_LINK82"/>
          <w:p w14:paraId="6B6E0596" w14:textId="6A16AB38" w:rsidR="00A95D24" w:rsidRPr="00327986" w:rsidRDefault="00000000" w:rsidP="0032798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bind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complex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 xml:space="preserve"> - (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receptor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 xml:space="preserve">+ 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ligand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)</m:t>
                </m:r>
              </m:oMath>
            </m:oMathPara>
          </w:p>
        </w:tc>
        <w:tc>
          <w:tcPr>
            <w:tcW w:w="2631" w:type="dxa"/>
          </w:tcPr>
          <w:p w14:paraId="76D92F25" w14:textId="77777777" w:rsidR="00A95D24" w:rsidRPr="00327986" w:rsidRDefault="00A95D24" w:rsidP="0032798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327986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</w:tr>
      <w:tr w:rsidR="00A95D24" w:rsidRPr="00327986" w14:paraId="25559B53" w14:textId="77777777" w:rsidTr="00400746">
        <w:tc>
          <w:tcPr>
            <w:tcW w:w="5665" w:type="dxa"/>
          </w:tcPr>
          <w:p w14:paraId="6855CD5D" w14:textId="2E3F77E8" w:rsidR="00A95D24" w:rsidRPr="00327986" w:rsidRDefault="00F12643" w:rsidP="0032798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m:oMathPara>
              <m:oMathParaPr>
                <m:jc m:val="left"/>
              </m:oMathParaPr>
              <m:oMath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 xml:space="preserve">              =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internal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VDW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ΔE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elec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+ΔG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GB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sz w:val="24"/>
                  </w:rPr>
                  <m:t>+</m:t>
                </m:r>
                <m:sSub>
                  <m:sSubPr>
                    <m:ctrlPr>
                      <w:rPr>
                        <w:rFonts w:ascii="Cambria Math" w:hAnsi="Cambria Math" w:cs="Times New Roman"/>
                        <w:sz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ΔG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sz w:val="24"/>
                      </w:rPr>
                      <m:t>SA</m:t>
                    </m:r>
                  </m:sub>
                </m:sSub>
              </m:oMath>
            </m:oMathPara>
          </w:p>
        </w:tc>
        <w:tc>
          <w:tcPr>
            <w:tcW w:w="2631" w:type="dxa"/>
          </w:tcPr>
          <w:p w14:paraId="3EB448B2" w14:textId="77777777" w:rsidR="00A95D24" w:rsidRPr="00327986" w:rsidRDefault="00A95D24" w:rsidP="00327986">
            <w:pPr>
              <w:spacing w:line="480" w:lineRule="auto"/>
              <w:rPr>
                <w:rFonts w:ascii="Times New Roman" w:hAnsi="Times New Roman" w:cs="Times New Roman"/>
                <w:sz w:val="24"/>
              </w:rPr>
            </w:pPr>
            <w:r w:rsidRPr="00327986">
              <w:rPr>
                <w:rFonts w:ascii="Times New Roman" w:hAnsi="Times New Roman" w:cs="Times New Roman"/>
                <w:sz w:val="24"/>
              </w:rPr>
              <w:t>(1)</w:t>
            </w:r>
          </w:p>
        </w:tc>
      </w:tr>
      <w:bookmarkEnd w:id="7"/>
      <w:bookmarkEnd w:id="8"/>
    </w:tbl>
    <w:p w14:paraId="60347DA4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58C4E926" w14:textId="03829529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Where In formula (1),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 xml:space="preserve">internal </m:t>
            </m:r>
          </m:sub>
        </m:sSub>
      </m:oMath>
      <w:r w:rsidRPr="00327986">
        <w:rPr>
          <w:rFonts w:ascii="Times New Roman" w:hAnsi="Times New Roman" w:cs="Times New Roman"/>
          <w:sz w:val="24"/>
        </w:rPr>
        <w:t xml:space="preserve">represents internal energy,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VDW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</m:t>
        </m:r>
      </m:oMath>
      <w:r w:rsidRPr="00327986">
        <w:rPr>
          <w:rFonts w:ascii="Times New Roman" w:hAnsi="Times New Roman" w:cs="Times New Roman"/>
          <w:sz w:val="24"/>
        </w:rPr>
        <w:t xml:space="preserve">represents van der Waals interaction, and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ΔE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elec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 </m:t>
        </m:r>
      </m:oMath>
      <w:r w:rsidRPr="00327986">
        <w:rPr>
          <w:rFonts w:ascii="Times New Roman" w:hAnsi="Times New Roman" w:cs="Times New Roman"/>
          <w:sz w:val="24"/>
        </w:rPr>
        <w:t xml:space="preserve">represents electrostatic interaction. The internal energy includes bond energy (Ebond), angular energy (Eangle), and torsion energy (Etorsion); </w:t>
      </w:r>
      <w:bookmarkStart w:id="9" w:name="OLE_LINK10"/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GB</m:t>
            </m:r>
          </m:sub>
        </m:sSub>
      </m:oMath>
      <w:r w:rsidRPr="00327986">
        <w:rPr>
          <w:rFonts w:ascii="Times New Roman" w:hAnsi="Times New Roman" w:cs="Times New Roman"/>
          <w:sz w:val="24"/>
        </w:rPr>
        <w:t xml:space="preserve"> </w:t>
      </w:r>
      <w:bookmarkEnd w:id="9"/>
      <w:r w:rsidRPr="00327986">
        <w:rPr>
          <w:rFonts w:ascii="Times New Roman" w:hAnsi="Times New Roman" w:cs="Times New Roman"/>
          <w:sz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GA</m:t>
            </m:r>
          </m:sub>
        </m:sSub>
      </m:oMath>
      <w:r w:rsidRPr="00327986">
        <w:rPr>
          <w:rFonts w:ascii="Times New Roman" w:hAnsi="Times New Roman" w:cs="Times New Roman"/>
          <w:sz w:val="24"/>
        </w:rPr>
        <w:t xml:space="preserve"> are collectively referred to as solvation free energy. Among them, GGB is the polar solvation free energy and GSA is the non-polar solvation free energy. For 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GB</m:t>
            </m:r>
          </m:sub>
        </m:sSub>
      </m:oMath>
      <w:r w:rsidRPr="00327986">
        <w:rPr>
          <w:rFonts w:ascii="Times New Roman" w:hAnsi="Times New Roman" w:cs="Times New Roman"/>
          <w:sz w:val="24"/>
        </w:rPr>
        <w:t xml:space="preserve">, this paper uses the GB model developed by Nguyen et al.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&lt;EndNote&gt;&lt;Cite&gt;&lt;Author&gt;Nguyen&lt;/Author&gt;&lt;Year&gt;2013&lt;/Year&gt;&lt;RecNum&gt;20&lt;/RecNum&gt;&lt;DisplayText&gt;&lt;style face="superscript"&gt;16&lt;/style&gt;&lt;/DisplayText&gt;&lt;record&gt;&lt;rec-number&gt;20&lt;/rec-number&gt;&lt;foreign-keys&gt;&lt;key app="EN" db-id="spfa05tr8pf25eer9xm5vevnsd5dsr052zxf" timestamp="1707246529"&gt;20&lt;/key&gt;&lt;/foreign-keys&gt;&lt;ref-type name="Journal Article"&gt;17&lt;/ref-type&gt;&lt;contributors&gt;&lt;authors&gt;&lt;author&gt;Nguyen, Hai&lt;/author&gt;&lt;author&gt;Roe, Daniel R&lt;/author&gt;&lt;author&gt;Simmerling, Carlos&lt;/author&gt;&lt;/authors&gt;&lt;/contributors&gt;&lt;titles&gt;&lt;title&gt;Improved generalized born solvent model parameters for protein simulations&lt;/title&gt;&lt;secondary-title&gt;Journal of chemical theory and computation&lt;/secondary-title&gt;&lt;/titles&gt;&lt;periodical&gt;&lt;full-title&gt;Journal of chemical theory and computation&lt;/full-title&gt;&lt;/periodical&gt;&lt;pages&gt;2020-2034&lt;/pages&gt;&lt;volume&gt;9&lt;/volume&gt;&lt;number&gt;4&lt;/number&gt;&lt;dates&gt;&lt;year&gt;2013&lt;/year&gt;&lt;/dates&gt;&lt;isbn&gt;1549-9618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16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 xml:space="preserve"> for calculation (</w:t>
      </w:r>
      <w:proofErr w:type="spellStart"/>
      <w:r w:rsidRPr="00327986">
        <w:rPr>
          <w:rFonts w:ascii="Times New Roman" w:hAnsi="Times New Roman" w:cs="Times New Roman"/>
          <w:sz w:val="24"/>
        </w:rPr>
        <w:t>igb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 = 2). The nonpolar solvation free energy (</w:t>
      </w: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SA</m:t>
            </m:r>
          </m:sub>
        </m:sSub>
      </m:oMath>
      <w:r w:rsidRPr="00327986">
        <w:rPr>
          <w:rFonts w:ascii="Times New Roman" w:hAnsi="Times New Roman" w:cs="Times New Roman"/>
          <w:sz w:val="24"/>
        </w:rPr>
        <w:t xml:space="preserve">) is calculated based on the product of surface tension (γ) and solvent accessible surface area (SA)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&lt;EndNote&gt;&lt;Cite&gt;&lt;Author&gt;Weiser&lt;/Author&gt;&lt;Year&gt;1999&lt;/Year&gt;&lt;RecNum&gt;21&lt;/RecNum&gt;&lt;DisplayText&gt;&lt;style face="superscript"&gt;17&lt;/style&gt;&lt;/DisplayText&gt;&lt;record&gt;&lt;rec-number&gt;21&lt;/rec-number&gt;&lt;foreign-keys&gt;&lt;key app="EN" db-id="spfa05tr8pf25eer9xm5vevnsd5dsr052zxf" timestamp="1707246913"&gt;21&lt;/key&gt;&lt;/foreign-keys&gt;&lt;ref-type name="Journal Article"&gt;17&lt;/ref-type&gt;&lt;contributors&gt;&lt;authors&gt;&lt;author&gt;Weiser, Jörg&lt;/author&gt;&lt;author&gt;Shenkin, Peter S&lt;/author&gt;&lt;author&gt;Still, W Clark&lt;/author&gt;&lt;/authors&gt;&lt;/contributors&gt;&lt;titles&gt;&lt;title&gt;Approximate atomic surfaces from linear combinations of pairwise overlaps (LCPO)&lt;/title&gt;&lt;secondary-title&gt;Journal of Computational Chemistry&lt;/secondary-title&gt;&lt;/titles&gt;&lt;periodical&gt;&lt;full-title&gt;Journal of Computational Chemistry&lt;/full-title&gt;&lt;/periodical&gt;&lt;pages&gt;217-230&lt;/pages&gt;&lt;volume&gt;20&lt;/volume&gt;&lt;number&gt;2&lt;/number&gt;&lt;dates&gt;&lt;year&gt;1999&lt;/year&gt;&lt;/dates&gt;&lt;isbn&gt;0192-8651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17</w:t>
      </w:r>
      <w:r w:rsidRPr="00327986">
        <w:rPr>
          <w:rFonts w:ascii="Times New Roman" w:hAnsi="Times New Roman" w:cs="Times New Roman"/>
          <w:sz w:val="24"/>
        </w:rPr>
        <w:fldChar w:fldCharType="end"/>
      </w:r>
    </w:p>
    <w:p w14:paraId="15313837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1C464E8E" w14:textId="73D97F8B" w:rsidR="00A95D24" w:rsidRPr="00327986" w:rsidRDefault="00000000" w:rsidP="00327986">
      <w:pPr>
        <w:spacing w:line="480" w:lineRule="auto"/>
        <w:rPr>
          <w:rFonts w:ascii="Times New Roman" w:hAnsi="Times New Roman" w:cs="Times New Roman"/>
          <w:sz w:val="24"/>
        </w:rPr>
      </w:pPr>
      <m:oMath>
        <m:sSub>
          <m:sSubPr>
            <m:ctrlPr>
              <w:rPr>
                <w:rFonts w:ascii="Cambria Math" w:hAnsi="Cambria Math" w:cs="Times New Roman"/>
                <w:sz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ΔG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</w:rPr>
              <m:t>SA</m:t>
            </m:r>
          </m:sub>
        </m:sSub>
        <m:r>
          <m:rPr>
            <m:sty m:val="p"/>
          </m:rPr>
          <w:rPr>
            <w:rFonts w:ascii="Cambria Math" w:hAnsi="Cambria Math" w:cs="Times New Roman"/>
            <w:sz w:val="24"/>
          </w:rPr>
          <m:t xml:space="preserve">=0.0072×∆SASA. </m:t>
        </m:r>
      </m:oMath>
      <w:r w:rsidR="00A95D24" w:rsidRPr="00327986">
        <w:rPr>
          <w:rFonts w:ascii="Times New Roman" w:hAnsi="Times New Roman" w:cs="Times New Roman"/>
          <w:sz w:val="24"/>
        </w:rPr>
        <w:t xml:space="preserve">           (2)</w:t>
      </w:r>
    </w:p>
    <w:p w14:paraId="50405662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4F3EBB4D" w14:textId="025473D3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t xml:space="preserve">Entropy change is ignored in this study due to high computational resource consumption and low accuracy </w:t>
      </w:r>
      <w:r w:rsidRPr="00327986">
        <w:rPr>
          <w:rFonts w:ascii="Times New Roman" w:hAnsi="Times New Roman" w:cs="Times New Roman"/>
          <w:sz w:val="24"/>
        </w:rPr>
        <w:fldChar w:fldCharType="begin"/>
      </w:r>
      <w:r w:rsidR="00F12643" w:rsidRPr="00327986">
        <w:rPr>
          <w:rFonts w:ascii="Times New Roman" w:hAnsi="Times New Roman" w:cs="Times New Roman"/>
          <w:sz w:val="24"/>
        </w:rPr>
        <w:instrText xml:space="preserve"> ADDIN EN.CITE &lt;EndNote&gt;&lt;Cite&gt;&lt;Author&gt;Hou&lt;/Author&gt;&lt;Year&gt;2011&lt;/Year&gt;&lt;RecNum&gt;22&lt;/RecNum&gt;&lt;DisplayText&gt;&lt;style face="superscript"&gt;18&lt;/style&gt;&lt;/DisplayText&gt;&lt;record&gt;&lt;rec-number&gt;22&lt;/rec-number&gt;&lt;foreign-keys&gt;&lt;key app="EN" db-id="spfa05tr8pf25eer9xm5vevnsd5dsr052zxf" timestamp="1707246991"&gt;22&lt;/key&gt;&lt;/foreign-keys&gt;&lt;ref-type name="Journal Article"&gt;17&lt;/ref-type&gt;&lt;contributors&gt;&lt;authors&gt;&lt;author&gt;Hou, Tingjun&lt;/author&gt;&lt;author&gt;Wang, Junmei&lt;/author&gt;&lt;author&gt;Li, Youyong&lt;/author&gt;&lt;author&gt;Wang, Wei&lt;/author&gt;&lt;/authors&gt;&lt;/contributors&gt;&lt;titles&gt;&lt;title&gt;Assessing the performance of the MM/PBSA and MM/GBSA methods. 1. The accuracy of binding free energy calculations based on molecular dynamics simulations&lt;/title&gt;&lt;secondary-title&gt;Journal of chemical information and modeling&lt;/secondary-title&gt;&lt;/titles&gt;&lt;periodical&gt;&lt;full-title&gt;Journal of chemical information and modeling&lt;/full-title&gt;&lt;/periodical&gt;&lt;pages&gt;69-82&lt;/pages&gt;&lt;volume&gt;51&lt;/volume&gt;&lt;number&gt;1&lt;/number&gt;&lt;dates&gt;&lt;year&gt;2011&lt;/year&gt;&lt;/dates&gt;&lt;isbn&gt;1549-9596&lt;/isbn&gt;&lt;urls&gt;&lt;/urls&gt;&lt;/record&gt;&lt;/Cite&gt;&lt;/EndNote&gt;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="00F12643" w:rsidRPr="00327986">
        <w:rPr>
          <w:rFonts w:ascii="Times New Roman" w:hAnsi="Times New Roman" w:cs="Times New Roman"/>
          <w:noProof/>
          <w:sz w:val="24"/>
          <w:vertAlign w:val="superscript"/>
        </w:rPr>
        <w:t>18</w:t>
      </w:r>
      <w:r w:rsidRPr="00327986">
        <w:rPr>
          <w:rFonts w:ascii="Times New Roman" w:hAnsi="Times New Roman" w:cs="Times New Roman"/>
          <w:sz w:val="24"/>
        </w:rPr>
        <w:fldChar w:fldCharType="end"/>
      </w:r>
      <w:r w:rsidRPr="00327986">
        <w:rPr>
          <w:rFonts w:ascii="Times New Roman" w:hAnsi="Times New Roman" w:cs="Times New Roman"/>
          <w:sz w:val="24"/>
        </w:rPr>
        <w:t>.</w:t>
      </w:r>
    </w:p>
    <w:p w14:paraId="34A460AD" w14:textId="77777777" w:rsidR="00A95D24" w:rsidRPr="00327986" w:rsidRDefault="00A95D24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106045E2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4D51A27D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004B1A4D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1F79DC93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7150CE19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3AC4D4AB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505DEA76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0141C6B3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1C29AAED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5C8A25B9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421DB2BC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338C80E8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21286FA4" w14:textId="77777777" w:rsidR="00096ACB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18B4BFAD" w14:textId="77762AA5" w:rsidR="004F7E42" w:rsidRPr="00327986" w:rsidRDefault="00E15118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Figures</w:t>
      </w:r>
    </w:p>
    <w:p w14:paraId="0AA0EA77" w14:textId="23DCC413" w:rsidR="00E15118" w:rsidRPr="00327986" w:rsidRDefault="00096ACB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675AC15A" wp14:editId="7C14C4C6">
            <wp:extent cx="2364532" cy="2282093"/>
            <wp:effectExtent l="0" t="0" r="0" b="4445"/>
            <wp:docPr id="16300934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093489" name="图片 1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250" b="721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9195" cy="23155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FFACA6" w14:textId="6CB7445C" w:rsidR="004F7E42" w:rsidRPr="00327986" w:rsidRDefault="00F12643" w:rsidP="00327986">
      <w:pPr>
        <w:spacing w:line="480" w:lineRule="auto"/>
        <w:rPr>
          <w:rFonts w:ascii="Times New Roman" w:hAnsi="Times New Roman" w:cs="Times New Roman"/>
          <w:sz w:val="24"/>
        </w:rPr>
      </w:pPr>
      <w:bookmarkStart w:id="10" w:name="OLE_LINK17"/>
      <w:r w:rsidRPr="00327986">
        <w:rPr>
          <w:rFonts w:ascii="Times New Roman" w:hAnsi="Times New Roman" w:cs="Times New Roman"/>
          <w:sz w:val="24"/>
        </w:rPr>
        <w:t>Figure S</w:t>
      </w:r>
      <w:r w:rsidR="00D01E6E" w:rsidRPr="00327986">
        <w:rPr>
          <w:rFonts w:ascii="Times New Roman" w:hAnsi="Times New Roman" w:cs="Times New Roman"/>
          <w:sz w:val="24"/>
        </w:rPr>
        <w:t>1</w:t>
      </w:r>
      <w:r w:rsidRPr="00327986">
        <w:rPr>
          <w:rFonts w:ascii="Times New Roman" w:hAnsi="Times New Roman" w:cs="Times New Roman"/>
          <w:sz w:val="24"/>
        </w:rPr>
        <w:t>. Inhibitory effect of heparin on the ZE-LAMP reaction at varying concentrations. Heparin concentrations: G1: 2.5 × 10⁻² g/mL, G2 and G3: 2.5 × 10⁻³ g/mL, G4: 2.5 × 10⁻⁴ g/mL, G5: no template control (NTC). DNA template concentration was 10⁵ copies/</w:t>
      </w:r>
      <w:proofErr w:type="spellStart"/>
      <w:r w:rsidRPr="00327986">
        <w:rPr>
          <w:rFonts w:ascii="Times New Roman" w:hAnsi="Times New Roman" w:cs="Times New Roman"/>
          <w:sz w:val="24"/>
        </w:rPr>
        <w:t>mL.</w:t>
      </w:r>
      <w:bookmarkEnd w:id="10"/>
      <w:proofErr w:type="spellEnd"/>
    </w:p>
    <w:p w14:paraId="4E5B491B" w14:textId="6A8883A1" w:rsidR="004F7E42" w:rsidRPr="00327986" w:rsidRDefault="00474F6F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54372E84" wp14:editId="2DB4FD4B">
            <wp:extent cx="3212929" cy="2286000"/>
            <wp:effectExtent l="0" t="0" r="635" b="0"/>
            <wp:docPr id="21005734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0573427" name="图片 2100573427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5951" b="77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7176" cy="233882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876490" w14:textId="1563CA27" w:rsidR="00474F6F" w:rsidRPr="00327986" w:rsidRDefault="00474F6F" w:rsidP="00327986">
      <w:pPr>
        <w:spacing w:line="480" w:lineRule="auto"/>
        <w:rPr>
          <w:rFonts w:ascii="Times New Roman" w:hAnsi="Times New Roman" w:cs="Times New Roman"/>
          <w:b/>
          <w:bCs/>
          <w:color w:val="EE0000"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Figure S</w:t>
      </w:r>
      <w:r w:rsidR="00D01E6E" w:rsidRPr="00327986">
        <w:rPr>
          <w:rFonts w:ascii="Times New Roman" w:hAnsi="Times New Roman" w:cs="Times New Roman"/>
          <w:b/>
          <w:bCs/>
          <w:sz w:val="24"/>
        </w:rPr>
        <w:t>2</w:t>
      </w:r>
      <w:r w:rsidRPr="00327986">
        <w:rPr>
          <w:rFonts w:ascii="Times New Roman" w:hAnsi="Times New Roman" w:cs="Times New Roman"/>
          <w:b/>
          <w:bCs/>
          <w:sz w:val="24"/>
        </w:rPr>
        <w:t xml:space="preserve"> Analysis of detection specificity performance.</w:t>
      </w:r>
      <w:r w:rsidR="00267758" w:rsidRPr="00327986">
        <w:rPr>
          <w:rFonts w:ascii="Times New Roman" w:hAnsi="Times New Roman" w:cs="Times New Roman"/>
          <w:b/>
          <w:bCs/>
          <w:sz w:val="24"/>
        </w:rPr>
        <w:t xml:space="preserve"> </w:t>
      </w:r>
    </w:p>
    <w:p w14:paraId="2AB107DA" w14:textId="2893C814" w:rsidR="00474F6F" w:rsidRPr="00327986" w:rsidRDefault="00474F6F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 wp14:anchorId="486F6D19" wp14:editId="3D922ABE">
            <wp:extent cx="3014617" cy="2082018"/>
            <wp:effectExtent l="0" t="0" r="0" b="1270"/>
            <wp:docPr id="15963594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6359473" name="图片 1596359473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24" b="584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238" cy="21245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8199193" w14:textId="4F006228" w:rsidR="00474F6F" w:rsidRPr="00327986" w:rsidRDefault="00474F6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Figure S</w:t>
      </w:r>
      <w:r w:rsidR="0047233C" w:rsidRPr="00327986">
        <w:rPr>
          <w:rFonts w:ascii="Times New Roman" w:hAnsi="Times New Roman" w:cs="Times New Roman"/>
          <w:b/>
          <w:bCs/>
          <w:sz w:val="24"/>
        </w:rPr>
        <w:t>3</w:t>
      </w:r>
      <w:r w:rsidRPr="00327986">
        <w:rPr>
          <w:rFonts w:ascii="Times New Roman" w:hAnsi="Times New Roman" w:cs="Times New Roman"/>
          <w:b/>
          <w:bCs/>
          <w:sz w:val="24"/>
        </w:rPr>
        <w:t xml:space="preserve"> Analysis of anti-interference performance. </w:t>
      </w:r>
    </w:p>
    <w:p w14:paraId="2F7E74B6" w14:textId="77777777" w:rsidR="00C5241F" w:rsidRPr="00327986" w:rsidRDefault="00C5241F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366CABBD" w14:textId="0205528C" w:rsidR="00E15118" w:rsidRPr="00327986" w:rsidRDefault="00E15118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noProof/>
          <w:kern w:val="0"/>
          <w:sz w:val="24"/>
        </w:rPr>
        <w:drawing>
          <wp:inline distT="0" distB="0" distL="0" distR="0" wp14:anchorId="213C7304" wp14:editId="35F5C54C">
            <wp:extent cx="5343224" cy="3745006"/>
            <wp:effectExtent l="0" t="0" r="3810" b="190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9007" cy="37560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94B14" w14:textId="64B3CD7C" w:rsidR="00E15118" w:rsidRPr="00327986" w:rsidRDefault="00E15118" w:rsidP="00327986">
      <w:pPr>
        <w:spacing w:line="480" w:lineRule="auto"/>
        <w:rPr>
          <w:rFonts w:ascii="Times New Roman" w:hAnsi="Times New Roman" w:cs="Times New Roman"/>
          <w:color w:val="000000" w:themeColor="text1"/>
          <w:sz w:val="24"/>
        </w:rPr>
      </w:pPr>
      <w:r w:rsidRPr="00327986">
        <w:rPr>
          <w:rFonts w:ascii="Times New Roman" w:hAnsi="Times New Roman" w:cs="Times New Roman"/>
          <w:b/>
          <w:bCs/>
          <w:color w:val="000000" w:themeColor="text1"/>
          <w:sz w:val="24"/>
        </w:rPr>
        <w:t>Figure S</w:t>
      </w:r>
      <w:r w:rsidR="0047233C" w:rsidRPr="00327986">
        <w:rPr>
          <w:rFonts w:ascii="Times New Roman" w:hAnsi="Times New Roman" w:cs="Times New Roman"/>
          <w:b/>
          <w:bCs/>
          <w:color w:val="000000" w:themeColor="text1"/>
          <w:sz w:val="24"/>
        </w:rPr>
        <w:t>4</w:t>
      </w:r>
      <w:r w:rsidRPr="00327986">
        <w:rPr>
          <w:rFonts w:ascii="Times New Roman" w:hAnsi="Times New Roman" w:cs="Times New Roman"/>
          <w:color w:val="000000" w:themeColor="text1"/>
          <w:sz w:val="24"/>
        </w:rPr>
        <w:t xml:space="preserve"> Optimization of DNA substrate concentration in this heparin detection assay.</w:t>
      </w:r>
      <w:r w:rsidR="00636017" w:rsidRPr="00327986">
        <w:rPr>
          <w:rFonts w:ascii="Times New Roman" w:hAnsi="Times New Roman" w:cs="Times New Roman"/>
          <w:color w:val="000000" w:themeColor="text1"/>
          <w:sz w:val="24"/>
        </w:rPr>
        <w:t xml:space="preserve"> </w:t>
      </w:r>
    </w:p>
    <w:p w14:paraId="1A52176C" w14:textId="77777777" w:rsidR="00E15118" w:rsidRPr="00327986" w:rsidRDefault="00E15118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709C2385" w14:textId="77777777" w:rsidR="00C5241F" w:rsidRPr="00327986" w:rsidRDefault="00C5241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5080604" w14:textId="77777777" w:rsidR="00C5241F" w:rsidRPr="00327986" w:rsidRDefault="00C5241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5D360A76" w14:textId="77777777" w:rsidR="00C5241F" w:rsidRPr="00327986" w:rsidRDefault="00C5241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</w:p>
    <w:p w14:paraId="2FA67E00" w14:textId="22FCF454" w:rsidR="00E15118" w:rsidRPr="00327986" w:rsidRDefault="00C5241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lastRenderedPageBreak/>
        <w:t>Tables</w:t>
      </w:r>
    </w:p>
    <w:p w14:paraId="31A58179" w14:textId="23FA7F56" w:rsidR="00C5241F" w:rsidRPr="00327986" w:rsidRDefault="00C5241F" w:rsidP="00327986">
      <w:pPr>
        <w:spacing w:line="480" w:lineRule="auto"/>
        <w:rPr>
          <w:rFonts w:ascii="Times New Roman" w:hAnsi="Times New Roman" w:cs="Times New Roman"/>
          <w:b/>
          <w:bCs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 xml:space="preserve">Table S1 </w:t>
      </w:r>
      <w:r w:rsidR="002D3B17" w:rsidRPr="00327986">
        <w:rPr>
          <w:rFonts w:ascii="Times New Roman" w:hAnsi="Times New Roman" w:cs="Times New Roman"/>
          <w:b/>
          <w:bCs/>
          <w:sz w:val="24"/>
        </w:rPr>
        <w:t>Gibbs Free Energy analysis of ZST-Heparin complex</w:t>
      </w:r>
    </w:p>
    <w:tbl>
      <w:tblPr>
        <w:tblStyle w:val="11"/>
        <w:tblW w:w="8789" w:type="dxa"/>
        <w:tblLook w:val="04A0" w:firstRow="1" w:lastRow="0" w:firstColumn="1" w:lastColumn="0" w:noHBand="0" w:noVBand="1"/>
      </w:tblPr>
      <w:tblGrid>
        <w:gridCol w:w="2694"/>
        <w:gridCol w:w="6095"/>
      </w:tblGrid>
      <w:tr w:rsidR="00C5241F" w:rsidRPr="00327986" w14:paraId="6CCEEF11" w14:textId="77777777" w:rsidTr="0081190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3564C6F7" w14:textId="14B78A80" w:rsidR="00C5241F" w:rsidRPr="00327986" w:rsidRDefault="002D3B17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cs="Times New Roman"/>
                <w:b/>
                <w:bCs/>
              </w:rPr>
              <w:t>Name</w:t>
            </w:r>
          </w:p>
        </w:tc>
        <w:tc>
          <w:tcPr>
            <w:tcW w:w="6095" w:type="dxa"/>
          </w:tcPr>
          <w:p w14:paraId="7631BA8F" w14:textId="159D2A54" w:rsidR="00C5241F" w:rsidRPr="00327986" w:rsidRDefault="002D3B17" w:rsidP="00327986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bCs/>
              </w:rPr>
            </w:pPr>
            <w:r w:rsidRPr="00327986">
              <w:rPr>
                <w:rFonts w:eastAsia="宋体" w:cs="Times New Roman"/>
                <w:b/>
                <w:bCs/>
              </w:rPr>
              <w:t>Energy Value</w:t>
            </w:r>
            <w:r w:rsidR="00C5241F" w:rsidRPr="00327986">
              <w:rPr>
                <w:rFonts w:eastAsia="宋体" w:cs="Times New Roman"/>
              </w:rPr>
              <w:t>（</w:t>
            </w:r>
            <w:r w:rsidR="00C5241F" w:rsidRPr="00327986">
              <w:rPr>
                <w:rFonts w:eastAsia="宋体" w:cs="Times New Roman"/>
              </w:rPr>
              <w:t>Kilocalorie per mole</w:t>
            </w:r>
            <w:r w:rsidR="00C5241F" w:rsidRPr="00327986">
              <w:rPr>
                <w:rFonts w:eastAsia="宋体" w:cs="Times New Roman"/>
              </w:rPr>
              <w:t>，</w:t>
            </w:r>
            <w:r w:rsidR="00C5241F" w:rsidRPr="00327986">
              <w:rPr>
                <w:rFonts w:cs="Times New Roman"/>
              </w:rPr>
              <w:t>kcal/mo</w:t>
            </w:r>
            <w:r w:rsidR="00C5241F" w:rsidRPr="00327986">
              <w:rPr>
                <w:rFonts w:eastAsiaTheme="minorEastAsia" w:cs="Times New Roman"/>
              </w:rPr>
              <w:t>l</w:t>
            </w:r>
            <w:r w:rsidR="00C5241F" w:rsidRPr="00327986">
              <w:rPr>
                <w:rFonts w:eastAsia="宋体" w:cs="Times New Roman"/>
              </w:rPr>
              <w:t>）</w:t>
            </w:r>
          </w:p>
        </w:tc>
      </w:tr>
      <w:tr w:rsidR="00C5241F" w:rsidRPr="00327986" w14:paraId="20CD8FE5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9B64766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VDWAALS</w:t>
            </w:r>
          </w:p>
        </w:tc>
        <w:tc>
          <w:tcPr>
            <w:tcW w:w="6095" w:type="dxa"/>
          </w:tcPr>
          <w:p w14:paraId="40DE075F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-158.59</w:t>
            </w:r>
            <w:r w:rsidRPr="00327986">
              <w:rPr>
                <w:rFonts w:cs="Times New Roman"/>
                <w:vertAlign w:val="superscript"/>
              </w:rPr>
              <w:t>b</w:t>
            </w:r>
          </w:p>
        </w:tc>
      </w:tr>
      <w:tr w:rsidR="00C5241F" w:rsidRPr="00327986" w14:paraId="54F8B31D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09160981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EEL</w:t>
            </w:r>
          </w:p>
        </w:tc>
        <w:tc>
          <w:tcPr>
            <w:tcW w:w="6095" w:type="dxa"/>
          </w:tcPr>
          <w:p w14:paraId="2D774E04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-5.25</w:t>
            </w:r>
          </w:p>
        </w:tc>
      </w:tr>
      <w:tr w:rsidR="00C5241F" w:rsidRPr="00327986" w14:paraId="78E0060B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3FC3A32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ESURF</w:t>
            </w:r>
          </w:p>
        </w:tc>
        <w:tc>
          <w:tcPr>
            <w:tcW w:w="6095" w:type="dxa"/>
          </w:tcPr>
          <w:p w14:paraId="5E51881F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24.73</w:t>
            </w:r>
          </w:p>
        </w:tc>
      </w:tr>
      <w:tr w:rsidR="00C5241F" w:rsidRPr="00327986" w14:paraId="23A752B9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554CCB5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EGB</w:t>
            </w:r>
          </w:p>
        </w:tc>
        <w:tc>
          <w:tcPr>
            <w:tcW w:w="6095" w:type="dxa"/>
          </w:tcPr>
          <w:p w14:paraId="613E0734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-18.72</w:t>
            </w:r>
          </w:p>
        </w:tc>
      </w:tr>
      <w:tr w:rsidR="00C5241F" w:rsidRPr="00327986" w14:paraId="451290F2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51D4E35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proofErr w:type="spellStart"/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GGas</w:t>
            </w:r>
            <w:proofErr w:type="spellEnd"/>
          </w:p>
        </w:tc>
        <w:tc>
          <w:tcPr>
            <w:tcW w:w="6095" w:type="dxa"/>
          </w:tcPr>
          <w:p w14:paraId="304E40A4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-163.83</w:t>
            </w:r>
          </w:p>
        </w:tc>
      </w:tr>
      <w:tr w:rsidR="00C5241F" w:rsidRPr="00327986" w14:paraId="54F029B6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44F64AF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GSOLV</w:t>
            </w:r>
          </w:p>
        </w:tc>
        <w:tc>
          <w:tcPr>
            <w:tcW w:w="6095" w:type="dxa"/>
          </w:tcPr>
          <w:p w14:paraId="24D6866F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6.01</w:t>
            </w:r>
          </w:p>
        </w:tc>
      </w:tr>
      <w:tr w:rsidR="00C5241F" w:rsidRPr="00327986" w14:paraId="44A2FD34" w14:textId="77777777" w:rsidTr="00811905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1C7D1FB5" w14:textId="77777777" w:rsidR="00C5241F" w:rsidRPr="00327986" w:rsidRDefault="00C5241F" w:rsidP="00327986">
            <w:pPr>
              <w:spacing w:line="480" w:lineRule="auto"/>
              <w:rPr>
                <w:rFonts w:cs="Times New Roman"/>
                <w:b/>
                <w:bCs/>
              </w:rPr>
            </w:pPr>
            <w:r w:rsidRPr="00327986">
              <w:rPr>
                <w:rFonts w:ascii="Cambria Math" w:hAnsi="Cambria Math" w:cs="Cambria Math"/>
              </w:rPr>
              <w:t>△</w:t>
            </w:r>
            <w:proofErr w:type="spellStart"/>
            <w:proofErr w:type="gramStart"/>
            <w:r w:rsidRPr="00327986">
              <w:rPr>
                <w:rFonts w:cs="Times New Roman"/>
              </w:rPr>
              <w:t>G</w:t>
            </w:r>
            <w:r w:rsidRPr="00327986">
              <w:rPr>
                <w:rFonts w:cs="Times New Roman"/>
                <w:vertAlign w:val="superscript"/>
              </w:rPr>
              <w:t>TOTAL,a</w:t>
            </w:r>
            <w:proofErr w:type="spellEnd"/>
            <w:proofErr w:type="gramEnd"/>
          </w:p>
        </w:tc>
        <w:tc>
          <w:tcPr>
            <w:tcW w:w="6095" w:type="dxa"/>
          </w:tcPr>
          <w:p w14:paraId="07362E83" w14:textId="77777777" w:rsidR="00C5241F" w:rsidRPr="00327986" w:rsidRDefault="00C5241F" w:rsidP="00327986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327986">
              <w:rPr>
                <w:rFonts w:cs="Times New Roman"/>
              </w:rPr>
              <w:t>-157.82</w:t>
            </w:r>
          </w:p>
        </w:tc>
      </w:tr>
    </w:tbl>
    <w:p w14:paraId="3BD894C6" w14:textId="292537E0" w:rsidR="00C5241F" w:rsidRPr="00327986" w:rsidRDefault="002D3B17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b/>
          <w:bCs/>
          <w:sz w:val="24"/>
        </w:rPr>
        <w:t>Note:</w:t>
      </w:r>
      <w:r w:rsidRPr="00327986">
        <w:rPr>
          <w:rFonts w:ascii="Times New Roman" w:hAnsi="Times New Roman" w:cs="Times New Roman"/>
          <w:sz w:val="24"/>
        </w:rPr>
        <w:t xml:space="preserve"> </w:t>
      </w:r>
      <w:proofErr w:type="spellStart"/>
      <w:r w:rsidR="00C5241F" w:rsidRPr="00327986">
        <w:rPr>
          <w:rFonts w:ascii="Times New Roman" w:hAnsi="Times New Roman" w:cs="Times New Roman"/>
          <w:sz w:val="24"/>
          <w:vertAlign w:val="superscript"/>
        </w:rPr>
        <w:t>a</w:t>
      </w:r>
      <w:r w:rsidR="00C5241F" w:rsidRPr="00327986">
        <w:rPr>
          <w:rFonts w:ascii="Times New Roman" w:hAnsi="Times New Roman" w:cs="Times New Roman"/>
          <w:sz w:val="24"/>
        </w:rPr>
        <w:t>VDWAALS</w:t>
      </w:r>
      <w:proofErr w:type="spellEnd"/>
      <w:r w:rsidRPr="00327986">
        <w:rPr>
          <w:rFonts w:ascii="Times New Roman" w:hAnsi="Times New Roman" w:cs="Times New Roman"/>
          <w:sz w:val="24"/>
        </w:rPr>
        <w:t xml:space="preserve">, </w:t>
      </w:r>
      <w:r w:rsidR="00C5241F" w:rsidRPr="00327986">
        <w:rPr>
          <w:rFonts w:ascii="Times New Roman" w:hAnsi="Times New Roman" w:cs="Times New Roman"/>
          <w:sz w:val="24"/>
        </w:rPr>
        <w:t>van der Waals force</w:t>
      </w:r>
      <w:r w:rsidRPr="00327986">
        <w:rPr>
          <w:rFonts w:ascii="Times New Roman" w:hAnsi="Times New Roman" w:cs="Times New Roman"/>
          <w:sz w:val="24"/>
        </w:rPr>
        <w:t>;</w:t>
      </w:r>
      <w:r w:rsidR="00C5241F" w:rsidRPr="00327986">
        <w:rPr>
          <w:rFonts w:ascii="Times New Roman" w:hAnsi="Times New Roman" w:cs="Times New Roman"/>
          <w:sz w:val="24"/>
        </w:rPr>
        <w:t xml:space="preserve"> EEL</w:t>
      </w:r>
      <w:r w:rsidRPr="00327986">
        <w:rPr>
          <w:rFonts w:ascii="Times New Roman" w:hAnsi="Times New Roman" w:cs="Times New Roman"/>
          <w:sz w:val="24"/>
        </w:rPr>
        <w:t xml:space="preserve">, </w:t>
      </w:r>
      <w:r w:rsidR="00C5241F" w:rsidRPr="00327986">
        <w:rPr>
          <w:rFonts w:ascii="Times New Roman" w:hAnsi="Times New Roman" w:cs="Times New Roman"/>
          <w:sz w:val="24"/>
        </w:rPr>
        <w:t>electric potential energy</w:t>
      </w:r>
      <w:r w:rsidRPr="00327986">
        <w:rPr>
          <w:rFonts w:ascii="Times New Roman" w:hAnsi="Times New Roman" w:cs="Times New Roman"/>
          <w:sz w:val="24"/>
        </w:rPr>
        <w:t xml:space="preserve">; </w:t>
      </w:r>
      <w:r w:rsidR="00C5241F" w:rsidRPr="00327986">
        <w:rPr>
          <w:rFonts w:ascii="Times New Roman" w:hAnsi="Times New Roman" w:cs="Times New Roman"/>
          <w:sz w:val="24"/>
        </w:rPr>
        <w:t xml:space="preserve">EGB: </w:t>
      </w:r>
      <w:r w:rsidRPr="00327986">
        <w:rPr>
          <w:rFonts w:ascii="Times New Roman" w:hAnsi="Times New Roman" w:cs="Times New Roman"/>
          <w:sz w:val="24"/>
        </w:rPr>
        <w:t xml:space="preserve">polar component of the solvation energy (in this case is calculated using Generalized Born model); </w:t>
      </w:r>
      <w:r w:rsidR="00C5241F" w:rsidRPr="00327986">
        <w:rPr>
          <w:rFonts w:ascii="Times New Roman" w:hAnsi="Times New Roman" w:cs="Times New Roman"/>
          <w:sz w:val="24"/>
        </w:rPr>
        <w:t xml:space="preserve">ESURF: </w:t>
      </w:r>
      <w:r w:rsidRPr="00327986">
        <w:rPr>
          <w:rFonts w:ascii="Times New Roman" w:hAnsi="Times New Roman" w:cs="Times New Roman"/>
          <w:sz w:val="24"/>
        </w:rPr>
        <w:t xml:space="preserve">no polar component of the solvation energy (proportional to the Solvent Accessible Surface Area of the solute); </w:t>
      </w:r>
      <w:r w:rsidR="00C5241F" w:rsidRPr="00327986">
        <w:rPr>
          <w:rFonts w:ascii="Times New Roman" w:hAnsi="Times New Roman" w:cs="Times New Roman"/>
          <w:sz w:val="24"/>
        </w:rPr>
        <w:t xml:space="preserve">GGAS: </w:t>
      </w:r>
      <w:r w:rsidR="00966013" w:rsidRPr="00327986">
        <w:rPr>
          <w:rFonts w:ascii="Times New Roman" w:hAnsi="Times New Roman" w:cs="Times New Roman"/>
          <w:sz w:val="24"/>
        </w:rPr>
        <w:t xml:space="preserve">Total Gas-Phase Free Energy; </w:t>
      </w:r>
      <w:r w:rsidR="00C5241F" w:rsidRPr="00327986">
        <w:rPr>
          <w:rFonts w:ascii="Times New Roman" w:hAnsi="Times New Roman" w:cs="Times New Roman"/>
          <w:sz w:val="24"/>
        </w:rPr>
        <w:t xml:space="preserve">GSOLV: </w:t>
      </w:r>
      <w:r w:rsidR="00966013" w:rsidRPr="00327986">
        <w:rPr>
          <w:rFonts w:ascii="Times New Roman" w:hAnsi="Times New Roman" w:cs="Times New Roman"/>
          <w:sz w:val="24"/>
        </w:rPr>
        <w:t>Total Solvation Free Energy;</w:t>
      </w:r>
      <w:r w:rsidRPr="00327986">
        <w:rPr>
          <w:rFonts w:ascii="Times New Roman" w:hAnsi="Times New Roman" w:cs="Times New Roman"/>
          <w:sz w:val="24"/>
        </w:rPr>
        <w:t xml:space="preserve"> </w:t>
      </w:r>
      <w:r w:rsidR="00C5241F" w:rsidRPr="00327986">
        <w:rPr>
          <w:rFonts w:ascii="Times New Roman" w:hAnsi="Times New Roman" w:cs="Times New Roman"/>
          <w:sz w:val="24"/>
        </w:rPr>
        <w:t xml:space="preserve">TOTAL: GSOLV + GGAS. </w:t>
      </w:r>
      <w:r w:rsidR="00C5241F" w:rsidRPr="00327986">
        <w:rPr>
          <w:rFonts w:ascii="Times New Roman" w:hAnsi="Times New Roman" w:cs="Times New Roman"/>
          <w:sz w:val="24"/>
          <w:vertAlign w:val="superscript"/>
        </w:rPr>
        <w:t>b</w:t>
      </w:r>
      <w:r w:rsidRPr="00327986">
        <w:rPr>
          <w:rFonts w:ascii="Times New Roman" w:hAnsi="Times New Roman" w:cs="Times New Roman"/>
          <w:sz w:val="24"/>
          <w:vertAlign w:val="superscript"/>
        </w:rPr>
        <w:t xml:space="preserve"> </w:t>
      </w:r>
      <w:r w:rsidR="00C5241F" w:rsidRPr="00327986">
        <w:rPr>
          <w:rFonts w:ascii="Times New Roman" w:hAnsi="Times New Roman" w:cs="Times New Roman"/>
          <w:sz w:val="24"/>
        </w:rPr>
        <w:t>kcal/mol</w:t>
      </w:r>
      <w:r w:rsidRPr="00327986">
        <w:rPr>
          <w:rFonts w:ascii="Times New Roman" w:hAnsi="Times New Roman" w:cs="Times New Roman"/>
          <w:sz w:val="24"/>
        </w:rPr>
        <w:t>.</w:t>
      </w:r>
    </w:p>
    <w:p w14:paraId="073F67AB" w14:textId="77777777" w:rsidR="00F12643" w:rsidRPr="00327986" w:rsidRDefault="00F12643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0179C227" w14:textId="77777777" w:rsidR="00F12643" w:rsidRPr="00327986" w:rsidRDefault="00F12643" w:rsidP="00327986">
      <w:pPr>
        <w:spacing w:line="480" w:lineRule="auto"/>
        <w:rPr>
          <w:rFonts w:ascii="Times New Roman" w:hAnsi="Times New Roman" w:cs="Times New Roman"/>
          <w:sz w:val="24"/>
        </w:rPr>
      </w:pPr>
    </w:p>
    <w:p w14:paraId="7B949EB9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sz w:val="24"/>
        </w:rPr>
        <w:fldChar w:fldCharType="begin"/>
      </w:r>
      <w:r w:rsidRPr="00327986">
        <w:rPr>
          <w:rFonts w:ascii="Times New Roman" w:hAnsi="Times New Roman" w:cs="Times New Roman"/>
          <w:sz w:val="24"/>
        </w:rPr>
        <w:instrText xml:space="preserve"> ADDIN EN.REFLIST </w:instrText>
      </w:r>
      <w:r w:rsidRPr="00327986">
        <w:rPr>
          <w:rFonts w:ascii="Times New Roman" w:hAnsi="Times New Roman" w:cs="Times New Roman"/>
          <w:sz w:val="24"/>
        </w:rPr>
        <w:fldChar w:fldCharType="separate"/>
      </w:r>
      <w:r w:rsidRPr="00327986">
        <w:rPr>
          <w:rFonts w:ascii="Times New Roman" w:hAnsi="Times New Roman" w:cs="Times New Roman"/>
          <w:noProof/>
          <w:sz w:val="24"/>
        </w:rPr>
        <w:t xml:space="preserve">(1) Xie, Y.; Jiang, K.; Zhang, Y.; Cao, L.; Guo, X.; Shi, J.; Ding, X.; Yin, K. Enhanced Two-Step LAMP-CRISPR Assay with an Engineered Zst Polymerase for Contamination-Free and Ultrasensitive DNA Detection. Analytical Chemistry </w:t>
      </w:r>
      <w:r w:rsidRPr="00327986">
        <w:rPr>
          <w:rFonts w:ascii="Times New Roman" w:hAnsi="Times New Roman" w:cs="Times New Roman"/>
          <w:b/>
          <w:noProof/>
          <w:sz w:val="24"/>
        </w:rPr>
        <w:t>2024</w:t>
      </w:r>
      <w:r w:rsidRPr="00327986">
        <w:rPr>
          <w:rFonts w:ascii="Times New Roman" w:hAnsi="Times New Roman" w:cs="Times New Roman"/>
          <w:noProof/>
          <w:sz w:val="24"/>
        </w:rPr>
        <w:t>, 96 (38), 15493-15502.</w:t>
      </w:r>
    </w:p>
    <w:p w14:paraId="260758A7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(2) Mirdita, M.; Schütze, K.; Moriwaki, Y.; Heo, L.; Ovchinnikov, S.; Steinegger, M. </w:t>
      </w:r>
      <w:r w:rsidRPr="00327986">
        <w:rPr>
          <w:rFonts w:ascii="Times New Roman" w:hAnsi="Times New Roman" w:cs="Times New Roman"/>
          <w:noProof/>
          <w:sz w:val="24"/>
        </w:rPr>
        <w:lastRenderedPageBreak/>
        <w:t xml:space="preserve">ColabFold: making protein folding accessible to all. Nature Methods </w:t>
      </w:r>
      <w:r w:rsidRPr="00327986">
        <w:rPr>
          <w:rFonts w:ascii="Times New Roman" w:hAnsi="Times New Roman" w:cs="Times New Roman"/>
          <w:b/>
          <w:noProof/>
          <w:sz w:val="24"/>
        </w:rPr>
        <w:t>2022</w:t>
      </w:r>
      <w:r w:rsidRPr="00327986">
        <w:rPr>
          <w:rFonts w:ascii="Times New Roman" w:hAnsi="Times New Roman" w:cs="Times New Roman"/>
          <w:noProof/>
          <w:sz w:val="24"/>
        </w:rPr>
        <w:t>, 19 (6), 679-682. DOI: 10.1038/s41592-022-01488-1.</w:t>
      </w:r>
    </w:p>
    <w:p w14:paraId="4F05087C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(3) Waterhouse, A.; Bertoni, M.; Bienert, S.; Studer, G.; Tauriello, G.; Gumienny, R.; Heer, F. T.; de Beer, T. A. P.; Rempfer, C.; Bordoli, L. SWISS-MODEL: homology modelling of protein structures and complexes. Nucleic acids research </w:t>
      </w:r>
      <w:r w:rsidRPr="00327986">
        <w:rPr>
          <w:rFonts w:ascii="Times New Roman" w:hAnsi="Times New Roman" w:cs="Times New Roman"/>
          <w:b/>
          <w:noProof/>
          <w:sz w:val="24"/>
        </w:rPr>
        <w:t>2018</w:t>
      </w:r>
      <w:r w:rsidRPr="00327986">
        <w:rPr>
          <w:rFonts w:ascii="Times New Roman" w:hAnsi="Times New Roman" w:cs="Times New Roman"/>
          <w:noProof/>
          <w:sz w:val="24"/>
        </w:rPr>
        <w:t>, 46 (W1), W296-W303.</w:t>
      </w:r>
    </w:p>
    <w:p w14:paraId="51BA6CA0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(4) Guex, N.; Peitsch, M. C.; Schwede, T. Automated comparative protein structure modeling with SWISS‐MODEL and Swiss‐PdbViewer: A historical perspective. Electrophoresis </w:t>
      </w:r>
      <w:r w:rsidRPr="00327986">
        <w:rPr>
          <w:rFonts w:ascii="Times New Roman" w:hAnsi="Times New Roman" w:cs="Times New Roman"/>
          <w:b/>
          <w:noProof/>
          <w:sz w:val="24"/>
        </w:rPr>
        <w:t>2009</w:t>
      </w:r>
      <w:r w:rsidRPr="00327986">
        <w:rPr>
          <w:rFonts w:ascii="Times New Roman" w:hAnsi="Times New Roman" w:cs="Times New Roman"/>
          <w:noProof/>
          <w:sz w:val="24"/>
        </w:rPr>
        <w:t>, 30 (S1), S162-S173.</w:t>
      </w:r>
    </w:p>
    <w:p w14:paraId="24B377BA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(5) Bertoni, M.; Kiefer, F.; Biasini, M.; Bordoli, L.; Schwede, T. Modeling protein quaternary structure of homo-and hetero-oligomers beyond binary interactions by homology. Scientific reports </w:t>
      </w:r>
      <w:r w:rsidRPr="00327986">
        <w:rPr>
          <w:rFonts w:ascii="Times New Roman" w:hAnsi="Times New Roman" w:cs="Times New Roman"/>
          <w:b/>
          <w:noProof/>
          <w:sz w:val="24"/>
        </w:rPr>
        <w:t>2017</w:t>
      </w:r>
      <w:r w:rsidRPr="00327986">
        <w:rPr>
          <w:rFonts w:ascii="Times New Roman" w:hAnsi="Times New Roman" w:cs="Times New Roman"/>
          <w:noProof/>
          <w:sz w:val="24"/>
        </w:rPr>
        <w:t>, 7 (1), 10480.</w:t>
      </w:r>
    </w:p>
    <w:p w14:paraId="1C35A5CA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(6) Bienert, S.; Waterhouse, A.; De Beer, T. A.; Tauriello, G.; Studer, G.; Bordoli, L.; Schwede, T. The SWISS-MODEL Repository—new features and functionality. Nucleic acids research </w:t>
      </w:r>
      <w:r w:rsidRPr="00327986">
        <w:rPr>
          <w:rFonts w:ascii="Times New Roman" w:hAnsi="Times New Roman" w:cs="Times New Roman"/>
          <w:b/>
          <w:noProof/>
          <w:sz w:val="24"/>
        </w:rPr>
        <w:t>2017</w:t>
      </w:r>
      <w:r w:rsidRPr="00327986">
        <w:rPr>
          <w:rFonts w:ascii="Times New Roman" w:hAnsi="Times New Roman" w:cs="Times New Roman"/>
          <w:noProof/>
          <w:sz w:val="24"/>
        </w:rPr>
        <w:t>, 45 (D1), D313-D319.</w:t>
      </w:r>
    </w:p>
    <w:p w14:paraId="37866337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(7) Land, H.; Humble, M. S. YASARA: a tool to obtain structural guidance in biocatalytic investigations. Protein engineering: methods and protocols </w:t>
      </w:r>
      <w:r w:rsidRPr="00327986">
        <w:rPr>
          <w:rFonts w:ascii="Times New Roman" w:hAnsi="Times New Roman" w:cs="Times New Roman"/>
          <w:b/>
          <w:noProof/>
          <w:sz w:val="24"/>
        </w:rPr>
        <w:t>2018</w:t>
      </w:r>
      <w:r w:rsidRPr="00327986">
        <w:rPr>
          <w:rFonts w:ascii="Times New Roman" w:hAnsi="Times New Roman" w:cs="Times New Roman"/>
          <w:noProof/>
          <w:sz w:val="24"/>
        </w:rPr>
        <w:t>, 43-67.</w:t>
      </w:r>
    </w:p>
    <w:p w14:paraId="07E20572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(8) Kumar, K.; Singh, S.; Sharma, K.; Goyal, A. Computational modeling and small-angle X-ray scattering based structure analysis and identifying ligand cleavage mechanism by processive endocellulase of family 9 glycoside hydrolase (HtGH9) from Hungateiclostridium thermocellum ATCC 27405. Journal of Molecular Graphics and Modelling </w:t>
      </w:r>
      <w:r w:rsidRPr="00327986">
        <w:rPr>
          <w:rFonts w:ascii="Times New Roman" w:hAnsi="Times New Roman" w:cs="Times New Roman"/>
          <w:b/>
          <w:noProof/>
          <w:sz w:val="24"/>
        </w:rPr>
        <w:t>2021</w:t>
      </w:r>
      <w:r w:rsidRPr="00327986">
        <w:rPr>
          <w:rFonts w:ascii="Times New Roman" w:hAnsi="Times New Roman" w:cs="Times New Roman"/>
          <w:noProof/>
          <w:sz w:val="24"/>
        </w:rPr>
        <w:t>, 103, 107808.</w:t>
      </w:r>
    </w:p>
    <w:p w14:paraId="2C9AB1B0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lastRenderedPageBreak/>
        <w:t xml:space="preserve">(9) Laskowski, R.; MacArthur, M.; Thornton, J. PROCHECK: validation of protein-structure coordinates. </w:t>
      </w:r>
      <w:r w:rsidRPr="00327986">
        <w:rPr>
          <w:rFonts w:ascii="Times New Roman" w:hAnsi="Times New Roman" w:cs="Times New Roman"/>
          <w:b/>
          <w:noProof/>
          <w:sz w:val="24"/>
        </w:rPr>
        <w:t>2006</w:t>
      </w:r>
      <w:r w:rsidRPr="00327986">
        <w:rPr>
          <w:rFonts w:ascii="Times New Roman" w:hAnsi="Times New Roman" w:cs="Times New Roman"/>
          <w:noProof/>
          <w:sz w:val="24"/>
        </w:rPr>
        <w:t>.</w:t>
      </w:r>
    </w:p>
    <w:p w14:paraId="3A72A29D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(10) Wiederstein, M.; Sippl, M. J. ProSA-web: interactive web service for the recognition of errors in three-dimensional structures of proteins. Nucleic acids research </w:t>
      </w:r>
      <w:r w:rsidRPr="00327986">
        <w:rPr>
          <w:rFonts w:ascii="Times New Roman" w:hAnsi="Times New Roman" w:cs="Times New Roman"/>
          <w:b/>
          <w:noProof/>
          <w:sz w:val="24"/>
        </w:rPr>
        <w:t>2007</w:t>
      </w:r>
      <w:r w:rsidRPr="00327986">
        <w:rPr>
          <w:rFonts w:ascii="Times New Roman" w:hAnsi="Times New Roman" w:cs="Times New Roman"/>
          <w:noProof/>
          <w:sz w:val="24"/>
        </w:rPr>
        <w:t>, 35 (suppl_2), W407-W410.</w:t>
      </w:r>
    </w:p>
    <w:p w14:paraId="41CD5431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(11) Mark, P.; Nilsson, L. Structure and dynamics of the TIP3P, SPC, and SPC/E water models at 298 K. The Journal of Physical Chemistry A </w:t>
      </w:r>
      <w:r w:rsidRPr="00327986">
        <w:rPr>
          <w:rFonts w:ascii="Times New Roman" w:hAnsi="Times New Roman" w:cs="Times New Roman"/>
          <w:b/>
          <w:noProof/>
          <w:sz w:val="24"/>
        </w:rPr>
        <w:t>2001</w:t>
      </w:r>
      <w:r w:rsidRPr="00327986">
        <w:rPr>
          <w:rFonts w:ascii="Times New Roman" w:hAnsi="Times New Roman" w:cs="Times New Roman"/>
          <w:noProof/>
          <w:sz w:val="24"/>
        </w:rPr>
        <w:t>, 105 (43), 9954-9960.</w:t>
      </w:r>
    </w:p>
    <w:p w14:paraId="5F6655F4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(12) Salomon‐Ferrer, R.; Case, D. A.; Walker, R. C. An overview of the Amber biomolecular simulation package. Wiley Interdisciplinary Reviews: Computational Molecular Science </w:t>
      </w:r>
      <w:r w:rsidRPr="00327986">
        <w:rPr>
          <w:rFonts w:ascii="Times New Roman" w:hAnsi="Times New Roman" w:cs="Times New Roman"/>
          <w:b/>
          <w:noProof/>
          <w:sz w:val="24"/>
        </w:rPr>
        <w:t>2013</w:t>
      </w:r>
      <w:r w:rsidRPr="00327986">
        <w:rPr>
          <w:rFonts w:ascii="Times New Roman" w:hAnsi="Times New Roman" w:cs="Times New Roman"/>
          <w:noProof/>
          <w:sz w:val="24"/>
        </w:rPr>
        <w:t>, 3 (2), 198-210.</w:t>
      </w:r>
    </w:p>
    <w:p w14:paraId="523A9615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(13) Hess, B.; Bekker, H.; Berendsen, H. J.; Fraaije, J. G. LINCS: A linear constraint solver for molecular simulations. Journal of computational chemistry </w:t>
      </w:r>
      <w:r w:rsidRPr="00327986">
        <w:rPr>
          <w:rFonts w:ascii="Times New Roman" w:hAnsi="Times New Roman" w:cs="Times New Roman"/>
          <w:b/>
          <w:noProof/>
          <w:sz w:val="24"/>
        </w:rPr>
        <w:t>1997</w:t>
      </w:r>
      <w:r w:rsidRPr="00327986">
        <w:rPr>
          <w:rFonts w:ascii="Times New Roman" w:hAnsi="Times New Roman" w:cs="Times New Roman"/>
          <w:noProof/>
          <w:sz w:val="24"/>
        </w:rPr>
        <w:t>, 18 (12), 1463-1472.</w:t>
      </w:r>
    </w:p>
    <w:p w14:paraId="2AA2CC2C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(14) Genheden, S.; Ryde, U. The MM/PBSA and MM/GBSA methods to estimate ligand-binding affinities. Expert opinion on drug discovery </w:t>
      </w:r>
      <w:r w:rsidRPr="00327986">
        <w:rPr>
          <w:rFonts w:ascii="Times New Roman" w:hAnsi="Times New Roman" w:cs="Times New Roman"/>
          <w:b/>
          <w:noProof/>
          <w:sz w:val="24"/>
        </w:rPr>
        <w:t>2015</w:t>
      </w:r>
      <w:r w:rsidRPr="00327986">
        <w:rPr>
          <w:rFonts w:ascii="Times New Roman" w:hAnsi="Times New Roman" w:cs="Times New Roman"/>
          <w:noProof/>
          <w:sz w:val="24"/>
        </w:rPr>
        <w:t>, 10 (5), 449-461.</w:t>
      </w:r>
    </w:p>
    <w:p w14:paraId="765945DF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(15) Wang, E.; Sun, H.; Wang, J.; Wang, Z.; Liu, H.; Zhang, J. Z.; Hou, T. End-point binding free energy calculation with MM/PBSA and MM/GBSA: strategies and applications in drug design. Chemical reviews </w:t>
      </w:r>
      <w:r w:rsidRPr="00327986">
        <w:rPr>
          <w:rFonts w:ascii="Times New Roman" w:hAnsi="Times New Roman" w:cs="Times New Roman"/>
          <w:b/>
          <w:noProof/>
          <w:sz w:val="24"/>
        </w:rPr>
        <w:t>2019</w:t>
      </w:r>
      <w:r w:rsidRPr="00327986">
        <w:rPr>
          <w:rFonts w:ascii="Times New Roman" w:hAnsi="Times New Roman" w:cs="Times New Roman"/>
          <w:noProof/>
          <w:sz w:val="24"/>
        </w:rPr>
        <w:t>, 119 (16), 9478-9508.</w:t>
      </w:r>
    </w:p>
    <w:p w14:paraId="2F54AAB6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(16) Nguyen, H.; Roe, D. R.; Simmerling, C. Improved generalized born solvent model parameters for protein simulations. Journal of chemical theory and computation </w:t>
      </w:r>
      <w:r w:rsidRPr="00327986">
        <w:rPr>
          <w:rFonts w:ascii="Times New Roman" w:hAnsi="Times New Roman" w:cs="Times New Roman"/>
          <w:b/>
          <w:noProof/>
          <w:sz w:val="24"/>
        </w:rPr>
        <w:t>2013</w:t>
      </w:r>
      <w:r w:rsidRPr="00327986">
        <w:rPr>
          <w:rFonts w:ascii="Times New Roman" w:hAnsi="Times New Roman" w:cs="Times New Roman"/>
          <w:noProof/>
          <w:sz w:val="24"/>
        </w:rPr>
        <w:t>, 9 (4), 2020-2034.</w:t>
      </w:r>
    </w:p>
    <w:p w14:paraId="125C0DF1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(17) Weiser, J.; Shenkin, P. S.; Still, W. C. Approximate atomic surfaces from linear </w:t>
      </w:r>
      <w:r w:rsidRPr="00327986">
        <w:rPr>
          <w:rFonts w:ascii="Times New Roman" w:hAnsi="Times New Roman" w:cs="Times New Roman"/>
          <w:noProof/>
          <w:sz w:val="24"/>
        </w:rPr>
        <w:lastRenderedPageBreak/>
        <w:t xml:space="preserve">combinations of pairwise overlaps (LCPO). Journal of Computational Chemistry </w:t>
      </w:r>
      <w:r w:rsidRPr="00327986">
        <w:rPr>
          <w:rFonts w:ascii="Times New Roman" w:hAnsi="Times New Roman" w:cs="Times New Roman"/>
          <w:b/>
          <w:noProof/>
          <w:sz w:val="24"/>
        </w:rPr>
        <w:t>1999</w:t>
      </w:r>
      <w:r w:rsidRPr="00327986">
        <w:rPr>
          <w:rFonts w:ascii="Times New Roman" w:hAnsi="Times New Roman" w:cs="Times New Roman"/>
          <w:noProof/>
          <w:sz w:val="24"/>
        </w:rPr>
        <w:t>, 20 (2), 217-230.</w:t>
      </w:r>
    </w:p>
    <w:p w14:paraId="78B6D3D7" w14:textId="77777777" w:rsidR="00F12643" w:rsidRPr="00327986" w:rsidRDefault="00F12643" w:rsidP="00327986">
      <w:pPr>
        <w:pStyle w:val="EndNoteBibliography"/>
        <w:spacing w:line="480" w:lineRule="auto"/>
        <w:rPr>
          <w:rFonts w:ascii="Times New Roman" w:hAnsi="Times New Roman" w:cs="Times New Roman"/>
          <w:noProof/>
          <w:sz w:val="24"/>
        </w:rPr>
      </w:pPr>
      <w:r w:rsidRPr="00327986">
        <w:rPr>
          <w:rFonts w:ascii="Times New Roman" w:hAnsi="Times New Roman" w:cs="Times New Roman"/>
          <w:noProof/>
          <w:sz w:val="24"/>
        </w:rPr>
        <w:t xml:space="preserve">(18) Hou, T.; Wang, J.; Li, Y.; Wang, W. Assessing the performance of the MM/PBSA and MM/GBSA methods. 1. The accuracy of binding free energy calculations based on molecular dynamics simulations. Journal of chemical information and modeling </w:t>
      </w:r>
      <w:r w:rsidRPr="00327986">
        <w:rPr>
          <w:rFonts w:ascii="Times New Roman" w:hAnsi="Times New Roman" w:cs="Times New Roman"/>
          <w:b/>
          <w:noProof/>
          <w:sz w:val="24"/>
        </w:rPr>
        <w:t>2011</w:t>
      </w:r>
      <w:r w:rsidRPr="00327986">
        <w:rPr>
          <w:rFonts w:ascii="Times New Roman" w:hAnsi="Times New Roman" w:cs="Times New Roman"/>
          <w:noProof/>
          <w:sz w:val="24"/>
        </w:rPr>
        <w:t>, 51 (1), 69-82.</w:t>
      </w:r>
    </w:p>
    <w:p w14:paraId="0C0EDF9F" w14:textId="4F472DDA" w:rsidR="00C5241F" w:rsidRPr="00327986" w:rsidRDefault="00F12643" w:rsidP="00327986">
      <w:pPr>
        <w:spacing w:line="480" w:lineRule="auto"/>
        <w:rPr>
          <w:rFonts w:ascii="Times New Roman" w:hAnsi="Times New Roman" w:cs="Times New Roman"/>
          <w:sz w:val="24"/>
        </w:rPr>
      </w:pPr>
      <w:r w:rsidRPr="00327986">
        <w:rPr>
          <w:rFonts w:ascii="Times New Roman" w:hAnsi="Times New Roman" w:cs="Times New Roman"/>
          <w:sz w:val="24"/>
        </w:rPr>
        <w:fldChar w:fldCharType="end"/>
      </w:r>
    </w:p>
    <w:sectPr w:rsidR="00C5241F" w:rsidRPr="003279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(正文 CS 字体)">
    <w:altName w:val="SimSun"/>
    <w:panose1 w:val="020B0604020202020204"/>
    <w:charset w:val="86"/>
    <w:family w:val="roman"/>
    <w:pitch w:val="default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2304B"/>
    <w:multiLevelType w:val="hybridMultilevel"/>
    <w:tmpl w:val="DAAA34E4"/>
    <w:lvl w:ilvl="0" w:tplc="5EB6C14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78E24D2A"/>
    <w:multiLevelType w:val="hybridMultilevel"/>
    <w:tmpl w:val="3B160B40"/>
    <w:lvl w:ilvl="0" w:tplc="956490E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375349256">
    <w:abstractNumId w:val="0"/>
  </w:num>
  <w:num w:numId="2" w16cid:durableId="278039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CS&lt;/Style&gt;&lt;LeftDelim&gt;{&lt;/LeftDelim&gt;&lt;RightDelim&gt;}&lt;/RightDelim&gt;&lt;FontName&gt;DengXi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pfa05tr8pf25eer9xm5vevnsd5dsr052zxf&quot;&gt;heparin detection citations&lt;record-ids&gt;&lt;item&gt;2&lt;/item&gt;&lt;item&gt;3&lt;/item&gt;&lt;item&gt;4&lt;/item&gt;&lt;item&gt;5&lt;/item&gt;&lt;item&gt;6&lt;/item&gt;&lt;item&gt;7&lt;/item&gt;&lt;item&gt;9&lt;/item&gt;&lt;item&gt;10&lt;/item&gt;&lt;item&gt;11&lt;/item&gt;&lt;item&gt;16&lt;/item&gt;&lt;item&gt;17&lt;/item&gt;&lt;item&gt;18&lt;/item&gt;&lt;item&gt;19&lt;/item&gt;&lt;item&gt;20&lt;/item&gt;&lt;item&gt;21&lt;/item&gt;&lt;item&gt;22&lt;/item&gt;&lt;item&gt;23&lt;/item&gt;&lt;item&gt;39&lt;/item&gt;&lt;/record-ids&gt;&lt;/item&gt;&lt;/Libraries&gt;"/>
  </w:docVars>
  <w:rsids>
    <w:rsidRoot w:val="00462E20"/>
    <w:rsid w:val="00032E5A"/>
    <w:rsid w:val="00096ACB"/>
    <w:rsid w:val="000C6333"/>
    <w:rsid w:val="000D79A8"/>
    <w:rsid w:val="00250461"/>
    <w:rsid w:val="0026232E"/>
    <w:rsid w:val="00267758"/>
    <w:rsid w:val="002D3B17"/>
    <w:rsid w:val="00320609"/>
    <w:rsid w:val="00327986"/>
    <w:rsid w:val="00385857"/>
    <w:rsid w:val="003F0889"/>
    <w:rsid w:val="004019D0"/>
    <w:rsid w:val="00407083"/>
    <w:rsid w:val="00462E20"/>
    <w:rsid w:val="0047233C"/>
    <w:rsid w:val="00474F6F"/>
    <w:rsid w:val="00490E45"/>
    <w:rsid w:val="004F6964"/>
    <w:rsid w:val="004F7E42"/>
    <w:rsid w:val="00636017"/>
    <w:rsid w:val="006B2794"/>
    <w:rsid w:val="00707E0E"/>
    <w:rsid w:val="00726A58"/>
    <w:rsid w:val="007675A7"/>
    <w:rsid w:val="007C269B"/>
    <w:rsid w:val="007F049B"/>
    <w:rsid w:val="0087116D"/>
    <w:rsid w:val="008F1F2E"/>
    <w:rsid w:val="009179AC"/>
    <w:rsid w:val="00966013"/>
    <w:rsid w:val="009F1AD1"/>
    <w:rsid w:val="00A00F82"/>
    <w:rsid w:val="00A360BD"/>
    <w:rsid w:val="00A51952"/>
    <w:rsid w:val="00A95D24"/>
    <w:rsid w:val="00AD51D0"/>
    <w:rsid w:val="00B77D2C"/>
    <w:rsid w:val="00B954DC"/>
    <w:rsid w:val="00BB05E8"/>
    <w:rsid w:val="00C06835"/>
    <w:rsid w:val="00C5241F"/>
    <w:rsid w:val="00CB0B70"/>
    <w:rsid w:val="00CC2D90"/>
    <w:rsid w:val="00D01E6E"/>
    <w:rsid w:val="00D35DE6"/>
    <w:rsid w:val="00D51FDF"/>
    <w:rsid w:val="00D9010F"/>
    <w:rsid w:val="00DC6666"/>
    <w:rsid w:val="00DE1C8B"/>
    <w:rsid w:val="00E15118"/>
    <w:rsid w:val="00EA46DC"/>
    <w:rsid w:val="00EA5C4B"/>
    <w:rsid w:val="00EB7555"/>
    <w:rsid w:val="00EC609C"/>
    <w:rsid w:val="00ED36BA"/>
    <w:rsid w:val="00F12643"/>
    <w:rsid w:val="00F53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AE8A95"/>
  <w15:chartTrackingRefBased/>
  <w15:docId w15:val="{9461127C-40D9-C041-B8F6-9D082692B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autoRedefine/>
    <w:uiPriority w:val="9"/>
    <w:qFormat/>
    <w:rsid w:val="00ED36BA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b/>
      <w:color w:val="2F5496" w:themeColor="accent1" w:themeShade="BF"/>
      <w:sz w:val="24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62E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62E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62E20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62E20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62E20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62E2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62E2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62E2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D36BA"/>
    <w:rPr>
      <w:rFonts w:asciiTheme="majorHAnsi" w:eastAsiaTheme="majorEastAsia" w:hAnsiTheme="majorHAnsi" w:cstheme="majorBidi"/>
      <w:b/>
      <w:color w:val="2F5496" w:themeColor="accent1" w:themeShade="BF"/>
      <w:sz w:val="24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62E2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62E2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62E20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62E20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462E20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62E2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62E2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62E2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62E2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62E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62E2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62E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62E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62E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62E2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462E20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62E2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62E20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462E20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A95D24"/>
    <w:rPr>
      <w:color w:val="0563C1" w:themeColor="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A95D24"/>
    <w:rPr>
      <w:sz w:val="21"/>
      <w:szCs w:val="21"/>
    </w:rPr>
  </w:style>
  <w:style w:type="paragraph" w:styleId="af0">
    <w:name w:val="annotation text"/>
    <w:basedOn w:val="a"/>
    <w:link w:val="af1"/>
    <w:uiPriority w:val="99"/>
    <w:unhideWhenUsed/>
    <w:rsid w:val="00A95D24"/>
    <w:pPr>
      <w:jc w:val="left"/>
    </w:pPr>
    <w:rPr>
      <w14:ligatures w14:val="none"/>
    </w:rPr>
  </w:style>
  <w:style w:type="character" w:customStyle="1" w:styleId="af1">
    <w:name w:val="批注文字 字符"/>
    <w:basedOn w:val="a0"/>
    <w:link w:val="af0"/>
    <w:uiPriority w:val="99"/>
    <w:rsid w:val="00A95D24"/>
    <w:rPr>
      <w14:ligatures w14:val="none"/>
    </w:rPr>
  </w:style>
  <w:style w:type="character" w:styleId="af2">
    <w:name w:val="Unresolved Mention"/>
    <w:basedOn w:val="a0"/>
    <w:uiPriority w:val="99"/>
    <w:semiHidden/>
    <w:unhideWhenUsed/>
    <w:rsid w:val="00A95D24"/>
    <w:rPr>
      <w:color w:val="605E5C"/>
      <w:shd w:val="clear" w:color="auto" w:fill="E1DFDD"/>
    </w:rPr>
  </w:style>
  <w:style w:type="table" w:styleId="af3">
    <w:name w:val="Table Grid"/>
    <w:basedOn w:val="a1"/>
    <w:uiPriority w:val="39"/>
    <w:rsid w:val="00A95D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4">
    <w:name w:val="FollowedHyperlink"/>
    <w:basedOn w:val="a0"/>
    <w:uiPriority w:val="99"/>
    <w:semiHidden/>
    <w:unhideWhenUsed/>
    <w:rsid w:val="00E15118"/>
    <w:rPr>
      <w:color w:val="954F72" w:themeColor="followedHyperlink"/>
      <w:u w:val="single"/>
    </w:rPr>
  </w:style>
  <w:style w:type="table" w:customStyle="1" w:styleId="11">
    <w:name w:val="三线表1"/>
    <w:basedOn w:val="a1"/>
    <w:uiPriority w:val="99"/>
    <w:qFormat/>
    <w:rsid w:val="00C5241F"/>
    <w:pPr>
      <w:jc w:val="center"/>
    </w:pPr>
    <w:rPr>
      <w:rFonts w:ascii="Times New Roman" w:hAnsi="Times New Roman" w:cs="Times New Roman (正文 CS 字体)"/>
      <w:color w:val="000000" w:themeColor="text1"/>
      <w:sz w:val="24"/>
      <w14:ligatures w14:val="none"/>
    </w:rPr>
    <w:tblPr>
      <w:tblBorders>
        <w:top w:val="single" w:sz="12" w:space="0" w:color="auto"/>
        <w:bottom w:val="single" w:sz="12" w:space="0" w:color="auto"/>
      </w:tblBorders>
    </w:tblPr>
    <w:tblStylePr w:type="firstRow">
      <w:pPr>
        <w:wordWrap/>
        <w:spacing w:line="240" w:lineRule="auto"/>
        <w:jc w:val="center"/>
      </w:pPr>
      <w:rPr>
        <w:rFonts w:ascii="Times New Roman" w:eastAsia="Times New Roman" w:hAnsi="Times New Roman"/>
        <w:b w:val="0"/>
        <w:sz w:val="24"/>
      </w:rPr>
      <w:tblPr/>
      <w:tcPr>
        <w:tcBorders>
          <w:bottom w:val="single" w:sz="8" w:space="0" w:color="auto"/>
        </w:tcBorders>
        <w:shd w:val="clear" w:color="auto" w:fill="FFFFFF" w:themeFill="background1"/>
      </w:tcPr>
    </w:tblStylePr>
    <w:tblStylePr w:type="firstCol">
      <w:rPr>
        <w:rFonts w:ascii="Times New Roman" w:eastAsia="微软雅黑" w:hAnsi="Times New Roman"/>
        <w:b w:val="0"/>
      </w:rPr>
    </w:tblStylePr>
  </w:style>
  <w:style w:type="paragraph" w:customStyle="1" w:styleId="EndNoteBibliographyTitle">
    <w:name w:val="EndNote Bibliography Title"/>
    <w:basedOn w:val="a"/>
    <w:link w:val="EndNoteBibliographyTitle0"/>
    <w:rsid w:val="00F12643"/>
    <w:pPr>
      <w:jc w:val="center"/>
    </w:pPr>
    <w:rPr>
      <w:rFonts w:ascii="DengXian" w:eastAsia="DengXian" w:hAnsi="DengXian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F12643"/>
    <w:rPr>
      <w:rFonts w:ascii="DengXian" w:eastAsia="DengXian" w:hAnsi="DengXian"/>
      <w:sz w:val="20"/>
    </w:rPr>
  </w:style>
  <w:style w:type="paragraph" w:customStyle="1" w:styleId="EndNoteBibliography">
    <w:name w:val="EndNote Bibliography"/>
    <w:basedOn w:val="a"/>
    <w:link w:val="EndNoteBibliography0"/>
    <w:rsid w:val="00F12643"/>
    <w:rPr>
      <w:rFonts w:ascii="DengXian" w:eastAsia="DengXian" w:hAnsi="DengXian"/>
      <w:sz w:val="20"/>
    </w:rPr>
  </w:style>
  <w:style w:type="character" w:customStyle="1" w:styleId="EndNoteBibliography0">
    <w:name w:val="EndNote Bibliography 字符"/>
    <w:basedOn w:val="a0"/>
    <w:link w:val="EndNoteBibliography"/>
    <w:rsid w:val="00F12643"/>
    <w:rPr>
      <w:rFonts w:ascii="DengXian" w:eastAsia="DengXian" w:hAnsi="DengXian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354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pymol.org/2/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B52116F-CE2A-B14D-85B9-A3A418829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3727</Words>
  <Characters>21250</Characters>
  <Application>Microsoft Office Word</Application>
  <DocSecurity>0</DocSecurity>
  <Lines>177</Lines>
  <Paragraphs>49</Paragraphs>
  <ScaleCrop>false</ScaleCrop>
  <Company/>
  <LinksUpToDate>false</LinksUpToDate>
  <CharactersWithSpaces>24928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xie yi</dc:creator>
  <cp:keywords/>
  <dc:description/>
  <cp:lastModifiedBy>xie yi</cp:lastModifiedBy>
  <cp:revision>2</cp:revision>
  <dcterms:created xsi:type="dcterms:W3CDTF">2025-09-08T02:56:00Z</dcterms:created>
  <dcterms:modified xsi:type="dcterms:W3CDTF">2025-09-08T02:56:00Z</dcterms:modified>
</cp:coreProperties>
</file>