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F65A" w14:textId="77777777" w:rsidR="0061499A" w:rsidRDefault="0061499A" w:rsidP="0061499A">
      <w:pPr>
        <w:pStyle w:val="2016"/>
        <w:rPr>
          <w:rFonts w:ascii="Times New Roman" w:hAnsi="Times New Roman" w:cs="Times New Roman"/>
          <w:color w:val="auto"/>
          <w:szCs w:val="18"/>
          <w:lang w:val="en-US"/>
        </w:rPr>
      </w:pPr>
      <w:r>
        <w:rPr>
          <w:rFonts w:ascii="Times New Roman" w:hAnsi="Times New Roman" w:cs="Times New Roman" w:hint="eastAsia"/>
          <w:color w:val="auto"/>
          <w:szCs w:val="18"/>
          <w:lang w:val="en-US"/>
        </w:rPr>
        <w:t>Table 1  Summary of Evidence for Unplanned Discontinuation of CRRT in Critically Ill Patients and Content of Review Criteria</w:t>
      </w:r>
    </w:p>
    <w:tbl>
      <w:tblPr>
        <w:tblStyle w:val="TableGrid"/>
        <w:tblpPr w:leftFromText="180" w:rightFromText="180" w:vertAnchor="text" w:horzAnchor="page" w:tblpX="717" w:tblpY="298"/>
        <w:tblOverlap w:val="never"/>
        <w:tblW w:w="10826"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1662"/>
        <w:gridCol w:w="3874"/>
        <w:gridCol w:w="3700"/>
        <w:gridCol w:w="1590"/>
      </w:tblGrid>
      <w:tr w:rsidR="0061499A" w14:paraId="50F07F0D" w14:textId="77777777" w:rsidTr="00D972BA">
        <w:trPr>
          <w:trHeight w:val="394"/>
        </w:trPr>
        <w:tc>
          <w:tcPr>
            <w:tcW w:w="1662" w:type="dxa"/>
            <w:tcBorders>
              <w:bottom w:val="single" w:sz="4" w:space="0" w:color="000000"/>
            </w:tcBorders>
          </w:tcPr>
          <w:p w14:paraId="25DD9D15" w14:textId="77777777" w:rsidR="0061499A" w:rsidRDefault="0061499A" w:rsidP="00D972BA">
            <w:pPr>
              <w:pStyle w:val="NormalWeb"/>
              <w:widowControl/>
              <w:rPr>
                <w:rFonts w:eastAsia="SimSun"/>
                <w:b/>
                <w:bCs/>
                <w:kern w:val="2"/>
                <w:sz w:val="15"/>
                <w:szCs w:val="15"/>
              </w:rPr>
            </w:pPr>
            <w:r>
              <w:rPr>
                <w:rFonts w:eastAsia="SimSun" w:hint="eastAsia"/>
                <w:b/>
                <w:bCs/>
                <w:kern w:val="2"/>
                <w:sz w:val="15"/>
                <w:szCs w:val="15"/>
              </w:rPr>
              <w:t>Dimension</w:t>
            </w:r>
          </w:p>
        </w:tc>
        <w:tc>
          <w:tcPr>
            <w:tcW w:w="3874" w:type="dxa"/>
            <w:tcBorders>
              <w:bottom w:val="single" w:sz="4" w:space="0" w:color="000000"/>
            </w:tcBorders>
          </w:tcPr>
          <w:p w14:paraId="41E005EC" w14:textId="77777777" w:rsidR="0061499A" w:rsidRDefault="0061499A" w:rsidP="00D972BA">
            <w:pPr>
              <w:pStyle w:val="NormalWeb"/>
              <w:widowControl/>
              <w:ind w:firstLineChars="500" w:firstLine="753"/>
              <w:rPr>
                <w:rFonts w:eastAsia="SimSun"/>
                <w:b/>
                <w:bCs/>
                <w:kern w:val="2"/>
                <w:sz w:val="15"/>
                <w:szCs w:val="15"/>
              </w:rPr>
            </w:pPr>
            <w:r>
              <w:rPr>
                <w:rFonts w:eastAsia="SimSun" w:hint="eastAsia"/>
                <w:b/>
                <w:bCs/>
                <w:kern w:val="2"/>
                <w:sz w:val="15"/>
                <w:szCs w:val="15"/>
              </w:rPr>
              <w:t>Evidence</w:t>
            </w:r>
          </w:p>
        </w:tc>
        <w:tc>
          <w:tcPr>
            <w:tcW w:w="3700" w:type="dxa"/>
            <w:tcBorders>
              <w:bottom w:val="single" w:sz="4" w:space="0" w:color="000000"/>
            </w:tcBorders>
          </w:tcPr>
          <w:p w14:paraId="4A4FF9AA" w14:textId="77777777" w:rsidR="0061499A" w:rsidRDefault="0061499A" w:rsidP="00D972BA">
            <w:pPr>
              <w:pStyle w:val="NormalWeb"/>
              <w:widowControl/>
              <w:rPr>
                <w:rFonts w:eastAsia="SimSun"/>
                <w:b/>
                <w:bCs/>
                <w:kern w:val="2"/>
                <w:sz w:val="15"/>
                <w:szCs w:val="15"/>
              </w:rPr>
            </w:pPr>
            <w:r>
              <w:rPr>
                <w:rFonts w:eastAsia="SimSun" w:hint="eastAsia"/>
                <w:b/>
                <w:bCs/>
                <w:kern w:val="2"/>
                <w:sz w:val="15"/>
                <w:szCs w:val="15"/>
              </w:rPr>
              <w:t>Review Criteria</w:t>
            </w:r>
          </w:p>
        </w:tc>
        <w:tc>
          <w:tcPr>
            <w:tcW w:w="1590" w:type="dxa"/>
            <w:tcBorders>
              <w:bottom w:val="single" w:sz="4" w:space="0" w:color="000000"/>
            </w:tcBorders>
          </w:tcPr>
          <w:p w14:paraId="7929BACF" w14:textId="77777777" w:rsidR="0061499A" w:rsidRDefault="0061499A" w:rsidP="00D972BA">
            <w:pPr>
              <w:pStyle w:val="NormalWeb"/>
              <w:widowControl/>
              <w:rPr>
                <w:rFonts w:eastAsia="SimSun"/>
                <w:b/>
                <w:bCs/>
                <w:sz w:val="21"/>
                <w:szCs w:val="21"/>
              </w:rPr>
            </w:pPr>
            <w:r>
              <w:rPr>
                <w:rFonts w:eastAsia="SimSun" w:hint="eastAsia"/>
                <w:b/>
                <w:bCs/>
                <w:kern w:val="2"/>
                <w:sz w:val="15"/>
                <w:szCs w:val="15"/>
              </w:rPr>
              <w:t>Review Method</w:t>
            </w:r>
          </w:p>
        </w:tc>
      </w:tr>
      <w:tr w:rsidR="0061499A" w14:paraId="73CC8330" w14:textId="77777777" w:rsidTr="00D972BA">
        <w:tc>
          <w:tcPr>
            <w:tcW w:w="1662" w:type="dxa"/>
            <w:vMerge w:val="restart"/>
          </w:tcPr>
          <w:p w14:paraId="3546E646" w14:textId="77777777" w:rsidR="0061499A" w:rsidRDefault="0061499A" w:rsidP="00D972BA">
            <w:pPr>
              <w:pStyle w:val="NormalWeb"/>
              <w:widowControl/>
              <w:rPr>
                <w:rFonts w:eastAsia="SimSun"/>
                <w:b/>
                <w:bCs/>
                <w:kern w:val="2"/>
                <w:sz w:val="15"/>
                <w:szCs w:val="15"/>
              </w:rPr>
            </w:pPr>
          </w:p>
          <w:p w14:paraId="7BFCC904" w14:textId="77777777" w:rsidR="0061499A" w:rsidRDefault="0061499A" w:rsidP="00D972BA">
            <w:pPr>
              <w:pStyle w:val="NormalWeb"/>
              <w:widowControl/>
              <w:rPr>
                <w:rFonts w:eastAsia="SimSun"/>
                <w:b/>
                <w:bCs/>
                <w:kern w:val="2"/>
                <w:sz w:val="15"/>
                <w:szCs w:val="15"/>
              </w:rPr>
            </w:pPr>
          </w:p>
          <w:p w14:paraId="2BB8AA7F" w14:textId="77777777" w:rsidR="0061499A" w:rsidRDefault="0061499A" w:rsidP="00D972BA">
            <w:pPr>
              <w:pStyle w:val="NormalWeb"/>
              <w:widowControl/>
              <w:rPr>
                <w:rFonts w:eastAsia="SimSun"/>
                <w:b/>
                <w:bCs/>
                <w:kern w:val="2"/>
                <w:sz w:val="15"/>
                <w:szCs w:val="15"/>
              </w:rPr>
            </w:pPr>
          </w:p>
          <w:p w14:paraId="66719058" w14:textId="77777777" w:rsidR="0061499A" w:rsidRDefault="0061499A" w:rsidP="00D972BA">
            <w:pPr>
              <w:pStyle w:val="NormalWeb"/>
              <w:widowControl/>
              <w:rPr>
                <w:rFonts w:eastAsia="SimSun"/>
                <w:b/>
                <w:bCs/>
                <w:kern w:val="2"/>
                <w:sz w:val="15"/>
                <w:szCs w:val="15"/>
              </w:rPr>
            </w:pPr>
          </w:p>
          <w:p w14:paraId="2DBB6161" w14:textId="77777777" w:rsidR="0061499A" w:rsidRDefault="0061499A" w:rsidP="00D972BA">
            <w:pPr>
              <w:pStyle w:val="NormalWeb"/>
              <w:widowControl/>
              <w:rPr>
                <w:rFonts w:eastAsia="SimSun"/>
                <w:b/>
                <w:bCs/>
                <w:kern w:val="2"/>
                <w:sz w:val="15"/>
                <w:szCs w:val="15"/>
              </w:rPr>
            </w:pPr>
            <w:r>
              <w:rPr>
                <w:rFonts w:eastAsia="SimSun" w:hint="eastAsia"/>
                <w:b/>
                <w:bCs/>
                <w:kern w:val="2"/>
                <w:sz w:val="15"/>
                <w:szCs w:val="15"/>
              </w:rPr>
              <w:t>Organizational Management</w:t>
            </w:r>
          </w:p>
          <w:p w14:paraId="08937ED0" w14:textId="77777777" w:rsidR="0061499A" w:rsidRDefault="0061499A" w:rsidP="00D972BA">
            <w:pPr>
              <w:spacing w:line="120" w:lineRule="auto"/>
              <w:jc w:val="left"/>
              <w:rPr>
                <w:rFonts w:eastAsia="SimSun"/>
                <w:b/>
                <w:bCs/>
                <w:sz w:val="15"/>
                <w:szCs w:val="15"/>
              </w:rPr>
            </w:pPr>
          </w:p>
        </w:tc>
        <w:tc>
          <w:tcPr>
            <w:tcW w:w="3874" w:type="dxa"/>
          </w:tcPr>
          <w:p w14:paraId="1D74AA5C" w14:textId="77777777" w:rsidR="0061499A" w:rsidRDefault="0061499A" w:rsidP="00D972BA">
            <w:pPr>
              <w:pStyle w:val="NormalWeb"/>
              <w:widowControl/>
              <w:rPr>
                <w:rFonts w:eastAsia="SimSun"/>
                <w:kern w:val="2"/>
                <w:sz w:val="15"/>
                <w:szCs w:val="15"/>
              </w:rPr>
            </w:pPr>
            <w:r>
              <w:rPr>
                <w:rFonts w:eastAsia="SimSun" w:hint="eastAsia"/>
                <w:kern w:val="2"/>
                <w:sz w:val="15"/>
                <w:szCs w:val="15"/>
              </w:rPr>
              <w:t>1. Establish a CRRT quality control system, using the rate of unplanned discontinuation as a quality indicator for continuous improvement.</w:t>
            </w:r>
          </w:p>
        </w:tc>
        <w:tc>
          <w:tcPr>
            <w:tcW w:w="3700" w:type="dxa"/>
          </w:tcPr>
          <w:p w14:paraId="1FB85920" w14:textId="77777777" w:rsidR="0061499A" w:rsidRDefault="0061499A" w:rsidP="00D972BA">
            <w:pPr>
              <w:pStyle w:val="NormalWeb"/>
              <w:widowControl/>
              <w:rPr>
                <w:rFonts w:eastAsia="SimSun"/>
                <w:kern w:val="2"/>
                <w:sz w:val="15"/>
                <w:szCs w:val="15"/>
              </w:rPr>
            </w:pPr>
            <w:r>
              <w:rPr>
                <w:rFonts w:eastAsia="SimSun" w:hint="eastAsia"/>
                <w:kern w:val="2"/>
                <w:sz w:val="15"/>
                <w:szCs w:val="15"/>
              </w:rPr>
              <w:t>1. Establish a CRRT quality control team within the department and designate the rate of unplanned CRRT discontinuation as a quarterly quality control monitoring indicator for the department.</w:t>
            </w:r>
          </w:p>
        </w:tc>
        <w:tc>
          <w:tcPr>
            <w:tcW w:w="1590" w:type="dxa"/>
          </w:tcPr>
          <w:p w14:paraId="7E3FE1F6" w14:textId="77777777" w:rsidR="0061499A" w:rsidRDefault="0061499A" w:rsidP="00D972BA">
            <w:pPr>
              <w:spacing w:line="120" w:lineRule="auto"/>
              <w:jc w:val="left"/>
              <w:rPr>
                <w:rFonts w:eastAsia="SimSun"/>
                <w:sz w:val="13"/>
                <w:szCs w:val="13"/>
              </w:rPr>
            </w:pPr>
            <w:r>
              <w:rPr>
                <w:rFonts w:eastAsia="SimSun" w:hint="eastAsia"/>
                <w:sz w:val="15"/>
                <w:szCs w:val="15"/>
              </w:rPr>
              <w:t>On-site inspection</w:t>
            </w:r>
          </w:p>
        </w:tc>
      </w:tr>
      <w:tr w:rsidR="0061499A" w14:paraId="41D1E2EE" w14:textId="77777777" w:rsidTr="00D972BA">
        <w:tc>
          <w:tcPr>
            <w:tcW w:w="1662" w:type="dxa"/>
            <w:vMerge/>
          </w:tcPr>
          <w:p w14:paraId="07D1CD24" w14:textId="77777777" w:rsidR="0061499A" w:rsidRDefault="0061499A" w:rsidP="00D972BA">
            <w:pPr>
              <w:spacing w:line="120" w:lineRule="auto"/>
              <w:jc w:val="left"/>
              <w:rPr>
                <w:rFonts w:eastAsia="SimSun"/>
                <w:b/>
                <w:bCs/>
                <w:sz w:val="13"/>
                <w:szCs w:val="13"/>
              </w:rPr>
            </w:pPr>
          </w:p>
        </w:tc>
        <w:tc>
          <w:tcPr>
            <w:tcW w:w="3874" w:type="dxa"/>
          </w:tcPr>
          <w:p w14:paraId="16B78591" w14:textId="77777777" w:rsidR="0061499A" w:rsidRDefault="0061499A" w:rsidP="00D972BA">
            <w:pPr>
              <w:spacing w:line="120" w:lineRule="auto"/>
              <w:jc w:val="left"/>
              <w:rPr>
                <w:sz w:val="15"/>
                <w:szCs w:val="15"/>
              </w:rPr>
            </w:pPr>
            <w:r>
              <w:rPr>
                <w:sz w:val="15"/>
                <w:szCs w:val="15"/>
              </w:rPr>
              <w:t>2. Healthcare personnel involved in CRRT must undergo training in anticoagulation management, alarm response procedures, and obtain relevant certifications. Departments should conduct regular assessments and provide refresher training.</w:t>
            </w:r>
          </w:p>
        </w:tc>
        <w:tc>
          <w:tcPr>
            <w:tcW w:w="3700" w:type="dxa"/>
          </w:tcPr>
          <w:p w14:paraId="198BDAF4" w14:textId="77777777" w:rsidR="0061499A" w:rsidRDefault="0061499A" w:rsidP="00D972BA">
            <w:pPr>
              <w:pStyle w:val="NormalWeb"/>
              <w:widowControl/>
              <w:rPr>
                <w:rFonts w:eastAsia="SimSun"/>
                <w:sz w:val="13"/>
                <w:szCs w:val="13"/>
              </w:rPr>
            </w:pPr>
            <w:r>
              <w:rPr>
                <w:kern w:val="2"/>
                <w:sz w:val="15"/>
                <w:szCs w:val="15"/>
              </w:rPr>
              <w:t>2. The departmental CRRT quality control team conducts quarterly training sessions. The hospital critical care team administers qualification assessments for medical personnel performing CRRT. Qualified individuals undergo re-evaluation every two years; only those who pass the assessment are authorized to perform the procedure.</w:t>
            </w:r>
          </w:p>
        </w:tc>
        <w:tc>
          <w:tcPr>
            <w:tcW w:w="1590" w:type="dxa"/>
          </w:tcPr>
          <w:p w14:paraId="255B7CDD" w14:textId="77777777" w:rsidR="0061499A" w:rsidRDefault="0061499A" w:rsidP="00D972BA">
            <w:pPr>
              <w:spacing w:line="120" w:lineRule="auto"/>
              <w:jc w:val="left"/>
              <w:rPr>
                <w:rFonts w:eastAsia="SimSun"/>
                <w:sz w:val="13"/>
                <w:szCs w:val="13"/>
              </w:rPr>
            </w:pPr>
            <w:r>
              <w:rPr>
                <w:rFonts w:eastAsia="SimSun" w:hint="eastAsia"/>
                <w:sz w:val="15"/>
                <w:szCs w:val="15"/>
              </w:rPr>
              <w:t>On-site inspection</w:t>
            </w:r>
          </w:p>
        </w:tc>
      </w:tr>
      <w:tr w:rsidR="0061499A" w14:paraId="2C9E5EF3" w14:textId="77777777" w:rsidTr="00D972BA">
        <w:tc>
          <w:tcPr>
            <w:tcW w:w="1662" w:type="dxa"/>
            <w:vMerge/>
          </w:tcPr>
          <w:p w14:paraId="2BFBAA97" w14:textId="77777777" w:rsidR="0061499A" w:rsidRDefault="0061499A" w:rsidP="00D972BA">
            <w:pPr>
              <w:spacing w:line="120" w:lineRule="auto"/>
              <w:jc w:val="left"/>
              <w:rPr>
                <w:rFonts w:eastAsia="SimSun"/>
                <w:b/>
                <w:bCs/>
                <w:sz w:val="13"/>
                <w:szCs w:val="13"/>
              </w:rPr>
            </w:pPr>
          </w:p>
        </w:tc>
        <w:tc>
          <w:tcPr>
            <w:tcW w:w="3874" w:type="dxa"/>
          </w:tcPr>
          <w:p w14:paraId="70CC2C6F" w14:textId="77777777" w:rsidR="0061499A" w:rsidRDefault="0061499A" w:rsidP="00D972BA">
            <w:pPr>
              <w:pStyle w:val="NormalWeb"/>
              <w:widowControl/>
              <w:rPr>
                <w:kern w:val="2"/>
                <w:sz w:val="15"/>
                <w:szCs w:val="15"/>
              </w:rPr>
            </w:pPr>
            <w:r>
              <w:rPr>
                <w:kern w:val="2"/>
                <w:sz w:val="15"/>
                <w:szCs w:val="15"/>
              </w:rPr>
              <w:t>3. Implement preventative unplanned shutdown verification forms to document the execution of preventative measures.</w:t>
            </w:r>
          </w:p>
        </w:tc>
        <w:tc>
          <w:tcPr>
            <w:tcW w:w="3700" w:type="dxa"/>
            <w:vMerge w:val="restart"/>
          </w:tcPr>
          <w:p w14:paraId="63D18666" w14:textId="77777777" w:rsidR="0061499A" w:rsidRDefault="0061499A" w:rsidP="00D972BA">
            <w:pPr>
              <w:pStyle w:val="NormalWeb"/>
              <w:widowControl/>
              <w:rPr>
                <w:rFonts w:eastAsia="SimSun"/>
                <w:sz w:val="13"/>
                <w:szCs w:val="13"/>
              </w:rPr>
            </w:pPr>
            <w:r>
              <w:rPr>
                <w:kern w:val="2"/>
                <w:sz w:val="15"/>
                <w:szCs w:val="15"/>
              </w:rPr>
              <w:t>3. The department's CRRT quality control team shall prepare corresponding checklists for preventing unplanned discontinuation. One nurse shall monitor 1–2 CRRT patients, with the responsible team leader or research nurse documenting the implementation of preventive measures.</w:t>
            </w:r>
          </w:p>
        </w:tc>
        <w:tc>
          <w:tcPr>
            <w:tcW w:w="1590" w:type="dxa"/>
          </w:tcPr>
          <w:p w14:paraId="781DDC6E" w14:textId="77777777" w:rsidR="0061499A" w:rsidRDefault="0061499A" w:rsidP="00D972BA">
            <w:pPr>
              <w:spacing w:line="120" w:lineRule="auto"/>
              <w:jc w:val="left"/>
              <w:rPr>
                <w:rFonts w:eastAsia="SimSun"/>
                <w:sz w:val="13"/>
                <w:szCs w:val="13"/>
              </w:rPr>
            </w:pPr>
            <w:r>
              <w:rPr>
                <w:rFonts w:eastAsia="SimSun" w:hint="eastAsia"/>
                <w:sz w:val="15"/>
                <w:szCs w:val="15"/>
              </w:rPr>
              <w:t>On-site inspection</w:t>
            </w:r>
          </w:p>
        </w:tc>
      </w:tr>
      <w:tr w:rsidR="0061499A" w14:paraId="2DEB1666" w14:textId="77777777" w:rsidTr="00D972BA">
        <w:trPr>
          <w:trHeight w:val="1328"/>
        </w:trPr>
        <w:tc>
          <w:tcPr>
            <w:tcW w:w="1662" w:type="dxa"/>
            <w:vMerge/>
          </w:tcPr>
          <w:p w14:paraId="52AD54D6" w14:textId="77777777" w:rsidR="0061499A" w:rsidRDefault="0061499A" w:rsidP="00D972BA">
            <w:pPr>
              <w:spacing w:line="120" w:lineRule="auto"/>
              <w:jc w:val="left"/>
              <w:rPr>
                <w:rFonts w:eastAsia="SimSun"/>
                <w:b/>
                <w:bCs/>
                <w:sz w:val="13"/>
                <w:szCs w:val="13"/>
              </w:rPr>
            </w:pPr>
          </w:p>
        </w:tc>
        <w:tc>
          <w:tcPr>
            <w:tcW w:w="3874" w:type="dxa"/>
          </w:tcPr>
          <w:p w14:paraId="5E9C774C" w14:textId="77777777" w:rsidR="0061499A" w:rsidRDefault="0061499A" w:rsidP="00D972BA">
            <w:pPr>
              <w:pStyle w:val="NormalWeb"/>
              <w:widowControl/>
              <w:rPr>
                <w:kern w:val="2"/>
                <w:sz w:val="15"/>
                <w:szCs w:val="15"/>
              </w:rPr>
            </w:pPr>
            <w:r>
              <w:rPr>
                <w:kern w:val="2"/>
                <w:sz w:val="15"/>
                <w:szCs w:val="15"/>
              </w:rPr>
              <w:t>4.1 A maximum of 1 to 2 CRRT patients may be cared for simultaneously by one nurse to ensure the quality of CRRT operation.</w:t>
            </w:r>
          </w:p>
        </w:tc>
        <w:tc>
          <w:tcPr>
            <w:tcW w:w="3700" w:type="dxa"/>
            <w:vMerge/>
          </w:tcPr>
          <w:p w14:paraId="33998B7B" w14:textId="77777777" w:rsidR="0061499A" w:rsidRDefault="0061499A" w:rsidP="00D972BA">
            <w:pPr>
              <w:spacing w:line="120" w:lineRule="auto"/>
              <w:jc w:val="left"/>
              <w:rPr>
                <w:rFonts w:eastAsia="SimSun"/>
                <w:sz w:val="13"/>
                <w:szCs w:val="13"/>
              </w:rPr>
            </w:pPr>
          </w:p>
        </w:tc>
        <w:tc>
          <w:tcPr>
            <w:tcW w:w="1590" w:type="dxa"/>
          </w:tcPr>
          <w:p w14:paraId="2488C49A" w14:textId="77777777" w:rsidR="0061499A" w:rsidRDefault="0061499A" w:rsidP="00D972BA">
            <w:pPr>
              <w:spacing w:line="120" w:lineRule="auto"/>
              <w:jc w:val="left"/>
              <w:rPr>
                <w:rFonts w:eastAsia="SimSun"/>
                <w:sz w:val="13"/>
                <w:szCs w:val="13"/>
              </w:rPr>
            </w:pPr>
          </w:p>
        </w:tc>
      </w:tr>
      <w:tr w:rsidR="0061499A" w14:paraId="4C99497C" w14:textId="77777777" w:rsidTr="00D972BA">
        <w:tc>
          <w:tcPr>
            <w:tcW w:w="1662" w:type="dxa"/>
            <w:vMerge w:val="restart"/>
          </w:tcPr>
          <w:p w14:paraId="2EC7015A" w14:textId="77777777" w:rsidR="0061499A" w:rsidRDefault="0061499A" w:rsidP="00D972BA">
            <w:pPr>
              <w:spacing w:line="120" w:lineRule="auto"/>
              <w:jc w:val="left"/>
              <w:rPr>
                <w:rFonts w:eastAsia="SimSun"/>
                <w:b/>
                <w:bCs/>
                <w:sz w:val="13"/>
                <w:szCs w:val="13"/>
              </w:rPr>
            </w:pPr>
          </w:p>
          <w:p w14:paraId="238B9950" w14:textId="77777777" w:rsidR="0061499A" w:rsidRDefault="0061499A" w:rsidP="00D972BA">
            <w:pPr>
              <w:spacing w:line="120" w:lineRule="auto"/>
              <w:jc w:val="left"/>
              <w:rPr>
                <w:rFonts w:eastAsia="SimSun"/>
                <w:b/>
                <w:bCs/>
                <w:sz w:val="13"/>
                <w:szCs w:val="13"/>
              </w:rPr>
            </w:pPr>
          </w:p>
          <w:p w14:paraId="3D854DB5" w14:textId="77777777" w:rsidR="0061499A" w:rsidRDefault="0061499A" w:rsidP="00D972BA">
            <w:pPr>
              <w:spacing w:line="120" w:lineRule="auto"/>
              <w:jc w:val="left"/>
              <w:rPr>
                <w:rFonts w:eastAsia="SimSun"/>
                <w:b/>
                <w:bCs/>
                <w:sz w:val="13"/>
                <w:szCs w:val="13"/>
              </w:rPr>
            </w:pPr>
          </w:p>
          <w:p w14:paraId="3E02E2B5" w14:textId="77777777" w:rsidR="0061499A" w:rsidRDefault="0061499A" w:rsidP="00D972BA">
            <w:pPr>
              <w:spacing w:line="120" w:lineRule="auto"/>
              <w:jc w:val="left"/>
              <w:rPr>
                <w:rFonts w:eastAsia="SimSun"/>
                <w:b/>
                <w:bCs/>
                <w:sz w:val="13"/>
                <w:szCs w:val="13"/>
              </w:rPr>
            </w:pPr>
          </w:p>
          <w:p w14:paraId="0FC01E50" w14:textId="77777777" w:rsidR="0061499A" w:rsidRDefault="0061499A" w:rsidP="00D972BA">
            <w:pPr>
              <w:spacing w:line="120" w:lineRule="auto"/>
              <w:jc w:val="left"/>
              <w:rPr>
                <w:rFonts w:eastAsia="SimSun"/>
                <w:b/>
                <w:bCs/>
                <w:sz w:val="13"/>
                <w:szCs w:val="13"/>
              </w:rPr>
            </w:pPr>
          </w:p>
          <w:p w14:paraId="58578D65" w14:textId="77777777" w:rsidR="0061499A" w:rsidRDefault="0061499A" w:rsidP="00D972BA">
            <w:pPr>
              <w:spacing w:line="120" w:lineRule="auto"/>
              <w:jc w:val="left"/>
              <w:rPr>
                <w:rFonts w:eastAsia="SimSun"/>
                <w:b/>
                <w:bCs/>
                <w:sz w:val="13"/>
                <w:szCs w:val="13"/>
              </w:rPr>
            </w:pPr>
          </w:p>
          <w:p w14:paraId="31D84D95" w14:textId="77777777" w:rsidR="0061499A" w:rsidRDefault="0061499A" w:rsidP="00D972BA">
            <w:pPr>
              <w:spacing w:line="120" w:lineRule="auto"/>
              <w:jc w:val="left"/>
              <w:rPr>
                <w:rFonts w:eastAsia="SimSun"/>
                <w:b/>
                <w:bCs/>
                <w:sz w:val="13"/>
                <w:szCs w:val="13"/>
              </w:rPr>
            </w:pPr>
          </w:p>
          <w:p w14:paraId="52252A90" w14:textId="77777777" w:rsidR="0061499A" w:rsidRDefault="0061499A" w:rsidP="00D972BA">
            <w:pPr>
              <w:spacing w:line="120" w:lineRule="auto"/>
              <w:jc w:val="left"/>
              <w:rPr>
                <w:rFonts w:eastAsia="SimSun"/>
                <w:b/>
                <w:bCs/>
                <w:sz w:val="13"/>
                <w:szCs w:val="13"/>
              </w:rPr>
            </w:pPr>
          </w:p>
          <w:p w14:paraId="76DEC38E" w14:textId="77777777" w:rsidR="0061499A" w:rsidRDefault="0061499A" w:rsidP="00D972BA">
            <w:pPr>
              <w:spacing w:line="120" w:lineRule="auto"/>
              <w:jc w:val="left"/>
              <w:rPr>
                <w:rFonts w:eastAsia="SimSun"/>
                <w:b/>
                <w:bCs/>
                <w:sz w:val="13"/>
                <w:szCs w:val="13"/>
              </w:rPr>
            </w:pPr>
          </w:p>
          <w:p w14:paraId="5B011858" w14:textId="77777777" w:rsidR="0061499A" w:rsidRDefault="0061499A" w:rsidP="00D972BA">
            <w:pPr>
              <w:spacing w:line="120" w:lineRule="auto"/>
              <w:jc w:val="left"/>
              <w:rPr>
                <w:rFonts w:eastAsia="SimSun"/>
                <w:b/>
                <w:bCs/>
                <w:sz w:val="13"/>
                <w:szCs w:val="13"/>
              </w:rPr>
            </w:pPr>
          </w:p>
          <w:p w14:paraId="540FC840" w14:textId="77777777" w:rsidR="0061499A" w:rsidRDefault="0061499A" w:rsidP="00D972BA">
            <w:pPr>
              <w:spacing w:line="120" w:lineRule="auto"/>
              <w:jc w:val="left"/>
              <w:rPr>
                <w:rFonts w:eastAsia="SimSun"/>
                <w:b/>
                <w:bCs/>
                <w:sz w:val="13"/>
                <w:szCs w:val="13"/>
              </w:rPr>
            </w:pPr>
          </w:p>
          <w:p w14:paraId="7C8228BF" w14:textId="77777777" w:rsidR="0061499A" w:rsidRDefault="0061499A" w:rsidP="00D972BA">
            <w:pPr>
              <w:spacing w:line="120" w:lineRule="auto"/>
              <w:jc w:val="left"/>
              <w:rPr>
                <w:rFonts w:eastAsia="SimSun"/>
                <w:b/>
                <w:bCs/>
                <w:sz w:val="13"/>
                <w:szCs w:val="13"/>
              </w:rPr>
            </w:pPr>
            <w:r>
              <w:rPr>
                <w:rFonts w:eastAsia="SimSun"/>
                <w:b/>
                <w:bCs/>
                <w:sz w:val="13"/>
                <w:szCs w:val="13"/>
              </w:rPr>
              <w:t>Pre-operation management</w:t>
            </w:r>
          </w:p>
        </w:tc>
        <w:tc>
          <w:tcPr>
            <w:tcW w:w="3874" w:type="dxa"/>
          </w:tcPr>
          <w:p w14:paraId="28621E00" w14:textId="77777777" w:rsidR="0061499A" w:rsidRDefault="0061499A" w:rsidP="00D972BA">
            <w:pPr>
              <w:pStyle w:val="NormalWeb"/>
              <w:widowControl/>
              <w:rPr>
                <w:sz w:val="12"/>
                <w:szCs w:val="12"/>
              </w:rPr>
            </w:pPr>
            <w:r>
              <w:rPr>
                <w:rFonts w:hint="eastAsia"/>
                <w:sz w:val="12"/>
                <w:szCs w:val="12"/>
              </w:rPr>
              <w:t>5</w:t>
            </w:r>
            <w:r>
              <w:rPr>
                <w:sz w:val="12"/>
                <w:szCs w:val="12"/>
              </w:rPr>
              <w:t>. Before starting the machine, jointly evaluate the treatment plan with the physician. The CRRT filtration fraction should be maintained between 20% and 25%.</w:t>
            </w:r>
          </w:p>
        </w:tc>
        <w:tc>
          <w:tcPr>
            <w:tcW w:w="3700" w:type="dxa"/>
          </w:tcPr>
          <w:p w14:paraId="5725AE28" w14:textId="77777777" w:rsidR="0061499A" w:rsidRDefault="0061499A" w:rsidP="00D972BA">
            <w:pPr>
              <w:pStyle w:val="NormalWeb"/>
              <w:widowControl/>
              <w:rPr>
                <w:rFonts w:eastAsia="SimSun"/>
                <w:sz w:val="12"/>
                <w:szCs w:val="12"/>
              </w:rPr>
            </w:pPr>
            <w:r>
              <w:rPr>
                <w:sz w:val="12"/>
                <w:szCs w:val="12"/>
              </w:rPr>
              <w:t>4. Medical staff are aware that the order of preference for catheter placement sites is the right internal jugular vein, followed by the femoral vein; then the left internal jugular vein, followed by the subclavian vein. The final placement site is determined in consultation with the attending physician based on the patient's condition.</w:t>
            </w:r>
          </w:p>
        </w:tc>
        <w:tc>
          <w:tcPr>
            <w:tcW w:w="1590" w:type="dxa"/>
          </w:tcPr>
          <w:p w14:paraId="5B970B4C" w14:textId="77777777" w:rsidR="0061499A" w:rsidRDefault="0061499A" w:rsidP="00D972BA">
            <w:pPr>
              <w:spacing w:line="120" w:lineRule="auto"/>
              <w:jc w:val="left"/>
              <w:rPr>
                <w:rFonts w:eastAsia="SimSun"/>
                <w:sz w:val="13"/>
                <w:szCs w:val="13"/>
              </w:rPr>
            </w:pPr>
          </w:p>
        </w:tc>
      </w:tr>
      <w:tr w:rsidR="0061499A" w14:paraId="4E48D931" w14:textId="77777777" w:rsidTr="00D972BA">
        <w:tc>
          <w:tcPr>
            <w:tcW w:w="1662" w:type="dxa"/>
            <w:vMerge/>
          </w:tcPr>
          <w:p w14:paraId="2FA502F3" w14:textId="77777777" w:rsidR="0061499A" w:rsidRDefault="0061499A" w:rsidP="00D972BA">
            <w:pPr>
              <w:spacing w:line="120" w:lineRule="auto"/>
              <w:jc w:val="left"/>
              <w:rPr>
                <w:rFonts w:eastAsia="SimSun"/>
                <w:b/>
                <w:bCs/>
                <w:sz w:val="13"/>
                <w:szCs w:val="13"/>
              </w:rPr>
            </w:pPr>
          </w:p>
        </w:tc>
        <w:tc>
          <w:tcPr>
            <w:tcW w:w="3874" w:type="dxa"/>
          </w:tcPr>
          <w:p w14:paraId="686EE324" w14:textId="77777777" w:rsidR="0061499A" w:rsidRDefault="0061499A" w:rsidP="00D972BA">
            <w:pPr>
              <w:pStyle w:val="NormalWeb"/>
              <w:widowControl/>
              <w:rPr>
                <w:sz w:val="12"/>
                <w:szCs w:val="12"/>
              </w:rPr>
            </w:pPr>
            <w:r>
              <w:rPr>
                <w:rFonts w:hint="eastAsia"/>
                <w:sz w:val="12"/>
                <w:szCs w:val="12"/>
              </w:rPr>
              <w:t>6</w:t>
            </w:r>
            <w:r>
              <w:rPr>
                <w:sz w:val="12"/>
                <w:szCs w:val="12"/>
              </w:rPr>
              <w:t>. The sequence for selecting catheter placement sites is: right internal jugular vein, femoral vein; left internal jugular vein, subclavian vein.</w:t>
            </w:r>
          </w:p>
        </w:tc>
        <w:tc>
          <w:tcPr>
            <w:tcW w:w="3700" w:type="dxa"/>
          </w:tcPr>
          <w:p w14:paraId="010CC522" w14:textId="77777777" w:rsidR="0061499A" w:rsidRDefault="0061499A" w:rsidP="00D972BA">
            <w:pPr>
              <w:spacing w:line="120" w:lineRule="auto"/>
              <w:jc w:val="left"/>
              <w:rPr>
                <w:rFonts w:eastAsia="SimSun"/>
                <w:sz w:val="12"/>
                <w:szCs w:val="12"/>
              </w:rPr>
            </w:pPr>
          </w:p>
        </w:tc>
        <w:tc>
          <w:tcPr>
            <w:tcW w:w="1590" w:type="dxa"/>
          </w:tcPr>
          <w:p w14:paraId="61F34FCA" w14:textId="77777777" w:rsidR="0061499A" w:rsidRDefault="0061499A" w:rsidP="00D972BA">
            <w:pPr>
              <w:spacing w:line="120" w:lineRule="auto"/>
              <w:jc w:val="left"/>
              <w:rPr>
                <w:rFonts w:eastAsia="SimSun"/>
                <w:sz w:val="13"/>
                <w:szCs w:val="13"/>
              </w:rPr>
            </w:pPr>
          </w:p>
        </w:tc>
      </w:tr>
      <w:tr w:rsidR="0061499A" w14:paraId="702D7587" w14:textId="77777777" w:rsidTr="00D972BA">
        <w:tc>
          <w:tcPr>
            <w:tcW w:w="1662" w:type="dxa"/>
            <w:vMerge/>
          </w:tcPr>
          <w:p w14:paraId="5BC105D0" w14:textId="77777777" w:rsidR="0061499A" w:rsidRDefault="0061499A" w:rsidP="00D972BA">
            <w:pPr>
              <w:spacing w:line="120" w:lineRule="auto"/>
              <w:jc w:val="left"/>
              <w:rPr>
                <w:rFonts w:eastAsia="SimSun"/>
                <w:b/>
                <w:bCs/>
                <w:sz w:val="13"/>
                <w:szCs w:val="13"/>
              </w:rPr>
            </w:pPr>
          </w:p>
        </w:tc>
        <w:tc>
          <w:tcPr>
            <w:tcW w:w="3874" w:type="dxa"/>
          </w:tcPr>
          <w:p w14:paraId="1708F4AD" w14:textId="77777777" w:rsidR="0061499A" w:rsidRDefault="0061499A" w:rsidP="00D972BA">
            <w:pPr>
              <w:pStyle w:val="NormalWeb"/>
              <w:widowControl/>
              <w:rPr>
                <w:sz w:val="15"/>
                <w:szCs w:val="15"/>
              </w:rPr>
            </w:pPr>
            <w:r>
              <w:rPr>
                <w:sz w:val="12"/>
                <w:szCs w:val="12"/>
              </w:rPr>
              <w:t>Under ultrasound guidance, the catheter is placed to minimize vascular injury; imaging studies are used to confirm the tip location of the internal jugular vein catheter in the right atrium and the tip location of the femoral vein catheter in the common iliac artery.</w:t>
            </w:r>
          </w:p>
        </w:tc>
        <w:tc>
          <w:tcPr>
            <w:tcW w:w="3700" w:type="dxa"/>
          </w:tcPr>
          <w:p w14:paraId="4D9F4AD7" w14:textId="77777777" w:rsidR="0061499A" w:rsidRDefault="0061499A" w:rsidP="00D972BA">
            <w:pPr>
              <w:spacing w:line="120" w:lineRule="auto"/>
              <w:jc w:val="left"/>
              <w:rPr>
                <w:rFonts w:eastAsia="SimSun"/>
                <w:sz w:val="13"/>
                <w:szCs w:val="13"/>
              </w:rPr>
            </w:pPr>
          </w:p>
        </w:tc>
        <w:tc>
          <w:tcPr>
            <w:tcW w:w="1590" w:type="dxa"/>
          </w:tcPr>
          <w:p w14:paraId="73070A92" w14:textId="77777777" w:rsidR="0061499A" w:rsidRDefault="0061499A" w:rsidP="00D972BA">
            <w:pPr>
              <w:spacing w:line="120" w:lineRule="auto"/>
              <w:jc w:val="left"/>
              <w:rPr>
                <w:rFonts w:eastAsia="SimSun"/>
                <w:sz w:val="13"/>
                <w:szCs w:val="13"/>
              </w:rPr>
            </w:pPr>
          </w:p>
        </w:tc>
      </w:tr>
      <w:tr w:rsidR="0061499A" w14:paraId="3CE8B467" w14:textId="77777777" w:rsidTr="00D972BA">
        <w:tc>
          <w:tcPr>
            <w:tcW w:w="1662" w:type="dxa"/>
            <w:vMerge/>
          </w:tcPr>
          <w:p w14:paraId="1B02AADD" w14:textId="77777777" w:rsidR="0061499A" w:rsidRDefault="0061499A" w:rsidP="00D972BA">
            <w:pPr>
              <w:spacing w:line="120" w:lineRule="auto"/>
              <w:jc w:val="left"/>
              <w:rPr>
                <w:rFonts w:eastAsia="SimSun"/>
                <w:b/>
                <w:bCs/>
                <w:sz w:val="13"/>
                <w:szCs w:val="13"/>
              </w:rPr>
            </w:pPr>
          </w:p>
        </w:tc>
        <w:tc>
          <w:tcPr>
            <w:tcW w:w="3874" w:type="dxa"/>
          </w:tcPr>
          <w:p w14:paraId="5061ACA3" w14:textId="77777777" w:rsidR="0061499A" w:rsidRDefault="0061499A" w:rsidP="00D972BA">
            <w:pPr>
              <w:pStyle w:val="NormalWeb"/>
              <w:widowControl/>
              <w:rPr>
                <w:sz w:val="15"/>
                <w:szCs w:val="15"/>
              </w:rPr>
            </w:pPr>
            <w:r>
              <w:rPr>
                <w:rFonts w:hint="eastAsia"/>
                <w:sz w:val="12"/>
                <w:szCs w:val="12"/>
              </w:rPr>
              <w:t>7</w:t>
            </w:r>
            <w:r>
              <w:rPr>
                <w:sz w:val="12"/>
                <w:szCs w:val="12"/>
              </w:rPr>
              <w:t>.Preferably select temporary CRRT catheters without tunnels or polyester sheaths. Opt for polyurethane or polyethylene materials. For temporary CRRT catheters longer than 20 cm, prioritize synthetic membrane materials with good biocompatibility. Avoid selecting filters with a high number of hollow fibers or shorter lengths.</w:t>
            </w:r>
          </w:p>
        </w:tc>
        <w:tc>
          <w:tcPr>
            <w:tcW w:w="3700" w:type="dxa"/>
            <w:vMerge w:val="restart"/>
          </w:tcPr>
          <w:p w14:paraId="4E28C693" w14:textId="77777777" w:rsidR="0061499A" w:rsidRDefault="0061499A" w:rsidP="00D972BA">
            <w:pPr>
              <w:pStyle w:val="NormalWeb"/>
              <w:widowControl/>
              <w:rPr>
                <w:sz w:val="12"/>
                <w:szCs w:val="12"/>
              </w:rPr>
            </w:pPr>
            <w:r>
              <w:rPr>
                <w:sz w:val="12"/>
                <w:szCs w:val="12"/>
              </w:rPr>
              <w:t>5. All CRRT catheters used in the department shall be made of polyurethane material without tunnels or polyester sheaths, with lengths meeting requirements, and shall be equipped with highly biocompatible filters.</w:t>
            </w:r>
          </w:p>
          <w:p w14:paraId="0D56DBAF" w14:textId="77777777" w:rsidR="0061499A" w:rsidRDefault="0061499A" w:rsidP="00D972BA">
            <w:pPr>
              <w:spacing w:line="120" w:lineRule="auto"/>
              <w:jc w:val="left"/>
              <w:rPr>
                <w:rFonts w:eastAsia="SimSun"/>
                <w:sz w:val="13"/>
                <w:szCs w:val="13"/>
              </w:rPr>
            </w:pPr>
          </w:p>
        </w:tc>
        <w:tc>
          <w:tcPr>
            <w:tcW w:w="1590" w:type="dxa"/>
          </w:tcPr>
          <w:p w14:paraId="583679BA" w14:textId="77777777" w:rsidR="0061499A" w:rsidRDefault="0061499A" w:rsidP="00D972BA">
            <w:pPr>
              <w:spacing w:line="120" w:lineRule="auto"/>
              <w:jc w:val="left"/>
              <w:rPr>
                <w:rFonts w:eastAsia="SimSun"/>
                <w:sz w:val="13"/>
                <w:szCs w:val="13"/>
              </w:rPr>
            </w:pPr>
          </w:p>
        </w:tc>
      </w:tr>
      <w:tr w:rsidR="0061499A" w14:paraId="752D70B9" w14:textId="77777777" w:rsidTr="00D972BA">
        <w:tc>
          <w:tcPr>
            <w:tcW w:w="1662" w:type="dxa"/>
            <w:vMerge/>
          </w:tcPr>
          <w:p w14:paraId="465DB978" w14:textId="77777777" w:rsidR="0061499A" w:rsidRDefault="0061499A" w:rsidP="00D972BA">
            <w:pPr>
              <w:spacing w:line="120" w:lineRule="auto"/>
              <w:jc w:val="left"/>
              <w:rPr>
                <w:rFonts w:eastAsia="SimSun"/>
                <w:b/>
                <w:bCs/>
                <w:sz w:val="13"/>
                <w:szCs w:val="13"/>
              </w:rPr>
            </w:pPr>
          </w:p>
        </w:tc>
        <w:tc>
          <w:tcPr>
            <w:tcW w:w="3874" w:type="dxa"/>
          </w:tcPr>
          <w:p w14:paraId="14A11992" w14:textId="77777777" w:rsidR="0061499A" w:rsidRDefault="0061499A" w:rsidP="00D972BA">
            <w:pPr>
              <w:spacing w:line="120" w:lineRule="auto"/>
              <w:jc w:val="left"/>
              <w:rPr>
                <w:sz w:val="15"/>
                <w:szCs w:val="15"/>
              </w:rPr>
            </w:pPr>
          </w:p>
        </w:tc>
        <w:tc>
          <w:tcPr>
            <w:tcW w:w="3700" w:type="dxa"/>
            <w:vMerge/>
          </w:tcPr>
          <w:p w14:paraId="035EBBE0" w14:textId="77777777" w:rsidR="0061499A" w:rsidRDefault="0061499A" w:rsidP="00D972BA">
            <w:pPr>
              <w:spacing w:line="120" w:lineRule="auto"/>
              <w:jc w:val="left"/>
              <w:rPr>
                <w:rFonts w:eastAsia="SimSun"/>
                <w:sz w:val="13"/>
                <w:szCs w:val="13"/>
              </w:rPr>
            </w:pPr>
          </w:p>
        </w:tc>
        <w:tc>
          <w:tcPr>
            <w:tcW w:w="1590" w:type="dxa"/>
          </w:tcPr>
          <w:p w14:paraId="645A3EF0" w14:textId="77777777" w:rsidR="0061499A" w:rsidRDefault="0061499A" w:rsidP="00D972BA">
            <w:pPr>
              <w:spacing w:line="120" w:lineRule="auto"/>
              <w:jc w:val="left"/>
              <w:rPr>
                <w:rFonts w:eastAsia="SimSun"/>
                <w:sz w:val="13"/>
                <w:szCs w:val="13"/>
              </w:rPr>
            </w:pPr>
          </w:p>
        </w:tc>
      </w:tr>
      <w:tr w:rsidR="0061499A" w14:paraId="0497097E" w14:textId="77777777" w:rsidTr="00D972BA">
        <w:tc>
          <w:tcPr>
            <w:tcW w:w="1662" w:type="dxa"/>
            <w:vMerge/>
          </w:tcPr>
          <w:p w14:paraId="6B4A6CDB" w14:textId="77777777" w:rsidR="0061499A" w:rsidRDefault="0061499A" w:rsidP="00D972BA">
            <w:pPr>
              <w:spacing w:line="120" w:lineRule="auto"/>
              <w:jc w:val="left"/>
              <w:rPr>
                <w:rFonts w:eastAsia="SimSun"/>
                <w:b/>
                <w:bCs/>
                <w:sz w:val="13"/>
                <w:szCs w:val="13"/>
              </w:rPr>
            </w:pPr>
          </w:p>
        </w:tc>
        <w:tc>
          <w:tcPr>
            <w:tcW w:w="3874" w:type="dxa"/>
          </w:tcPr>
          <w:p w14:paraId="213EECF2" w14:textId="77777777" w:rsidR="0061499A" w:rsidRDefault="0061499A" w:rsidP="00D972BA">
            <w:pPr>
              <w:pStyle w:val="NormalWeb"/>
              <w:widowControl/>
              <w:rPr>
                <w:sz w:val="12"/>
                <w:szCs w:val="12"/>
              </w:rPr>
            </w:pPr>
            <w:r>
              <w:rPr>
                <w:sz w:val="12"/>
                <w:szCs w:val="12"/>
              </w:rPr>
              <w:t>8. Opt for synthetic membrane materials with superior biocompatibility, avoiding filters with a high number of short hollow fibers.</w:t>
            </w:r>
          </w:p>
        </w:tc>
        <w:tc>
          <w:tcPr>
            <w:tcW w:w="3700" w:type="dxa"/>
            <w:vMerge/>
          </w:tcPr>
          <w:p w14:paraId="0614BC3C" w14:textId="77777777" w:rsidR="0061499A" w:rsidRDefault="0061499A" w:rsidP="00D972BA">
            <w:pPr>
              <w:spacing w:line="120" w:lineRule="auto"/>
              <w:jc w:val="left"/>
              <w:rPr>
                <w:rFonts w:eastAsia="SimSun"/>
                <w:sz w:val="13"/>
                <w:szCs w:val="13"/>
              </w:rPr>
            </w:pPr>
          </w:p>
        </w:tc>
        <w:tc>
          <w:tcPr>
            <w:tcW w:w="1590" w:type="dxa"/>
          </w:tcPr>
          <w:p w14:paraId="648605BD" w14:textId="77777777" w:rsidR="0061499A" w:rsidRDefault="0061499A" w:rsidP="00D972BA">
            <w:pPr>
              <w:spacing w:line="120" w:lineRule="auto"/>
              <w:jc w:val="left"/>
              <w:rPr>
                <w:rFonts w:eastAsia="SimSun"/>
                <w:sz w:val="13"/>
                <w:szCs w:val="13"/>
              </w:rPr>
            </w:pPr>
          </w:p>
        </w:tc>
      </w:tr>
      <w:tr w:rsidR="0061499A" w14:paraId="0C38758A" w14:textId="77777777" w:rsidTr="00D972BA">
        <w:tc>
          <w:tcPr>
            <w:tcW w:w="1662" w:type="dxa"/>
            <w:vMerge/>
          </w:tcPr>
          <w:p w14:paraId="3153D47B" w14:textId="77777777" w:rsidR="0061499A" w:rsidRDefault="0061499A" w:rsidP="00D972BA">
            <w:pPr>
              <w:spacing w:line="120" w:lineRule="auto"/>
              <w:jc w:val="left"/>
              <w:rPr>
                <w:rFonts w:eastAsia="SimSun"/>
                <w:b/>
                <w:bCs/>
                <w:sz w:val="13"/>
                <w:szCs w:val="13"/>
              </w:rPr>
            </w:pPr>
          </w:p>
        </w:tc>
        <w:tc>
          <w:tcPr>
            <w:tcW w:w="3874" w:type="dxa"/>
          </w:tcPr>
          <w:p w14:paraId="780B44E0" w14:textId="77777777" w:rsidR="0061499A" w:rsidRDefault="0061499A" w:rsidP="00D972BA">
            <w:pPr>
              <w:pStyle w:val="NormalWeb"/>
              <w:widowControl/>
              <w:rPr>
                <w:sz w:val="12"/>
                <w:szCs w:val="12"/>
              </w:rPr>
            </w:pPr>
            <w:r>
              <w:rPr>
                <w:rFonts w:hint="eastAsia"/>
                <w:sz w:val="12"/>
                <w:szCs w:val="12"/>
              </w:rPr>
              <w:t>10. Assess CRRT catheter functionality prior to machine operation to ensure blood flow rate reaches 200–250 ml/min.</w:t>
            </w:r>
          </w:p>
        </w:tc>
        <w:tc>
          <w:tcPr>
            <w:tcW w:w="3700" w:type="dxa"/>
          </w:tcPr>
          <w:p w14:paraId="635E4F8A" w14:textId="77777777" w:rsidR="0061499A" w:rsidRDefault="0061499A" w:rsidP="00D972BA">
            <w:pPr>
              <w:pStyle w:val="NormalWeb"/>
              <w:widowControl/>
              <w:rPr>
                <w:kern w:val="2"/>
                <w:sz w:val="15"/>
                <w:szCs w:val="15"/>
              </w:rPr>
            </w:pPr>
            <w:r>
              <w:rPr>
                <w:kern w:val="2"/>
                <w:sz w:val="15"/>
                <w:szCs w:val="15"/>
              </w:rPr>
              <w:t>6. Healthcare providers must assess CRRT catheter functionality before initiating treatment; a dual assessment is required when necessary.</w:t>
            </w:r>
          </w:p>
        </w:tc>
        <w:tc>
          <w:tcPr>
            <w:tcW w:w="1590" w:type="dxa"/>
          </w:tcPr>
          <w:p w14:paraId="341E5F3D" w14:textId="77777777" w:rsidR="0061499A" w:rsidRDefault="0061499A" w:rsidP="00D972BA">
            <w:pPr>
              <w:spacing w:line="120" w:lineRule="auto"/>
              <w:jc w:val="left"/>
              <w:rPr>
                <w:rFonts w:eastAsia="SimSun"/>
                <w:sz w:val="13"/>
                <w:szCs w:val="13"/>
              </w:rPr>
            </w:pPr>
            <w:r>
              <w:rPr>
                <w:rFonts w:eastAsia="SimSun" w:hint="eastAsia"/>
                <w:sz w:val="15"/>
                <w:szCs w:val="15"/>
              </w:rPr>
              <w:t>On-site inspection or inquiry</w:t>
            </w:r>
          </w:p>
        </w:tc>
      </w:tr>
      <w:tr w:rsidR="0061499A" w14:paraId="154C4531" w14:textId="77777777" w:rsidTr="00D972BA">
        <w:tc>
          <w:tcPr>
            <w:tcW w:w="1662" w:type="dxa"/>
            <w:vMerge/>
          </w:tcPr>
          <w:p w14:paraId="6D01E275" w14:textId="77777777" w:rsidR="0061499A" w:rsidRDefault="0061499A" w:rsidP="00D972BA">
            <w:pPr>
              <w:spacing w:line="120" w:lineRule="auto"/>
              <w:jc w:val="left"/>
              <w:rPr>
                <w:rFonts w:eastAsia="SimSun"/>
                <w:b/>
                <w:bCs/>
                <w:sz w:val="13"/>
                <w:szCs w:val="13"/>
              </w:rPr>
            </w:pPr>
          </w:p>
        </w:tc>
        <w:tc>
          <w:tcPr>
            <w:tcW w:w="3874" w:type="dxa"/>
          </w:tcPr>
          <w:p w14:paraId="7C598C99" w14:textId="77777777" w:rsidR="0061499A" w:rsidRDefault="0061499A" w:rsidP="00D972BA">
            <w:pPr>
              <w:spacing w:line="120" w:lineRule="auto"/>
              <w:jc w:val="left"/>
              <w:rPr>
                <w:sz w:val="15"/>
                <w:szCs w:val="15"/>
              </w:rPr>
            </w:pPr>
            <w:r>
              <w:rPr>
                <w:sz w:val="15"/>
                <w:szCs w:val="15"/>
              </w:rPr>
              <w:t>12. For patients without bleeding risk and no contraindications to heparin, choose 500 U/dL heparin saline for pre-filling and maintain perfusion for 20 minutes, followed by administration of normal saline for pre-filling.</w:t>
            </w:r>
          </w:p>
        </w:tc>
        <w:tc>
          <w:tcPr>
            <w:tcW w:w="3700" w:type="dxa"/>
            <w:vMerge w:val="restart"/>
          </w:tcPr>
          <w:p w14:paraId="1273D194" w14:textId="77777777" w:rsidR="0061499A" w:rsidRDefault="0061499A" w:rsidP="00D972BA">
            <w:pPr>
              <w:pStyle w:val="NormalWeb"/>
              <w:widowControl/>
              <w:rPr>
                <w:kern w:val="2"/>
                <w:sz w:val="15"/>
                <w:szCs w:val="15"/>
              </w:rPr>
            </w:pPr>
            <w:r>
              <w:rPr>
                <w:kern w:val="2"/>
                <w:sz w:val="15"/>
                <w:szCs w:val="15"/>
              </w:rPr>
              <w:t>7. Nurses and attending physicians jointly assess patients for bleeding risk and contraindications to heparin therapy, implementing the corresponding pre-loading regimen.</w:t>
            </w:r>
          </w:p>
        </w:tc>
        <w:tc>
          <w:tcPr>
            <w:tcW w:w="1590" w:type="dxa"/>
          </w:tcPr>
          <w:p w14:paraId="003BE852" w14:textId="77777777" w:rsidR="0061499A" w:rsidRDefault="0061499A" w:rsidP="00D972BA">
            <w:pPr>
              <w:spacing w:line="120" w:lineRule="auto"/>
              <w:jc w:val="left"/>
              <w:rPr>
                <w:rFonts w:eastAsia="SimSun"/>
                <w:sz w:val="13"/>
                <w:szCs w:val="13"/>
              </w:rPr>
            </w:pPr>
            <w:r>
              <w:rPr>
                <w:rFonts w:eastAsia="SimSun" w:hint="eastAsia"/>
                <w:sz w:val="15"/>
                <w:szCs w:val="15"/>
              </w:rPr>
              <w:t>On-site inspection or inquiry</w:t>
            </w:r>
          </w:p>
        </w:tc>
      </w:tr>
      <w:tr w:rsidR="0061499A" w14:paraId="1BA26F68" w14:textId="77777777" w:rsidTr="00D972BA">
        <w:tc>
          <w:tcPr>
            <w:tcW w:w="1662" w:type="dxa"/>
            <w:vMerge/>
          </w:tcPr>
          <w:p w14:paraId="2A073382" w14:textId="77777777" w:rsidR="0061499A" w:rsidRDefault="0061499A" w:rsidP="00D972BA">
            <w:pPr>
              <w:spacing w:line="120" w:lineRule="auto"/>
              <w:jc w:val="left"/>
              <w:rPr>
                <w:rFonts w:eastAsia="SimSun"/>
                <w:b/>
                <w:bCs/>
                <w:sz w:val="13"/>
                <w:szCs w:val="13"/>
              </w:rPr>
            </w:pPr>
          </w:p>
        </w:tc>
        <w:tc>
          <w:tcPr>
            <w:tcW w:w="3874" w:type="dxa"/>
          </w:tcPr>
          <w:p w14:paraId="714FC7BD" w14:textId="77777777" w:rsidR="0061499A" w:rsidRDefault="0061499A" w:rsidP="00D972BA">
            <w:pPr>
              <w:pStyle w:val="NormalWeb"/>
              <w:widowControl/>
              <w:rPr>
                <w:sz w:val="12"/>
                <w:szCs w:val="12"/>
              </w:rPr>
            </w:pPr>
            <w:r>
              <w:rPr>
                <w:sz w:val="12"/>
                <w:szCs w:val="12"/>
              </w:rPr>
              <w:t>13. For patients at risk of bleeding or with contraindications to heparin, pre-fill the circuit with saline solution only.</w:t>
            </w:r>
          </w:p>
        </w:tc>
        <w:tc>
          <w:tcPr>
            <w:tcW w:w="3700" w:type="dxa"/>
            <w:vMerge/>
          </w:tcPr>
          <w:p w14:paraId="1CAE94F3" w14:textId="77777777" w:rsidR="0061499A" w:rsidRDefault="0061499A" w:rsidP="00D972BA">
            <w:pPr>
              <w:spacing w:line="120" w:lineRule="auto"/>
              <w:jc w:val="left"/>
              <w:rPr>
                <w:sz w:val="15"/>
                <w:szCs w:val="15"/>
              </w:rPr>
            </w:pPr>
          </w:p>
        </w:tc>
        <w:tc>
          <w:tcPr>
            <w:tcW w:w="1590" w:type="dxa"/>
          </w:tcPr>
          <w:p w14:paraId="7094E858" w14:textId="77777777" w:rsidR="0061499A" w:rsidRDefault="0061499A" w:rsidP="00D972BA">
            <w:pPr>
              <w:spacing w:line="120" w:lineRule="auto"/>
              <w:jc w:val="left"/>
              <w:rPr>
                <w:rFonts w:eastAsia="SimSun"/>
                <w:sz w:val="13"/>
                <w:szCs w:val="13"/>
              </w:rPr>
            </w:pPr>
          </w:p>
        </w:tc>
      </w:tr>
      <w:tr w:rsidR="0061499A" w14:paraId="1372A06D" w14:textId="77777777" w:rsidTr="00D972BA">
        <w:tc>
          <w:tcPr>
            <w:tcW w:w="1662" w:type="dxa"/>
            <w:vMerge/>
          </w:tcPr>
          <w:p w14:paraId="4198B0F0" w14:textId="77777777" w:rsidR="0061499A" w:rsidRDefault="0061499A" w:rsidP="00D972BA">
            <w:pPr>
              <w:spacing w:line="120" w:lineRule="auto"/>
              <w:jc w:val="left"/>
              <w:rPr>
                <w:rFonts w:eastAsia="SimSun"/>
                <w:b/>
                <w:bCs/>
                <w:sz w:val="13"/>
                <w:szCs w:val="13"/>
              </w:rPr>
            </w:pPr>
          </w:p>
        </w:tc>
        <w:tc>
          <w:tcPr>
            <w:tcW w:w="3874" w:type="dxa"/>
          </w:tcPr>
          <w:p w14:paraId="19C8BDF5" w14:textId="77777777" w:rsidR="0061499A" w:rsidRDefault="0061499A" w:rsidP="00D972BA">
            <w:pPr>
              <w:pStyle w:val="NormalWeb"/>
              <w:widowControl/>
              <w:rPr>
                <w:sz w:val="12"/>
                <w:szCs w:val="12"/>
              </w:rPr>
            </w:pPr>
            <w:r>
              <w:rPr>
                <w:sz w:val="12"/>
                <w:szCs w:val="12"/>
              </w:rPr>
              <w:t>14. Before connecting the circuit loop to the CRRT catheter, ensure all sections of the circuit are securely connected to prevent air bubble alarms.</w:t>
            </w:r>
          </w:p>
        </w:tc>
        <w:tc>
          <w:tcPr>
            <w:tcW w:w="3700" w:type="dxa"/>
          </w:tcPr>
          <w:p w14:paraId="452C2084" w14:textId="77777777" w:rsidR="0061499A" w:rsidRDefault="0061499A" w:rsidP="00D972BA">
            <w:pPr>
              <w:pStyle w:val="NormalWeb"/>
              <w:widowControl/>
              <w:rPr>
                <w:kern w:val="2"/>
                <w:sz w:val="15"/>
                <w:szCs w:val="15"/>
              </w:rPr>
            </w:pPr>
            <w:r>
              <w:rPr>
                <w:kern w:val="2"/>
                <w:sz w:val="15"/>
                <w:szCs w:val="15"/>
              </w:rPr>
              <w:t>8. Before starting the machine, two people must verify that all circuit connections are secure to prevent “bubble alarms.”</w:t>
            </w:r>
          </w:p>
        </w:tc>
        <w:tc>
          <w:tcPr>
            <w:tcW w:w="1590" w:type="dxa"/>
          </w:tcPr>
          <w:p w14:paraId="48E850DA" w14:textId="77777777" w:rsidR="0061499A" w:rsidRDefault="0061499A" w:rsidP="00D972BA">
            <w:pPr>
              <w:spacing w:line="120" w:lineRule="auto"/>
              <w:jc w:val="left"/>
              <w:rPr>
                <w:rFonts w:eastAsia="SimSun"/>
                <w:sz w:val="13"/>
                <w:szCs w:val="13"/>
              </w:rPr>
            </w:pPr>
          </w:p>
        </w:tc>
      </w:tr>
      <w:tr w:rsidR="0061499A" w14:paraId="15B84432" w14:textId="77777777" w:rsidTr="00D972BA">
        <w:tc>
          <w:tcPr>
            <w:tcW w:w="1662" w:type="dxa"/>
          </w:tcPr>
          <w:p w14:paraId="2F813849" w14:textId="77777777" w:rsidR="0061499A" w:rsidRDefault="0061499A" w:rsidP="00D972BA">
            <w:pPr>
              <w:spacing w:line="120" w:lineRule="auto"/>
              <w:jc w:val="left"/>
              <w:rPr>
                <w:rFonts w:eastAsia="SimSun"/>
                <w:b/>
                <w:bCs/>
                <w:sz w:val="13"/>
                <w:szCs w:val="13"/>
              </w:rPr>
            </w:pPr>
            <w:r>
              <w:rPr>
                <w:rFonts w:eastAsia="SimSun"/>
                <w:b/>
                <w:bCs/>
                <w:sz w:val="13"/>
                <w:szCs w:val="13"/>
              </w:rPr>
              <w:t>Operations Management</w:t>
            </w:r>
          </w:p>
        </w:tc>
        <w:tc>
          <w:tcPr>
            <w:tcW w:w="3874" w:type="dxa"/>
          </w:tcPr>
          <w:p w14:paraId="0B591553" w14:textId="77777777" w:rsidR="0061499A" w:rsidRDefault="0061499A" w:rsidP="00D972BA">
            <w:pPr>
              <w:pStyle w:val="NormalWeb"/>
              <w:widowControl/>
              <w:rPr>
                <w:sz w:val="12"/>
                <w:szCs w:val="12"/>
              </w:rPr>
            </w:pPr>
            <w:r>
              <w:rPr>
                <w:sz w:val="12"/>
                <w:szCs w:val="12"/>
              </w:rPr>
              <w:t>15. Ultrafiltration output should be set according to the principle of “spending within means,” reassessed every 1 to 2 hours, and evaluated at any time as necessary.</w:t>
            </w:r>
          </w:p>
        </w:tc>
        <w:tc>
          <w:tcPr>
            <w:tcW w:w="3700" w:type="dxa"/>
          </w:tcPr>
          <w:p w14:paraId="7393CB98" w14:textId="77777777" w:rsidR="0061499A" w:rsidRDefault="0061499A" w:rsidP="00D972BA">
            <w:pPr>
              <w:pStyle w:val="NormalWeb"/>
              <w:widowControl/>
              <w:rPr>
                <w:rFonts w:eastAsia="SimSun"/>
                <w:sz w:val="12"/>
                <w:szCs w:val="12"/>
              </w:rPr>
            </w:pPr>
            <w:r>
              <w:rPr>
                <w:sz w:val="12"/>
                <w:szCs w:val="12"/>
              </w:rPr>
              <w:t>9. Healthcare providers understand that ultrafiltration volume should be set based on the patient's condition according to the principle of “balancing intake and output.” Reassess every 1 to 2 hours, or more frequently as needed, and record the patient's ultrafiltration volume hourly.</w:t>
            </w:r>
          </w:p>
        </w:tc>
        <w:tc>
          <w:tcPr>
            <w:tcW w:w="1590" w:type="dxa"/>
          </w:tcPr>
          <w:p w14:paraId="07F67A23" w14:textId="77777777" w:rsidR="0061499A" w:rsidRDefault="0061499A" w:rsidP="00D972BA">
            <w:pPr>
              <w:spacing w:line="120" w:lineRule="auto"/>
              <w:jc w:val="left"/>
              <w:rPr>
                <w:rFonts w:eastAsia="SimSun"/>
                <w:sz w:val="13"/>
                <w:szCs w:val="13"/>
              </w:rPr>
            </w:pPr>
            <w:r>
              <w:rPr>
                <w:rFonts w:eastAsia="SimSun" w:hint="eastAsia"/>
                <w:sz w:val="15"/>
                <w:szCs w:val="15"/>
              </w:rPr>
              <w:t>On-site inspection or inquiry</w:t>
            </w:r>
          </w:p>
        </w:tc>
      </w:tr>
      <w:tr w:rsidR="0061499A" w14:paraId="1555125F" w14:textId="77777777" w:rsidTr="00D972BA">
        <w:tc>
          <w:tcPr>
            <w:tcW w:w="1662" w:type="dxa"/>
          </w:tcPr>
          <w:p w14:paraId="591CDD79" w14:textId="77777777" w:rsidR="0061499A" w:rsidRDefault="0061499A" w:rsidP="00D972BA">
            <w:pPr>
              <w:spacing w:line="120" w:lineRule="auto"/>
              <w:jc w:val="left"/>
              <w:rPr>
                <w:rFonts w:eastAsia="SimSun"/>
                <w:b/>
                <w:bCs/>
                <w:sz w:val="13"/>
                <w:szCs w:val="13"/>
              </w:rPr>
            </w:pPr>
          </w:p>
        </w:tc>
        <w:tc>
          <w:tcPr>
            <w:tcW w:w="3874" w:type="dxa"/>
          </w:tcPr>
          <w:p w14:paraId="43694459" w14:textId="77777777" w:rsidR="0061499A" w:rsidRDefault="0061499A" w:rsidP="00D972BA">
            <w:pPr>
              <w:pStyle w:val="NormalWeb"/>
              <w:widowControl/>
              <w:rPr>
                <w:sz w:val="12"/>
                <w:szCs w:val="12"/>
              </w:rPr>
            </w:pPr>
            <w:r>
              <w:rPr>
                <w:sz w:val="12"/>
                <w:szCs w:val="12"/>
              </w:rPr>
              <w:t>16. Patients without uncontrolled active bleeding or coagulation disorders who are not receiving systemic anticoagulant therapy should be administered anticoagulants during CRRT.</w:t>
            </w:r>
          </w:p>
        </w:tc>
        <w:tc>
          <w:tcPr>
            <w:tcW w:w="3700" w:type="dxa"/>
          </w:tcPr>
          <w:p w14:paraId="386FD88F" w14:textId="77777777" w:rsidR="0061499A" w:rsidRDefault="0061499A" w:rsidP="00D972BA">
            <w:pPr>
              <w:pStyle w:val="NormalWeb"/>
              <w:widowControl/>
              <w:rPr>
                <w:rFonts w:eastAsia="SimSun"/>
                <w:sz w:val="12"/>
                <w:szCs w:val="12"/>
              </w:rPr>
            </w:pPr>
            <w:r>
              <w:rPr>
                <w:sz w:val="12"/>
                <w:szCs w:val="12"/>
              </w:rPr>
              <w:t>10. Administer anticoagulants during CRRT for patients with known uncontrolled active bleeding or coagulation disorders who are not receiving systemic anticoagulant therapy.</w:t>
            </w:r>
          </w:p>
        </w:tc>
        <w:tc>
          <w:tcPr>
            <w:tcW w:w="1590" w:type="dxa"/>
          </w:tcPr>
          <w:p w14:paraId="35D3B1B4" w14:textId="77777777" w:rsidR="0061499A" w:rsidRDefault="0061499A" w:rsidP="00D972BA">
            <w:pPr>
              <w:spacing w:line="120" w:lineRule="auto"/>
              <w:jc w:val="left"/>
              <w:rPr>
                <w:rFonts w:eastAsia="SimSun"/>
                <w:sz w:val="13"/>
                <w:szCs w:val="13"/>
              </w:rPr>
            </w:pPr>
          </w:p>
        </w:tc>
      </w:tr>
      <w:tr w:rsidR="0061499A" w14:paraId="2A41AB53" w14:textId="77777777" w:rsidTr="00D972BA">
        <w:trPr>
          <w:trHeight w:val="90"/>
        </w:trPr>
        <w:tc>
          <w:tcPr>
            <w:tcW w:w="1662" w:type="dxa"/>
          </w:tcPr>
          <w:p w14:paraId="7BAE8107" w14:textId="77777777" w:rsidR="0061499A" w:rsidRDefault="0061499A" w:rsidP="00D972BA">
            <w:pPr>
              <w:spacing w:line="120" w:lineRule="auto"/>
              <w:jc w:val="left"/>
              <w:rPr>
                <w:rFonts w:eastAsia="SimSun"/>
                <w:b/>
                <w:bCs/>
                <w:sz w:val="13"/>
                <w:szCs w:val="13"/>
              </w:rPr>
            </w:pPr>
          </w:p>
        </w:tc>
        <w:tc>
          <w:tcPr>
            <w:tcW w:w="3874" w:type="dxa"/>
          </w:tcPr>
          <w:p w14:paraId="7098E46C" w14:textId="77777777" w:rsidR="0061499A" w:rsidRDefault="0061499A" w:rsidP="00D972BA">
            <w:pPr>
              <w:pStyle w:val="NormalWeb"/>
              <w:widowControl/>
              <w:rPr>
                <w:sz w:val="12"/>
                <w:szCs w:val="12"/>
              </w:rPr>
            </w:pPr>
            <w:r>
              <w:rPr>
                <w:sz w:val="12"/>
                <w:szCs w:val="12"/>
              </w:rPr>
              <w:t>17. For patients without citrate contraindications, when administering citrate anticoagulation, ensure that the free calcium concentration post-filter is 0.25–0.35 mmol/L, the free calcium concentration in venous blood is 1.00–1.35 mmol/L, and the serum total calcium to total free calcium ratio is &lt;2.5.</w:t>
            </w:r>
          </w:p>
          <w:p w14:paraId="347FFF3E" w14:textId="77777777" w:rsidR="0061499A" w:rsidRDefault="0061499A" w:rsidP="00D972BA">
            <w:pPr>
              <w:pStyle w:val="TableText"/>
              <w:spacing w:before="72" w:line="268" w:lineRule="auto"/>
              <w:ind w:right="640"/>
              <w:rPr>
                <w:rFonts w:ascii="Times New Roman" w:hAnsi="Times New Roman" w:cs="Times New Roman"/>
                <w:sz w:val="12"/>
                <w:szCs w:val="12"/>
              </w:rPr>
            </w:pPr>
          </w:p>
        </w:tc>
        <w:tc>
          <w:tcPr>
            <w:tcW w:w="3700" w:type="dxa"/>
          </w:tcPr>
          <w:p w14:paraId="2D6FB8AE" w14:textId="77777777" w:rsidR="0061499A" w:rsidRDefault="0061499A" w:rsidP="00D972BA">
            <w:pPr>
              <w:pStyle w:val="NormalWeb"/>
              <w:widowControl/>
              <w:rPr>
                <w:sz w:val="12"/>
                <w:szCs w:val="12"/>
              </w:rPr>
            </w:pPr>
            <w:r>
              <w:rPr>
                <w:sz w:val="12"/>
                <w:szCs w:val="12"/>
              </w:rPr>
              <w:t>11. Healthcare providers shall be aware of and document patients without citrate contraindications who receive citrate anticoagulation. When administering citrate anticoagulation, ensure post-filter free calcium levels are maintained between 0.25 and 0.35 mmol/L. Maintain venous free calcium at 1.00–1.35 mmol/L and serum total calcium to total free calcium ratio &lt;2.5. During citrate anticoagulation, electrolyte and blood gas monitoring should occur at the start of therapy and 1 hour post-treatment. Once therapy is stable, blood gas monitoring should be performed every 6–8 hours, with electrolyte monitoring every 12 hours. Monitoring intervals may be shortened for patients at risk of citrate accumulation.</w:t>
            </w:r>
          </w:p>
        </w:tc>
        <w:tc>
          <w:tcPr>
            <w:tcW w:w="1590" w:type="dxa"/>
          </w:tcPr>
          <w:p w14:paraId="320CA5CE" w14:textId="77777777" w:rsidR="0061499A" w:rsidRDefault="0061499A" w:rsidP="00D972BA">
            <w:pPr>
              <w:spacing w:line="120" w:lineRule="auto"/>
              <w:jc w:val="left"/>
              <w:rPr>
                <w:rFonts w:eastAsia="SimSun"/>
                <w:sz w:val="13"/>
                <w:szCs w:val="13"/>
              </w:rPr>
            </w:pPr>
          </w:p>
        </w:tc>
      </w:tr>
      <w:tr w:rsidR="0061499A" w14:paraId="2E2695D9" w14:textId="77777777" w:rsidTr="00D972BA">
        <w:tc>
          <w:tcPr>
            <w:tcW w:w="1662" w:type="dxa"/>
          </w:tcPr>
          <w:p w14:paraId="345660AD" w14:textId="77777777" w:rsidR="0061499A" w:rsidRDefault="0061499A" w:rsidP="00D972BA">
            <w:pPr>
              <w:spacing w:line="120" w:lineRule="auto"/>
              <w:jc w:val="left"/>
              <w:rPr>
                <w:rFonts w:eastAsia="SimSun"/>
                <w:b/>
                <w:bCs/>
                <w:sz w:val="13"/>
                <w:szCs w:val="13"/>
              </w:rPr>
            </w:pPr>
          </w:p>
        </w:tc>
        <w:tc>
          <w:tcPr>
            <w:tcW w:w="3874" w:type="dxa"/>
          </w:tcPr>
          <w:p w14:paraId="70C7984C" w14:textId="77777777" w:rsidR="0061499A" w:rsidRDefault="0061499A" w:rsidP="00D972BA">
            <w:pPr>
              <w:pStyle w:val="NormalWeb"/>
              <w:widowControl/>
              <w:rPr>
                <w:sz w:val="12"/>
                <w:szCs w:val="12"/>
              </w:rPr>
            </w:pPr>
            <w:r>
              <w:rPr>
                <w:sz w:val="12"/>
                <w:szCs w:val="12"/>
              </w:rPr>
              <w:t>18. When using citrate anticoagulation, electrolyte and blood gas analysis monitoring should be performed before treatment initiation and 1 hour after treatment. Once treatment is stabilized, blood gas analysis should be monitored every 6 to 8 hours, with electrolyte monitoring every 12 hours. For patients at risk of citrate accumulation, monitoring intervals may be shortened.</w:t>
            </w:r>
          </w:p>
        </w:tc>
        <w:tc>
          <w:tcPr>
            <w:tcW w:w="3700" w:type="dxa"/>
          </w:tcPr>
          <w:p w14:paraId="342A9871" w14:textId="77777777" w:rsidR="0061499A" w:rsidRDefault="0061499A" w:rsidP="00D972BA">
            <w:pPr>
              <w:spacing w:line="120" w:lineRule="auto"/>
              <w:jc w:val="left"/>
              <w:rPr>
                <w:rFonts w:eastAsia="SimSun"/>
                <w:sz w:val="12"/>
                <w:szCs w:val="12"/>
              </w:rPr>
            </w:pPr>
          </w:p>
        </w:tc>
        <w:tc>
          <w:tcPr>
            <w:tcW w:w="1590" w:type="dxa"/>
          </w:tcPr>
          <w:p w14:paraId="6126F234" w14:textId="77777777" w:rsidR="0061499A" w:rsidRDefault="0061499A" w:rsidP="00D972BA">
            <w:pPr>
              <w:spacing w:line="120" w:lineRule="auto"/>
              <w:jc w:val="left"/>
              <w:rPr>
                <w:rFonts w:eastAsia="SimSun"/>
                <w:sz w:val="13"/>
                <w:szCs w:val="13"/>
              </w:rPr>
            </w:pPr>
          </w:p>
        </w:tc>
      </w:tr>
      <w:tr w:rsidR="0061499A" w14:paraId="596EF6EC" w14:textId="77777777" w:rsidTr="00D972BA">
        <w:tc>
          <w:tcPr>
            <w:tcW w:w="1662" w:type="dxa"/>
          </w:tcPr>
          <w:p w14:paraId="194F8152" w14:textId="77777777" w:rsidR="0061499A" w:rsidRDefault="0061499A" w:rsidP="00D972BA">
            <w:pPr>
              <w:spacing w:line="120" w:lineRule="auto"/>
              <w:jc w:val="left"/>
              <w:rPr>
                <w:rFonts w:eastAsia="SimSun"/>
                <w:b/>
                <w:bCs/>
                <w:sz w:val="13"/>
                <w:szCs w:val="13"/>
              </w:rPr>
            </w:pPr>
          </w:p>
        </w:tc>
        <w:tc>
          <w:tcPr>
            <w:tcW w:w="3874" w:type="dxa"/>
          </w:tcPr>
          <w:p w14:paraId="1A20F850" w14:textId="77777777" w:rsidR="0061499A" w:rsidRDefault="0061499A" w:rsidP="00D972BA">
            <w:pPr>
              <w:pStyle w:val="NormalWeb"/>
              <w:widowControl/>
              <w:rPr>
                <w:sz w:val="12"/>
                <w:szCs w:val="12"/>
              </w:rPr>
            </w:pPr>
            <w:r>
              <w:rPr>
                <w:sz w:val="12"/>
                <w:szCs w:val="12"/>
              </w:rPr>
              <w:t xml:space="preserve">20. During CRRT, if citrate is contraindicated and there is no bleeding risk, use heparin or low molecular weight heparin for anticoagulation. When </w:t>
            </w:r>
            <w:r>
              <w:rPr>
                <w:sz w:val="12"/>
                <w:szCs w:val="12"/>
              </w:rPr>
              <w:lastRenderedPageBreak/>
              <w:t>using heparin anticoagulation, administer a loading dose before initiating CRRT and proceed with blood withdrawal only after achieving the anticoagulation target. Monitor activated partial thromboplastin time (APTT) after 4 hours of CRRT operation.</w:t>
            </w:r>
            <w:r>
              <w:rPr>
                <w:rFonts w:hint="eastAsia"/>
                <w:sz w:val="12"/>
                <w:szCs w:val="12"/>
              </w:rPr>
              <w:t xml:space="preserve"> </w:t>
            </w:r>
            <w:r>
              <w:rPr>
                <w:sz w:val="12"/>
                <w:szCs w:val="12"/>
              </w:rPr>
              <w:t xml:space="preserve">Once therapeutic stability is achieved, monitor coagulation function every 12 hours to maintain APTT between 45–70 seconds. </w:t>
            </w:r>
          </w:p>
        </w:tc>
        <w:tc>
          <w:tcPr>
            <w:tcW w:w="3700" w:type="dxa"/>
          </w:tcPr>
          <w:p w14:paraId="7DE2E083" w14:textId="77777777" w:rsidR="0061499A" w:rsidRDefault="0061499A" w:rsidP="00D972BA">
            <w:pPr>
              <w:pStyle w:val="NormalWeb"/>
              <w:widowControl/>
              <w:rPr>
                <w:sz w:val="12"/>
                <w:szCs w:val="12"/>
              </w:rPr>
            </w:pPr>
            <w:r>
              <w:rPr>
                <w:sz w:val="12"/>
                <w:szCs w:val="12"/>
              </w:rPr>
              <w:lastRenderedPageBreak/>
              <w:t xml:space="preserve">12. Healthcare providers should be aware and document that during CRRT, citrate contraindications exist and there is no bleeding risk. Use </w:t>
            </w:r>
            <w:r>
              <w:rPr>
                <w:sz w:val="12"/>
                <w:szCs w:val="12"/>
              </w:rPr>
              <w:lastRenderedPageBreak/>
              <w:t>heparin or low molecular weight heparin for anticoagulation. When employing heparin anticoagulation, administer a loading dose prior to initiating CRRT and proceed with blood withdrawal only after achieving the anticoagulation target. Monitor activated partial thromboplastin time (APTT) after 4 hours of CRRT operation. Once therapy is stabilized, monitor coagulation function every 12 hours to maintain APTT between 45–70 seconds.</w:t>
            </w:r>
          </w:p>
          <w:p w14:paraId="03CBFE6D" w14:textId="77777777" w:rsidR="0061499A" w:rsidRDefault="0061499A" w:rsidP="00D972BA">
            <w:pPr>
              <w:spacing w:line="120" w:lineRule="auto"/>
              <w:jc w:val="left"/>
              <w:rPr>
                <w:rFonts w:eastAsia="SimSun"/>
                <w:sz w:val="12"/>
                <w:szCs w:val="12"/>
              </w:rPr>
            </w:pPr>
          </w:p>
        </w:tc>
        <w:tc>
          <w:tcPr>
            <w:tcW w:w="1590" w:type="dxa"/>
          </w:tcPr>
          <w:p w14:paraId="43EC4063" w14:textId="77777777" w:rsidR="0061499A" w:rsidRDefault="0061499A" w:rsidP="00D972BA">
            <w:pPr>
              <w:spacing w:line="120" w:lineRule="auto"/>
              <w:jc w:val="left"/>
              <w:rPr>
                <w:rFonts w:eastAsia="SimSun"/>
                <w:sz w:val="13"/>
                <w:szCs w:val="13"/>
              </w:rPr>
            </w:pPr>
          </w:p>
        </w:tc>
      </w:tr>
      <w:tr w:rsidR="0061499A" w14:paraId="7539221C" w14:textId="77777777" w:rsidTr="00D972BA">
        <w:tc>
          <w:tcPr>
            <w:tcW w:w="1662" w:type="dxa"/>
          </w:tcPr>
          <w:p w14:paraId="1103973A" w14:textId="77777777" w:rsidR="0061499A" w:rsidRDefault="0061499A" w:rsidP="00D972BA">
            <w:pPr>
              <w:spacing w:line="120" w:lineRule="auto"/>
              <w:jc w:val="left"/>
              <w:rPr>
                <w:rFonts w:eastAsia="SimSun"/>
                <w:b/>
                <w:bCs/>
                <w:sz w:val="13"/>
                <w:szCs w:val="13"/>
              </w:rPr>
            </w:pPr>
          </w:p>
        </w:tc>
        <w:tc>
          <w:tcPr>
            <w:tcW w:w="3874" w:type="dxa"/>
          </w:tcPr>
          <w:p w14:paraId="51CD373A" w14:textId="77777777" w:rsidR="0061499A" w:rsidRDefault="0061499A" w:rsidP="00D972BA">
            <w:pPr>
              <w:pStyle w:val="NormalWeb"/>
              <w:widowControl/>
              <w:rPr>
                <w:sz w:val="12"/>
                <w:szCs w:val="12"/>
              </w:rPr>
            </w:pPr>
            <w:r>
              <w:rPr>
                <w:sz w:val="12"/>
                <w:szCs w:val="12"/>
              </w:rPr>
              <w:t>21. When a CRRT alarm occurs, immediately identify the cause and take appropriate action to minimize the duration of the blood pump stoppage.</w:t>
            </w:r>
          </w:p>
        </w:tc>
        <w:tc>
          <w:tcPr>
            <w:tcW w:w="3700" w:type="dxa"/>
          </w:tcPr>
          <w:p w14:paraId="48CC9DE3" w14:textId="77777777" w:rsidR="0061499A" w:rsidRDefault="0061499A" w:rsidP="00D972BA">
            <w:pPr>
              <w:pStyle w:val="NormalWeb"/>
              <w:widowControl/>
              <w:rPr>
                <w:sz w:val="12"/>
                <w:szCs w:val="12"/>
              </w:rPr>
            </w:pPr>
            <w:r>
              <w:rPr>
                <w:sz w:val="12"/>
                <w:szCs w:val="12"/>
              </w:rPr>
              <w:t>13. Medical personnel are aware of the causes of CRRT alarms and address them promptly.</w:t>
            </w:r>
          </w:p>
          <w:p w14:paraId="6CD1E3EE" w14:textId="77777777" w:rsidR="0061499A" w:rsidRDefault="0061499A" w:rsidP="00D972BA">
            <w:pPr>
              <w:spacing w:line="120" w:lineRule="auto"/>
              <w:jc w:val="left"/>
              <w:rPr>
                <w:rFonts w:eastAsia="SimSun"/>
                <w:sz w:val="12"/>
                <w:szCs w:val="12"/>
              </w:rPr>
            </w:pPr>
          </w:p>
        </w:tc>
        <w:tc>
          <w:tcPr>
            <w:tcW w:w="1590" w:type="dxa"/>
          </w:tcPr>
          <w:p w14:paraId="4B2212D4" w14:textId="77777777" w:rsidR="0061499A" w:rsidRDefault="0061499A" w:rsidP="00D972BA">
            <w:pPr>
              <w:spacing w:line="120" w:lineRule="auto"/>
              <w:jc w:val="left"/>
              <w:rPr>
                <w:rFonts w:eastAsia="SimSun"/>
                <w:sz w:val="13"/>
                <w:szCs w:val="13"/>
              </w:rPr>
            </w:pPr>
            <w:r>
              <w:rPr>
                <w:rFonts w:eastAsia="SimSun" w:hint="eastAsia"/>
                <w:sz w:val="13"/>
                <w:szCs w:val="13"/>
              </w:rPr>
              <w:t>On-site inspection or inquiry</w:t>
            </w:r>
          </w:p>
        </w:tc>
      </w:tr>
      <w:tr w:rsidR="0061499A" w14:paraId="081567BC" w14:textId="77777777" w:rsidTr="00D972BA">
        <w:tc>
          <w:tcPr>
            <w:tcW w:w="1662" w:type="dxa"/>
          </w:tcPr>
          <w:p w14:paraId="2BDE76DF" w14:textId="77777777" w:rsidR="0061499A" w:rsidRDefault="0061499A" w:rsidP="00D972BA">
            <w:pPr>
              <w:spacing w:line="120" w:lineRule="auto"/>
              <w:jc w:val="left"/>
              <w:rPr>
                <w:rFonts w:eastAsia="SimSun"/>
                <w:b/>
                <w:bCs/>
                <w:sz w:val="13"/>
                <w:szCs w:val="13"/>
              </w:rPr>
            </w:pPr>
          </w:p>
        </w:tc>
        <w:tc>
          <w:tcPr>
            <w:tcW w:w="3874" w:type="dxa"/>
          </w:tcPr>
          <w:p w14:paraId="108315AB" w14:textId="77777777" w:rsidR="0061499A" w:rsidRDefault="0061499A" w:rsidP="00D972BA">
            <w:pPr>
              <w:pStyle w:val="NormalWeb"/>
              <w:widowControl/>
              <w:rPr>
                <w:sz w:val="12"/>
                <w:szCs w:val="12"/>
              </w:rPr>
            </w:pPr>
            <w:r>
              <w:rPr>
                <w:sz w:val="12"/>
                <w:szCs w:val="12"/>
              </w:rPr>
              <w:t>22. Continuously monitor coagulation-related pressures (transmembrane pressure and pre-filter pressure), and promptly adjust anticoagulation strategies when pressures rise.</w:t>
            </w:r>
          </w:p>
        </w:tc>
        <w:tc>
          <w:tcPr>
            <w:tcW w:w="3700" w:type="dxa"/>
          </w:tcPr>
          <w:p w14:paraId="0FE2EDA2" w14:textId="77777777" w:rsidR="0061499A" w:rsidRDefault="0061499A" w:rsidP="00D972BA">
            <w:pPr>
              <w:pStyle w:val="NormalWeb"/>
              <w:widowControl/>
              <w:rPr>
                <w:sz w:val="12"/>
                <w:szCs w:val="12"/>
              </w:rPr>
            </w:pPr>
            <w:r>
              <w:rPr>
                <w:sz w:val="12"/>
                <w:szCs w:val="12"/>
              </w:rPr>
              <w:t>14. Healthcare personnel shall be aware of and document relevant pressure readings, and promptly address any pressure-related issues when they arise.</w:t>
            </w:r>
          </w:p>
          <w:p w14:paraId="0FC30F49" w14:textId="77777777" w:rsidR="0061499A" w:rsidRDefault="0061499A" w:rsidP="00D972BA">
            <w:pPr>
              <w:spacing w:line="120" w:lineRule="auto"/>
              <w:jc w:val="left"/>
              <w:rPr>
                <w:rFonts w:eastAsia="SimSun"/>
                <w:sz w:val="12"/>
                <w:szCs w:val="12"/>
              </w:rPr>
            </w:pPr>
          </w:p>
        </w:tc>
        <w:tc>
          <w:tcPr>
            <w:tcW w:w="1590" w:type="dxa"/>
          </w:tcPr>
          <w:p w14:paraId="492E162C" w14:textId="77777777" w:rsidR="0061499A" w:rsidRDefault="0061499A" w:rsidP="00D972BA">
            <w:pPr>
              <w:spacing w:line="120" w:lineRule="auto"/>
              <w:jc w:val="left"/>
              <w:rPr>
                <w:rFonts w:eastAsia="SimSun"/>
                <w:sz w:val="13"/>
                <w:szCs w:val="13"/>
              </w:rPr>
            </w:pPr>
            <w:r>
              <w:rPr>
                <w:rFonts w:eastAsia="SimSun" w:hint="eastAsia"/>
                <w:sz w:val="13"/>
                <w:szCs w:val="13"/>
              </w:rPr>
              <w:t>On-site inspection or inquiry</w:t>
            </w:r>
          </w:p>
        </w:tc>
      </w:tr>
      <w:tr w:rsidR="0061499A" w14:paraId="20993573" w14:textId="77777777" w:rsidTr="00D972BA">
        <w:tc>
          <w:tcPr>
            <w:tcW w:w="1662" w:type="dxa"/>
          </w:tcPr>
          <w:p w14:paraId="3839514B" w14:textId="77777777" w:rsidR="0061499A" w:rsidRDefault="0061499A" w:rsidP="00D972BA">
            <w:pPr>
              <w:spacing w:line="120" w:lineRule="auto"/>
              <w:jc w:val="left"/>
              <w:rPr>
                <w:rFonts w:eastAsia="SimSun"/>
                <w:b/>
                <w:bCs/>
                <w:sz w:val="13"/>
                <w:szCs w:val="13"/>
              </w:rPr>
            </w:pPr>
          </w:p>
        </w:tc>
        <w:tc>
          <w:tcPr>
            <w:tcW w:w="3874" w:type="dxa"/>
          </w:tcPr>
          <w:p w14:paraId="09F0745B" w14:textId="77777777" w:rsidR="0061499A" w:rsidRDefault="0061499A" w:rsidP="00D972BA">
            <w:pPr>
              <w:pStyle w:val="NormalWeb"/>
              <w:widowControl/>
              <w:rPr>
                <w:sz w:val="12"/>
                <w:szCs w:val="12"/>
              </w:rPr>
            </w:pPr>
            <w:r>
              <w:rPr>
                <w:sz w:val="12"/>
                <w:szCs w:val="12"/>
              </w:rPr>
              <w:t>23. Continuously monitor catheter-related pressures (antegrade blood pressure and retrograde pressure). When antegrade blood pressure falls below -200 mmHg (1 mmHg = 0.133 kPa) or retrograde pressure exceeds 200 mmHg, promptly address the contributing factors to prevent catheter dysfunction.</w:t>
            </w:r>
          </w:p>
        </w:tc>
        <w:tc>
          <w:tcPr>
            <w:tcW w:w="3700" w:type="dxa"/>
          </w:tcPr>
          <w:p w14:paraId="68AC6CD2" w14:textId="77777777" w:rsidR="0061499A" w:rsidRDefault="0061499A" w:rsidP="00D972BA">
            <w:pPr>
              <w:spacing w:line="120" w:lineRule="auto"/>
              <w:jc w:val="left"/>
              <w:rPr>
                <w:rFonts w:eastAsia="SimSun"/>
                <w:sz w:val="12"/>
                <w:szCs w:val="12"/>
              </w:rPr>
            </w:pPr>
          </w:p>
        </w:tc>
        <w:tc>
          <w:tcPr>
            <w:tcW w:w="1590" w:type="dxa"/>
          </w:tcPr>
          <w:p w14:paraId="39D7A31C" w14:textId="77777777" w:rsidR="0061499A" w:rsidRDefault="0061499A" w:rsidP="00D972BA">
            <w:pPr>
              <w:spacing w:line="120" w:lineRule="auto"/>
              <w:jc w:val="left"/>
              <w:rPr>
                <w:rFonts w:eastAsia="SimSun"/>
                <w:sz w:val="13"/>
                <w:szCs w:val="13"/>
              </w:rPr>
            </w:pPr>
          </w:p>
        </w:tc>
      </w:tr>
      <w:tr w:rsidR="0061499A" w14:paraId="3731E4B8" w14:textId="77777777" w:rsidTr="00D972BA">
        <w:tc>
          <w:tcPr>
            <w:tcW w:w="1662" w:type="dxa"/>
          </w:tcPr>
          <w:p w14:paraId="30A4532C" w14:textId="77777777" w:rsidR="0061499A" w:rsidRDefault="0061499A" w:rsidP="00D972BA">
            <w:pPr>
              <w:spacing w:line="120" w:lineRule="auto"/>
              <w:jc w:val="left"/>
              <w:rPr>
                <w:rFonts w:eastAsia="SimSun"/>
                <w:b/>
                <w:bCs/>
                <w:sz w:val="13"/>
                <w:szCs w:val="13"/>
              </w:rPr>
            </w:pPr>
          </w:p>
        </w:tc>
        <w:tc>
          <w:tcPr>
            <w:tcW w:w="3874" w:type="dxa"/>
          </w:tcPr>
          <w:p w14:paraId="2B178305" w14:textId="77777777" w:rsidR="0061499A" w:rsidRDefault="0061499A" w:rsidP="00D972BA">
            <w:pPr>
              <w:pStyle w:val="NormalWeb"/>
              <w:widowControl/>
              <w:rPr>
                <w:rFonts w:eastAsia="SimSun"/>
                <w:sz w:val="12"/>
                <w:szCs w:val="12"/>
              </w:rPr>
            </w:pPr>
            <w:r>
              <w:rPr>
                <w:sz w:val="12"/>
                <w:szCs w:val="12"/>
              </w:rPr>
              <w:t>24. When moving patients, ensure tubing is free of kinks and twists to prevent the blood pump from stopping.</w:t>
            </w:r>
          </w:p>
        </w:tc>
        <w:tc>
          <w:tcPr>
            <w:tcW w:w="3700" w:type="dxa"/>
          </w:tcPr>
          <w:p w14:paraId="400A2DF5" w14:textId="77777777" w:rsidR="0061499A" w:rsidRDefault="0061499A" w:rsidP="00D972BA">
            <w:pPr>
              <w:pStyle w:val="NormalWeb"/>
              <w:widowControl/>
              <w:rPr>
                <w:rFonts w:eastAsia="SimSun"/>
                <w:sz w:val="12"/>
                <w:szCs w:val="12"/>
              </w:rPr>
            </w:pPr>
            <w:r>
              <w:rPr>
                <w:sz w:val="12"/>
                <w:szCs w:val="12"/>
              </w:rPr>
              <w:t>15. When moving patients, healthcare personnel must ensure tubing remains free of kinks or twists to prevent blood pump stoppage. If the patient becomes agitated, administer sedatives as necessary with physician approval.</w:t>
            </w:r>
          </w:p>
        </w:tc>
        <w:tc>
          <w:tcPr>
            <w:tcW w:w="1590" w:type="dxa"/>
          </w:tcPr>
          <w:p w14:paraId="6191F35B" w14:textId="77777777" w:rsidR="0061499A" w:rsidRDefault="0061499A" w:rsidP="00D972BA">
            <w:pPr>
              <w:spacing w:line="120" w:lineRule="auto"/>
              <w:jc w:val="left"/>
              <w:rPr>
                <w:rFonts w:eastAsia="SimSun"/>
                <w:sz w:val="13"/>
                <w:szCs w:val="13"/>
              </w:rPr>
            </w:pPr>
            <w:r>
              <w:rPr>
                <w:rFonts w:eastAsia="SimSun" w:hint="eastAsia"/>
                <w:sz w:val="13"/>
                <w:szCs w:val="13"/>
              </w:rPr>
              <w:t>On-site inspection or inquiry</w:t>
            </w:r>
          </w:p>
        </w:tc>
      </w:tr>
      <w:tr w:rsidR="0061499A" w14:paraId="6D95B1F4" w14:textId="77777777" w:rsidTr="00D972BA">
        <w:tc>
          <w:tcPr>
            <w:tcW w:w="1662" w:type="dxa"/>
          </w:tcPr>
          <w:p w14:paraId="10202796" w14:textId="77777777" w:rsidR="0061499A" w:rsidRDefault="0061499A" w:rsidP="00D972BA">
            <w:pPr>
              <w:spacing w:line="120" w:lineRule="auto"/>
              <w:jc w:val="left"/>
              <w:rPr>
                <w:rFonts w:eastAsia="SimSun"/>
                <w:b/>
                <w:bCs/>
                <w:sz w:val="13"/>
                <w:szCs w:val="13"/>
              </w:rPr>
            </w:pPr>
          </w:p>
        </w:tc>
        <w:tc>
          <w:tcPr>
            <w:tcW w:w="3874" w:type="dxa"/>
          </w:tcPr>
          <w:p w14:paraId="3C9B5692" w14:textId="77777777" w:rsidR="0061499A" w:rsidRDefault="0061499A" w:rsidP="00D972BA">
            <w:pPr>
              <w:pStyle w:val="NormalWeb"/>
              <w:widowControl/>
              <w:rPr>
                <w:sz w:val="12"/>
                <w:szCs w:val="12"/>
              </w:rPr>
            </w:pPr>
            <w:r>
              <w:rPr>
                <w:sz w:val="12"/>
                <w:szCs w:val="12"/>
              </w:rPr>
              <w:t>25. After replacing the fluid bag or addressing an alarm, adjust the fluid level in the IV bag to establish a blood-air interface. This prevents air alarms and reduces the risk of blood clots forming in the IV bag.</w:t>
            </w:r>
          </w:p>
        </w:tc>
        <w:tc>
          <w:tcPr>
            <w:tcW w:w="3700" w:type="dxa"/>
          </w:tcPr>
          <w:p w14:paraId="2E54F7E8" w14:textId="77777777" w:rsidR="0061499A" w:rsidRDefault="0061499A" w:rsidP="00D972BA">
            <w:pPr>
              <w:pStyle w:val="NormalWeb"/>
              <w:widowControl/>
              <w:rPr>
                <w:rFonts w:eastAsia="SimSun"/>
                <w:sz w:val="12"/>
                <w:szCs w:val="12"/>
              </w:rPr>
            </w:pPr>
            <w:r>
              <w:rPr>
                <w:sz w:val="12"/>
                <w:szCs w:val="12"/>
              </w:rPr>
              <w:t>16. Healthcare personnel are aware of the correct procedures for replacing fluid bags and adjusting IV stands.</w:t>
            </w:r>
          </w:p>
        </w:tc>
        <w:tc>
          <w:tcPr>
            <w:tcW w:w="1590" w:type="dxa"/>
          </w:tcPr>
          <w:p w14:paraId="0CB74318" w14:textId="77777777" w:rsidR="0061499A" w:rsidRDefault="0061499A" w:rsidP="00D972BA">
            <w:pPr>
              <w:spacing w:line="120" w:lineRule="auto"/>
              <w:jc w:val="left"/>
              <w:rPr>
                <w:rFonts w:eastAsia="SimSun"/>
                <w:sz w:val="13"/>
                <w:szCs w:val="13"/>
              </w:rPr>
            </w:pPr>
            <w:r>
              <w:rPr>
                <w:rFonts w:eastAsia="SimSun" w:hint="eastAsia"/>
                <w:sz w:val="13"/>
                <w:szCs w:val="13"/>
              </w:rPr>
              <w:t>On-site inspection or inquiry</w:t>
            </w:r>
          </w:p>
        </w:tc>
      </w:tr>
      <w:tr w:rsidR="0061499A" w14:paraId="0CBC4ECF" w14:textId="77777777" w:rsidTr="00D972BA">
        <w:tc>
          <w:tcPr>
            <w:tcW w:w="1662" w:type="dxa"/>
          </w:tcPr>
          <w:p w14:paraId="22D8CD5C" w14:textId="77777777" w:rsidR="0061499A" w:rsidRDefault="0061499A" w:rsidP="00D972BA">
            <w:pPr>
              <w:spacing w:line="120" w:lineRule="auto"/>
              <w:jc w:val="left"/>
              <w:rPr>
                <w:rFonts w:eastAsia="SimSun"/>
                <w:b/>
                <w:bCs/>
                <w:sz w:val="13"/>
                <w:szCs w:val="13"/>
              </w:rPr>
            </w:pPr>
            <w:r>
              <w:rPr>
                <w:rFonts w:eastAsia="SimSun"/>
                <w:b/>
                <w:bCs/>
                <w:sz w:val="13"/>
                <w:szCs w:val="13"/>
              </w:rPr>
              <w:t>Post-shutdown management</w:t>
            </w:r>
          </w:p>
        </w:tc>
        <w:tc>
          <w:tcPr>
            <w:tcW w:w="3874" w:type="dxa"/>
          </w:tcPr>
          <w:p w14:paraId="724B15AA" w14:textId="77777777" w:rsidR="0061499A" w:rsidRDefault="0061499A" w:rsidP="00D972BA">
            <w:pPr>
              <w:pStyle w:val="NormalWeb"/>
              <w:widowControl/>
              <w:rPr>
                <w:sz w:val="12"/>
                <w:szCs w:val="12"/>
              </w:rPr>
            </w:pPr>
            <w:r>
              <w:rPr>
                <w:sz w:val="12"/>
                <w:szCs w:val="12"/>
              </w:rPr>
              <w:t>26. When the coagulation-related pressure reaches 90% of the alarm threshold (transmembrane pressure 250–300 mmHg or pre-filter pressure 150–180 mmHg), promptly disconnect the machine to prevent blood wastage.</w:t>
            </w:r>
          </w:p>
        </w:tc>
        <w:tc>
          <w:tcPr>
            <w:tcW w:w="3700" w:type="dxa"/>
          </w:tcPr>
          <w:p w14:paraId="458B1364" w14:textId="77777777" w:rsidR="0061499A" w:rsidRDefault="0061499A" w:rsidP="00D972BA">
            <w:pPr>
              <w:pStyle w:val="NormalWeb"/>
              <w:widowControl/>
              <w:rPr>
                <w:rFonts w:eastAsia="SimSun"/>
                <w:sz w:val="12"/>
                <w:szCs w:val="12"/>
              </w:rPr>
            </w:pPr>
            <w:r>
              <w:rPr>
                <w:sz w:val="12"/>
                <w:szCs w:val="12"/>
              </w:rPr>
              <w:t>17. Healthcare personnel are aware of the criteria for discontinuing CRRT.</w:t>
            </w:r>
          </w:p>
        </w:tc>
        <w:tc>
          <w:tcPr>
            <w:tcW w:w="1590" w:type="dxa"/>
          </w:tcPr>
          <w:p w14:paraId="0373CE41" w14:textId="77777777" w:rsidR="0061499A" w:rsidRDefault="0061499A" w:rsidP="00D972BA">
            <w:pPr>
              <w:spacing w:line="120" w:lineRule="auto"/>
              <w:jc w:val="left"/>
              <w:rPr>
                <w:rFonts w:eastAsia="SimSun"/>
                <w:sz w:val="13"/>
                <w:szCs w:val="13"/>
              </w:rPr>
            </w:pPr>
            <w:r>
              <w:rPr>
                <w:rFonts w:eastAsia="SimSun" w:hint="eastAsia"/>
                <w:sz w:val="13"/>
                <w:szCs w:val="13"/>
              </w:rPr>
              <w:t>On-site inspection or inquiry</w:t>
            </w:r>
          </w:p>
        </w:tc>
      </w:tr>
      <w:tr w:rsidR="0061499A" w14:paraId="35A594A9" w14:textId="77777777" w:rsidTr="00D972BA">
        <w:tc>
          <w:tcPr>
            <w:tcW w:w="1662" w:type="dxa"/>
          </w:tcPr>
          <w:p w14:paraId="2F2821B5" w14:textId="77777777" w:rsidR="0061499A" w:rsidRDefault="0061499A" w:rsidP="00D972BA">
            <w:pPr>
              <w:spacing w:line="120" w:lineRule="auto"/>
              <w:jc w:val="left"/>
              <w:rPr>
                <w:rFonts w:eastAsia="SimSun"/>
                <w:b/>
                <w:bCs/>
                <w:sz w:val="13"/>
                <w:szCs w:val="13"/>
              </w:rPr>
            </w:pPr>
          </w:p>
        </w:tc>
        <w:tc>
          <w:tcPr>
            <w:tcW w:w="3874" w:type="dxa"/>
          </w:tcPr>
          <w:p w14:paraId="31A1F3AC" w14:textId="77777777" w:rsidR="0061499A" w:rsidRDefault="0061499A" w:rsidP="00D972BA">
            <w:pPr>
              <w:pStyle w:val="NormalWeb"/>
              <w:widowControl/>
              <w:rPr>
                <w:sz w:val="12"/>
                <w:szCs w:val="12"/>
              </w:rPr>
            </w:pPr>
            <w:r>
              <w:rPr>
                <w:sz w:val="12"/>
                <w:szCs w:val="12"/>
              </w:rPr>
              <w:t>2</w:t>
            </w:r>
            <w:r>
              <w:rPr>
                <w:rFonts w:hint="eastAsia"/>
                <w:sz w:val="12"/>
                <w:szCs w:val="12"/>
              </w:rPr>
              <w:t>7</w:t>
            </w:r>
            <w:r>
              <w:rPr>
                <w:sz w:val="12"/>
                <w:szCs w:val="12"/>
              </w:rPr>
              <w:t>. Employ pulse flushing and positive pressure sealing techniques for catheter maintenance.</w:t>
            </w:r>
          </w:p>
        </w:tc>
        <w:tc>
          <w:tcPr>
            <w:tcW w:w="3700" w:type="dxa"/>
          </w:tcPr>
          <w:p w14:paraId="2D0DDBF0" w14:textId="77777777" w:rsidR="0061499A" w:rsidRDefault="0061499A" w:rsidP="00D972BA">
            <w:pPr>
              <w:pStyle w:val="NormalWeb"/>
              <w:widowControl/>
              <w:rPr>
                <w:rFonts w:eastAsia="SimSun"/>
                <w:sz w:val="12"/>
                <w:szCs w:val="12"/>
              </w:rPr>
            </w:pPr>
            <w:r>
              <w:rPr>
                <w:sz w:val="12"/>
                <w:szCs w:val="12"/>
              </w:rPr>
              <w:t>18. Healthcare providers are aware of the use of pulsatile flushing and positive pressure occlusion techniques for catheter maintenance.</w:t>
            </w:r>
          </w:p>
        </w:tc>
        <w:tc>
          <w:tcPr>
            <w:tcW w:w="1590" w:type="dxa"/>
          </w:tcPr>
          <w:p w14:paraId="07BB407C" w14:textId="77777777" w:rsidR="0061499A" w:rsidRDefault="0061499A" w:rsidP="00D972BA">
            <w:pPr>
              <w:spacing w:line="120" w:lineRule="auto"/>
              <w:jc w:val="left"/>
              <w:rPr>
                <w:rFonts w:eastAsia="SimSun"/>
                <w:sz w:val="13"/>
                <w:szCs w:val="13"/>
              </w:rPr>
            </w:pPr>
            <w:r>
              <w:rPr>
                <w:rFonts w:eastAsia="SimSun" w:hint="eastAsia"/>
                <w:sz w:val="13"/>
                <w:szCs w:val="13"/>
              </w:rPr>
              <w:t>On-site inspection or inquiry</w:t>
            </w:r>
          </w:p>
        </w:tc>
      </w:tr>
      <w:tr w:rsidR="0061499A" w14:paraId="39ADD7A5" w14:textId="77777777" w:rsidTr="00D972BA">
        <w:tc>
          <w:tcPr>
            <w:tcW w:w="1662" w:type="dxa"/>
          </w:tcPr>
          <w:p w14:paraId="2C44F967" w14:textId="77777777" w:rsidR="0061499A" w:rsidRDefault="0061499A" w:rsidP="00D972BA">
            <w:pPr>
              <w:spacing w:line="120" w:lineRule="auto"/>
              <w:jc w:val="left"/>
              <w:rPr>
                <w:rFonts w:eastAsia="SimSun"/>
                <w:b/>
                <w:bCs/>
                <w:sz w:val="13"/>
                <w:szCs w:val="13"/>
              </w:rPr>
            </w:pPr>
          </w:p>
        </w:tc>
        <w:tc>
          <w:tcPr>
            <w:tcW w:w="3874" w:type="dxa"/>
          </w:tcPr>
          <w:p w14:paraId="6D20AE5F" w14:textId="77777777" w:rsidR="0061499A" w:rsidRDefault="0061499A" w:rsidP="00D972BA">
            <w:pPr>
              <w:spacing w:line="120" w:lineRule="auto"/>
              <w:jc w:val="left"/>
              <w:rPr>
                <w:sz w:val="12"/>
                <w:szCs w:val="12"/>
              </w:rPr>
            </w:pPr>
            <w:r>
              <w:rPr>
                <w:sz w:val="12"/>
                <w:szCs w:val="12"/>
              </w:rPr>
              <w:t>2</w:t>
            </w:r>
            <w:r>
              <w:rPr>
                <w:rFonts w:hint="eastAsia"/>
                <w:sz w:val="12"/>
                <w:szCs w:val="12"/>
              </w:rPr>
              <w:t>8</w:t>
            </w:r>
            <w:r>
              <w:rPr>
                <w:sz w:val="12"/>
                <w:szCs w:val="12"/>
              </w:rPr>
              <w:t>. For patients without bleeding risk: Use heparin solution at 1000–1250 U/mL for tube sealing every 12–24 hours.</w:t>
            </w:r>
          </w:p>
        </w:tc>
        <w:tc>
          <w:tcPr>
            <w:tcW w:w="3700" w:type="dxa"/>
          </w:tcPr>
          <w:p w14:paraId="19CE5711" w14:textId="77777777" w:rsidR="0061499A" w:rsidRDefault="0061499A" w:rsidP="00D972BA">
            <w:pPr>
              <w:pStyle w:val="NormalWeb"/>
              <w:widowControl/>
              <w:rPr>
                <w:rFonts w:eastAsia="SimSun"/>
                <w:sz w:val="12"/>
                <w:szCs w:val="12"/>
              </w:rPr>
            </w:pPr>
            <w:r>
              <w:rPr>
                <w:sz w:val="12"/>
                <w:szCs w:val="12"/>
              </w:rPr>
              <w:t>19. Healthcare providers are aware of catheter maintenance following discontinuation of corresponding CRRT.</w:t>
            </w:r>
          </w:p>
        </w:tc>
        <w:tc>
          <w:tcPr>
            <w:tcW w:w="1590" w:type="dxa"/>
          </w:tcPr>
          <w:p w14:paraId="1BEEF807" w14:textId="77777777" w:rsidR="0061499A" w:rsidRDefault="0061499A" w:rsidP="00D972BA">
            <w:pPr>
              <w:spacing w:line="120" w:lineRule="auto"/>
              <w:jc w:val="left"/>
              <w:rPr>
                <w:rFonts w:eastAsia="SimSun"/>
                <w:sz w:val="13"/>
                <w:szCs w:val="13"/>
              </w:rPr>
            </w:pPr>
            <w:r>
              <w:rPr>
                <w:rFonts w:eastAsia="SimSun" w:hint="eastAsia"/>
                <w:sz w:val="13"/>
                <w:szCs w:val="13"/>
              </w:rPr>
              <w:t>On-site inspection or inquiry</w:t>
            </w:r>
          </w:p>
        </w:tc>
      </w:tr>
      <w:tr w:rsidR="0061499A" w14:paraId="1C574F41" w14:textId="77777777" w:rsidTr="00D972BA">
        <w:tc>
          <w:tcPr>
            <w:tcW w:w="1662" w:type="dxa"/>
          </w:tcPr>
          <w:p w14:paraId="5D36AA22" w14:textId="77777777" w:rsidR="0061499A" w:rsidRDefault="0061499A" w:rsidP="00D972BA">
            <w:pPr>
              <w:spacing w:line="120" w:lineRule="auto"/>
              <w:jc w:val="left"/>
              <w:rPr>
                <w:rFonts w:eastAsia="SimSun"/>
                <w:b/>
                <w:bCs/>
                <w:sz w:val="13"/>
                <w:szCs w:val="13"/>
              </w:rPr>
            </w:pPr>
          </w:p>
        </w:tc>
        <w:tc>
          <w:tcPr>
            <w:tcW w:w="3874" w:type="dxa"/>
          </w:tcPr>
          <w:p w14:paraId="1529C859" w14:textId="77777777" w:rsidR="0061499A" w:rsidRDefault="0061499A" w:rsidP="00D972BA">
            <w:pPr>
              <w:spacing w:line="120" w:lineRule="auto"/>
              <w:jc w:val="left"/>
              <w:rPr>
                <w:sz w:val="12"/>
                <w:szCs w:val="12"/>
              </w:rPr>
            </w:pPr>
            <w:r>
              <w:rPr>
                <w:rFonts w:hint="eastAsia"/>
                <w:sz w:val="12"/>
                <w:szCs w:val="12"/>
              </w:rPr>
              <w:t>29</w:t>
            </w:r>
            <w:r>
              <w:rPr>
                <w:sz w:val="12"/>
                <w:szCs w:val="12"/>
              </w:rPr>
              <w:t>. For patients with bleeding risk or heparin contraindications: Use &lt;5% citrate solution for tube sealing every 12–24 hours.</w:t>
            </w:r>
          </w:p>
        </w:tc>
        <w:tc>
          <w:tcPr>
            <w:tcW w:w="3700" w:type="dxa"/>
          </w:tcPr>
          <w:p w14:paraId="7EF7CAAE" w14:textId="77777777" w:rsidR="0061499A" w:rsidRDefault="0061499A" w:rsidP="00D972BA">
            <w:pPr>
              <w:spacing w:line="120" w:lineRule="auto"/>
              <w:jc w:val="left"/>
              <w:rPr>
                <w:rFonts w:eastAsia="SimSun"/>
                <w:sz w:val="12"/>
                <w:szCs w:val="12"/>
              </w:rPr>
            </w:pPr>
          </w:p>
        </w:tc>
        <w:tc>
          <w:tcPr>
            <w:tcW w:w="1590" w:type="dxa"/>
          </w:tcPr>
          <w:p w14:paraId="032778F0" w14:textId="77777777" w:rsidR="0061499A" w:rsidRDefault="0061499A" w:rsidP="00D972BA">
            <w:pPr>
              <w:spacing w:line="120" w:lineRule="auto"/>
              <w:jc w:val="left"/>
              <w:rPr>
                <w:rFonts w:eastAsia="SimSun"/>
                <w:sz w:val="13"/>
                <w:szCs w:val="13"/>
              </w:rPr>
            </w:pPr>
          </w:p>
        </w:tc>
      </w:tr>
    </w:tbl>
    <w:p w14:paraId="5C882FB4" w14:textId="77777777" w:rsidR="0061499A" w:rsidRDefault="0061499A" w:rsidP="0061499A">
      <w:pPr>
        <w:pStyle w:val="2016"/>
        <w:rPr>
          <w:rFonts w:ascii="Times New Roman" w:hAnsi="Times New Roman" w:cs="Times New Roman"/>
          <w:color w:val="auto"/>
          <w:sz w:val="24"/>
          <w:lang w:val="en-US"/>
        </w:rPr>
      </w:pPr>
    </w:p>
    <w:p w14:paraId="6F9AFAFB" w14:textId="77777777" w:rsidR="0061499A" w:rsidRDefault="0061499A" w:rsidP="0061499A">
      <w:pPr>
        <w:pStyle w:val="2016"/>
        <w:rPr>
          <w:rFonts w:ascii="Times New Roman" w:hAnsi="Times New Roman" w:cs="Times New Roman"/>
          <w:color w:val="auto"/>
          <w:szCs w:val="18"/>
          <w:lang w:val="en-US"/>
        </w:rPr>
      </w:pPr>
      <w:r>
        <w:rPr>
          <w:rFonts w:ascii="Times New Roman" w:hAnsi="Times New Roman" w:cs="Times New Roman" w:hint="eastAsia"/>
          <w:color w:val="auto"/>
          <w:szCs w:val="18"/>
          <w:lang w:val="en-US"/>
        </w:rPr>
        <w:t>Table 2  Factors Hindering and Facilitating Unplanned Discontinuation of CRRT in Critically Ill Patients and Corresponding Measures</w:t>
      </w:r>
    </w:p>
    <w:tbl>
      <w:tblPr>
        <w:tblStyle w:val="TableGrid"/>
        <w:tblpPr w:leftFromText="180" w:rightFromText="180" w:vertAnchor="text" w:horzAnchor="page" w:tblpX="1762" w:tblpY="333"/>
        <w:tblOverlap w:val="never"/>
        <w:tblW w:w="8303" w:type="dxa"/>
        <w:tblLayout w:type="fixed"/>
        <w:tblLook w:val="04A0" w:firstRow="1" w:lastRow="0" w:firstColumn="1" w:lastColumn="0" w:noHBand="0" w:noVBand="1"/>
      </w:tblPr>
      <w:tblGrid>
        <w:gridCol w:w="1015"/>
        <w:gridCol w:w="2151"/>
        <w:gridCol w:w="1300"/>
        <w:gridCol w:w="3837"/>
      </w:tblGrid>
      <w:tr w:rsidR="0061499A" w14:paraId="41E322EA" w14:textId="77777777" w:rsidTr="00D972BA">
        <w:trPr>
          <w:trHeight w:val="258"/>
        </w:trPr>
        <w:tc>
          <w:tcPr>
            <w:tcW w:w="1015" w:type="dxa"/>
            <w:tcMar>
              <w:left w:w="108" w:type="dxa"/>
              <w:right w:w="108" w:type="dxa"/>
            </w:tcMar>
          </w:tcPr>
          <w:p w14:paraId="279B7349" w14:textId="77777777" w:rsidR="0061499A" w:rsidRDefault="0061499A" w:rsidP="00D972BA">
            <w:pPr>
              <w:rPr>
                <w:rFonts w:eastAsia="SimSun"/>
                <w:sz w:val="18"/>
                <w:szCs w:val="18"/>
              </w:rPr>
            </w:pPr>
            <w:r>
              <w:rPr>
                <w:rFonts w:eastAsia="SimSun"/>
                <w:sz w:val="18"/>
                <w:szCs w:val="18"/>
              </w:rPr>
              <w:t>Project</w:t>
            </w:r>
          </w:p>
        </w:tc>
        <w:tc>
          <w:tcPr>
            <w:tcW w:w="2151" w:type="dxa"/>
            <w:tcMar>
              <w:left w:w="108" w:type="dxa"/>
              <w:right w:w="108" w:type="dxa"/>
            </w:tcMar>
          </w:tcPr>
          <w:p w14:paraId="11A273FD" w14:textId="77777777" w:rsidR="0061499A" w:rsidRDefault="0061499A" w:rsidP="00D972BA">
            <w:pPr>
              <w:rPr>
                <w:rFonts w:eastAsia="SimSun"/>
                <w:sz w:val="18"/>
                <w:szCs w:val="18"/>
              </w:rPr>
            </w:pPr>
            <w:r>
              <w:rPr>
                <w:rFonts w:eastAsia="SimSun"/>
                <w:sz w:val="18"/>
                <w:szCs w:val="18"/>
              </w:rPr>
              <w:t>Barrier</w:t>
            </w:r>
          </w:p>
        </w:tc>
        <w:tc>
          <w:tcPr>
            <w:tcW w:w="1300" w:type="dxa"/>
            <w:tcMar>
              <w:left w:w="108" w:type="dxa"/>
              <w:right w:w="108" w:type="dxa"/>
            </w:tcMar>
          </w:tcPr>
          <w:p w14:paraId="20487ACB" w14:textId="77777777" w:rsidR="0061499A" w:rsidRDefault="0061499A" w:rsidP="00D972BA">
            <w:pPr>
              <w:rPr>
                <w:rFonts w:eastAsia="SimSun"/>
                <w:sz w:val="18"/>
                <w:szCs w:val="18"/>
              </w:rPr>
            </w:pPr>
            <w:r>
              <w:rPr>
                <w:rFonts w:eastAsia="SimSun"/>
                <w:sz w:val="18"/>
                <w:szCs w:val="18"/>
              </w:rPr>
              <w:t>promotion</w:t>
            </w:r>
          </w:p>
        </w:tc>
        <w:tc>
          <w:tcPr>
            <w:tcW w:w="3837" w:type="dxa"/>
            <w:tcMar>
              <w:left w:w="108" w:type="dxa"/>
              <w:right w:w="108" w:type="dxa"/>
            </w:tcMar>
          </w:tcPr>
          <w:p w14:paraId="179B74F9" w14:textId="77777777" w:rsidR="0061499A" w:rsidRDefault="0061499A" w:rsidP="00D972BA">
            <w:pPr>
              <w:rPr>
                <w:rFonts w:eastAsia="SimSun"/>
                <w:sz w:val="18"/>
                <w:szCs w:val="18"/>
              </w:rPr>
            </w:pPr>
            <w:r>
              <w:rPr>
                <w:rFonts w:eastAsia="SimSun"/>
                <w:sz w:val="18"/>
                <w:szCs w:val="18"/>
              </w:rPr>
              <w:t>Measures</w:t>
            </w:r>
          </w:p>
        </w:tc>
      </w:tr>
      <w:tr w:rsidR="0061499A" w14:paraId="0EA9EE8A" w14:textId="77777777" w:rsidTr="00D972BA">
        <w:tc>
          <w:tcPr>
            <w:tcW w:w="1015" w:type="dxa"/>
            <w:tcMar>
              <w:left w:w="108" w:type="dxa"/>
              <w:right w:w="108" w:type="dxa"/>
            </w:tcMar>
          </w:tcPr>
          <w:p w14:paraId="41BF3629" w14:textId="77777777" w:rsidR="0061499A" w:rsidRDefault="0061499A" w:rsidP="00D972BA">
            <w:pPr>
              <w:rPr>
                <w:rFonts w:eastAsia="SimSun"/>
                <w:sz w:val="18"/>
                <w:szCs w:val="18"/>
              </w:rPr>
            </w:pPr>
            <w:r>
              <w:rPr>
                <w:rFonts w:eastAsia="SimSun"/>
                <w:sz w:val="18"/>
                <w:szCs w:val="18"/>
              </w:rPr>
              <w:t>Organizational aspects</w:t>
            </w:r>
          </w:p>
        </w:tc>
        <w:tc>
          <w:tcPr>
            <w:tcW w:w="2151" w:type="dxa"/>
            <w:tcMar>
              <w:left w:w="108" w:type="dxa"/>
              <w:right w:w="108" w:type="dxa"/>
            </w:tcMar>
          </w:tcPr>
          <w:p w14:paraId="5F8DA3DA" w14:textId="77777777" w:rsidR="0061499A" w:rsidRDefault="0061499A" w:rsidP="00D972BA">
            <w:pPr>
              <w:rPr>
                <w:rFonts w:eastAsia="SimSun"/>
                <w:sz w:val="18"/>
                <w:szCs w:val="18"/>
              </w:rPr>
            </w:pPr>
            <w:r>
              <w:rPr>
                <w:rFonts w:eastAsia="SimSun"/>
                <w:sz w:val="18"/>
                <w:szCs w:val="18"/>
              </w:rPr>
              <w:t>1.Lack of effective team organization and support</w:t>
            </w:r>
          </w:p>
        </w:tc>
        <w:tc>
          <w:tcPr>
            <w:tcW w:w="1300" w:type="dxa"/>
            <w:tcMar>
              <w:left w:w="108" w:type="dxa"/>
              <w:right w:w="108" w:type="dxa"/>
            </w:tcMar>
          </w:tcPr>
          <w:p w14:paraId="57D3BDAE" w14:textId="77777777" w:rsidR="0061499A" w:rsidRDefault="0061499A" w:rsidP="00D972BA">
            <w:pPr>
              <w:pStyle w:val="NormalWeb"/>
              <w:widowControl/>
              <w:rPr>
                <w:rFonts w:eastAsia="SimSun"/>
                <w:sz w:val="18"/>
                <w:szCs w:val="18"/>
              </w:rPr>
            </w:pPr>
            <w:r>
              <w:rPr>
                <w:rFonts w:eastAsia="SimSun"/>
                <w:sz w:val="18"/>
                <w:szCs w:val="18"/>
              </w:rPr>
              <w:t>1.</w:t>
            </w:r>
            <w:r>
              <w:rPr>
                <w:rFonts w:eastAsia="SimSun"/>
                <w:snapToGrid w:val="0"/>
                <w:sz w:val="18"/>
                <w:szCs w:val="18"/>
              </w:rPr>
              <w:t>Establish a quality control team related to the department's establishment.</w:t>
            </w:r>
          </w:p>
        </w:tc>
        <w:tc>
          <w:tcPr>
            <w:tcW w:w="3837" w:type="dxa"/>
            <w:tcMar>
              <w:left w:w="108" w:type="dxa"/>
              <w:right w:w="108" w:type="dxa"/>
            </w:tcMar>
          </w:tcPr>
          <w:p w14:paraId="7120B418" w14:textId="77777777" w:rsidR="0061499A" w:rsidRDefault="0061499A" w:rsidP="00D972BA">
            <w:pPr>
              <w:pStyle w:val="NormalWeb"/>
              <w:widowControl/>
              <w:rPr>
                <w:rFonts w:eastAsia="SimSun"/>
                <w:sz w:val="18"/>
                <w:szCs w:val="18"/>
              </w:rPr>
            </w:pPr>
            <w:r>
              <w:rPr>
                <w:rFonts w:eastAsia="SimSun"/>
                <w:sz w:val="18"/>
                <w:szCs w:val="18"/>
              </w:rPr>
              <w:t>1.</w:t>
            </w:r>
            <w:r>
              <w:rPr>
                <w:sz w:val="18"/>
                <w:szCs w:val="18"/>
              </w:rPr>
              <w:t>The department established a multidisciplinary prevention team and developed an intervention plan with clearly defined roles. Nurses and provincial-level hemodialysis nurses each performed their respective duties while maintaining constant communication and collaboration.</w:t>
            </w:r>
          </w:p>
        </w:tc>
      </w:tr>
      <w:tr w:rsidR="0061499A" w14:paraId="54D1F4B1" w14:textId="77777777" w:rsidTr="00D972BA">
        <w:tc>
          <w:tcPr>
            <w:tcW w:w="1015" w:type="dxa"/>
            <w:tcMar>
              <w:left w:w="108" w:type="dxa"/>
              <w:right w:w="108" w:type="dxa"/>
            </w:tcMar>
          </w:tcPr>
          <w:p w14:paraId="2830D450" w14:textId="77777777" w:rsidR="0061499A" w:rsidRDefault="0061499A" w:rsidP="00D972BA">
            <w:pPr>
              <w:rPr>
                <w:rFonts w:eastAsia="SimSun"/>
                <w:sz w:val="18"/>
                <w:szCs w:val="18"/>
              </w:rPr>
            </w:pPr>
          </w:p>
        </w:tc>
        <w:tc>
          <w:tcPr>
            <w:tcW w:w="2151" w:type="dxa"/>
            <w:tcMar>
              <w:left w:w="108" w:type="dxa"/>
              <w:right w:w="108" w:type="dxa"/>
            </w:tcMar>
          </w:tcPr>
          <w:p w14:paraId="744DD308" w14:textId="77777777" w:rsidR="0061499A" w:rsidRDefault="0061499A" w:rsidP="00D972BA">
            <w:pPr>
              <w:rPr>
                <w:rFonts w:eastAsia="SimSun"/>
                <w:sz w:val="18"/>
                <w:szCs w:val="18"/>
              </w:rPr>
            </w:pPr>
            <w:r>
              <w:rPr>
                <w:rFonts w:eastAsia="SimSun"/>
                <w:sz w:val="18"/>
                <w:szCs w:val="18"/>
              </w:rPr>
              <w:t>2. Lack of corresponding verification checklists and operational procedures</w:t>
            </w:r>
          </w:p>
        </w:tc>
        <w:tc>
          <w:tcPr>
            <w:tcW w:w="1300" w:type="dxa"/>
            <w:tcMar>
              <w:left w:w="108" w:type="dxa"/>
              <w:right w:w="108" w:type="dxa"/>
            </w:tcMar>
          </w:tcPr>
          <w:p w14:paraId="68A5CF2B" w14:textId="77777777" w:rsidR="0061499A" w:rsidRDefault="0061499A" w:rsidP="00D972BA">
            <w:pPr>
              <w:rPr>
                <w:rFonts w:eastAsia="SimSun"/>
                <w:sz w:val="18"/>
                <w:szCs w:val="18"/>
              </w:rPr>
            </w:pPr>
            <w:r>
              <w:rPr>
                <w:rFonts w:eastAsia="SimSun"/>
                <w:sz w:val="18"/>
                <w:szCs w:val="18"/>
              </w:rPr>
              <w:t>2.Managerial attention and support</w:t>
            </w:r>
          </w:p>
        </w:tc>
        <w:tc>
          <w:tcPr>
            <w:tcW w:w="3837" w:type="dxa"/>
            <w:tcMar>
              <w:left w:w="108" w:type="dxa"/>
              <w:right w:w="108" w:type="dxa"/>
            </w:tcMar>
          </w:tcPr>
          <w:p w14:paraId="3C0988CD" w14:textId="77777777" w:rsidR="0061499A" w:rsidRDefault="0061499A" w:rsidP="00D972BA">
            <w:pPr>
              <w:pStyle w:val="NormalWeb"/>
              <w:widowControl/>
              <w:rPr>
                <w:sz w:val="18"/>
                <w:szCs w:val="18"/>
              </w:rPr>
            </w:pPr>
            <w:r>
              <w:rPr>
                <w:rFonts w:eastAsia="SimSun"/>
                <w:sz w:val="18"/>
                <w:szCs w:val="18"/>
              </w:rPr>
              <w:t>2.</w:t>
            </w:r>
            <w:r>
              <w:rPr>
                <w:sz w:val="18"/>
                <w:szCs w:val="18"/>
              </w:rPr>
              <w:t>Based on the relevant discussions within the group, develop a procedure and checklist for preventing unplanned discontinuation of CRRT.</w:t>
            </w:r>
          </w:p>
        </w:tc>
      </w:tr>
      <w:tr w:rsidR="0061499A" w14:paraId="5400B6F4" w14:textId="77777777" w:rsidTr="00D972BA">
        <w:tc>
          <w:tcPr>
            <w:tcW w:w="1015" w:type="dxa"/>
            <w:tcMar>
              <w:left w:w="108" w:type="dxa"/>
              <w:right w:w="108" w:type="dxa"/>
            </w:tcMar>
          </w:tcPr>
          <w:p w14:paraId="15A50A70" w14:textId="77777777" w:rsidR="0061499A" w:rsidRDefault="0061499A" w:rsidP="00D972BA">
            <w:pPr>
              <w:rPr>
                <w:rFonts w:eastAsia="SimSun"/>
                <w:sz w:val="18"/>
                <w:szCs w:val="18"/>
              </w:rPr>
            </w:pPr>
          </w:p>
        </w:tc>
        <w:tc>
          <w:tcPr>
            <w:tcW w:w="2151" w:type="dxa"/>
            <w:tcMar>
              <w:left w:w="108" w:type="dxa"/>
              <w:right w:w="108" w:type="dxa"/>
            </w:tcMar>
          </w:tcPr>
          <w:p w14:paraId="778E1FE2" w14:textId="77777777" w:rsidR="0061499A" w:rsidRDefault="0061499A" w:rsidP="00D972BA">
            <w:pPr>
              <w:rPr>
                <w:rFonts w:eastAsia="SimSun"/>
                <w:sz w:val="18"/>
                <w:szCs w:val="18"/>
              </w:rPr>
            </w:pPr>
            <w:r>
              <w:rPr>
                <w:rFonts w:eastAsia="SimSun"/>
                <w:sz w:val="18"/>
                <w:szCs w:val="18"/>
              </w:rPr>
              <w:t>3.The department's current training content is not comprehensive.</w:t>
            </w:r>
          </w:p>
        </w:tc>
        <w:tc>
          <w:tcPr>
            <w:tcW w:w="1300" w:type="dxa"/>
            <w:tcMar>
              <w:left w:w="108" w:type="dxa"/>
              <w:right w:w="108" w:type="dxa"/>
            </w:tcMar>
          </w:tcPr>
          <w:p w14:paraId="226A1FF5" w14:textId="77777777" w:rsidR="0061499A" w:rsidRDefault="0061499A" w:rsidP="00D972BA">
            <w:pPr>
              <w:pStyle w:val="NormalWeb"/>
              <w:widowControl/>
              <w:rPr>
                <w:rFonts w:eastAsia="SimSun"/>
                <w:sz w:val="18"/>
                <w:szCs w:val="18"/>
              </w:rPr>
            </w:pPr>
            <w:r>
              <w:rPr>
                <w:rFonts w:eastAsia="SimSun"/>
                <w:sz w:val="18"/>
                <w:szCs w:val="18"/>
              </w:rPr>
              <w:t>3.</w:t>
            </w:r>
            <w:r>
              <w:rPr>
                <w:sz w:val="18"/>
                <w:szCs w:val="18"/>
              </w:rPr>
              <w:t>Team members reorganized the training content to balance practical application with theoretical foundations.</w:t>
            </w:r>
          </w:p>
        </w:tc>
        <w:tc>
          <w:tcPr>
            <w:tcW w:w="3837" w:type="dxa"/>
            <w:tcMar>
              <w:left w:w="108" w:type="dxa"/>
              <w:right w:w="108" w:type="dxa"/>
            </w:tcMar>
          </w:tcPr>
          <w:p w14:paraId="5C58C169" w14:textId="77777777" w:rsidR="0061499A" w:rsidRDefault="0061499A" w:rsidP="00D972BA">
            <w:pPr>
              <w:pStyle w:val="NormalWeb"/>
              <w:widowControl/>
              <w:rPr>
                <w:rFonts w:eastAsia="SimSun"/>
                <w:sz w:val="18"/>
                <w:szCs w:val="18"/>
              </w:rPr>
            </w:pPr>
            <w:r>
              <w:rPr>
                <w:rFonts w:eastAsia="SimSun"/>
                <w:sz w:val="18"/>
                <w:szCs w:val="18"/>
              </w:rPr>
              <w:t>3.</w:t>
            </w:r>
            <w:r>
              <w:rPr>
                <w:sz w:val="18"/>
                <w:szCs w:val="18"/>
              </w:rPr>
              <w:t>Interpretation of relevant guidelines and operational standards. Training content is divided into theoretical training and skills training. Theoretical training consists of three sessions covering CRRT-related topics, DRPI prevention measures, and risk scale application. Hemodialysis nurses and critical care specialty nurses will serve as trainers. Skills training focuses on two competencies: bedside CRRT operation, delivered by hemodialysis nurses. Notably, psychological care components have been integrated into the skills training to enhance healthcare providers' holistic care capabilities.</w:t>
            </w:r>
          </w:p>
        </w:tc>
      </w:tr>
      <w:tr w:rsidR="0061499A" w14:paraId="45E69258" w14:textId="77777777" w:rsidTr="00D972BA">
        <w:tc>
          <w:tcPr>
            <w:tcW w:w="1015" w:type="dxa"/>
            <w:tcMar>
              <w:left w:w="108" w:type="dxa"/>
              <w:right w:w="108" w:type="dxa"/>
            </w:tcMar>
          </w:tcPr>
          <w:p w14:paraId="3A77985D" w14:textId="77777777" w:rsidR="0061499A" w:rsidRDefault="0061499A" w:rsidP="00D972BA">
            <w:pPr>
              <w:rPr>
                <w:rFonts w:eastAsia="SimSun"/>
                <w:sz w:val="18"/>
                <w:szCs w:val="18"/>
              </w:rPr>
            </w:pPr>
            <w:r>
              <w:rPr>
                <w:rFonts w:eastAsia="SimSun"/>
                <w:sz w:val="18"/>
                <w:szCs w:val="18"/>
              </w:rPr>
              <w:t>Practitioners aspects</w:t>
            </w:r>
          </w:p>
        </w:tc>
        <w:tc>
          <w:tcPr>
            <w:tcW w:w="2151" w:type="dxa"/>
            <w:tcMar>
              <w:left w:w="108" w:type="dxa"/>
              <w:right w:w="108" w:type="dxa"/>
            </w:tcMar>
          </w:tcPr>
          <w:p w14:paraId="191D0CF1" w14:textId="77777777" w:rsidR="0061499A" w:rsidRDefault="0061499A" w:rsidP="00D972BA">
            <w:pPr>
              <w:pStyle w:val="NormalWeb"/>
              <w:widowControl/>
              <w:rPr>
                <w:rFonts w:eastAsia="SimSun"/>
                <w:sz w:val="18"/>
                <w:szCs w:val="18"/>
              </w:rPr>
            </w:pPr>
            <w:r>
              <w:rPr>
                <w:rFonts w:eastAsia="SimSun"/>
                <w:sz w:val="18"/>
                <w:szCs w:val="18"/>
              </w:rPr>
              <w:t>4.</w:t>
            </w:r>
            <w:r>
              <w:rPr>
                <w:sz w:val="18"/>
                <w:szCs w:val="18"/>
              </w:rPr>
              <w:t xml:space="preserve">Healthcare personnel are unclear about the corresponding reasons for unplanned disengagement </w:t>
            </w:r>
            <w:r>
              <w:rPr>
                <w:sz w:val="18"/>
                <w:szCs w:val="18"/>
              </w:rPr>
              <w:lastRenderedPageBreak/>
              <w:t>and the handling procedures.</w:t>
            </w:r>
          </w:p>
        </w:tc>
        <w:tc>
          <w:tcPr>
            <w:tcW w:w="1300" w:type="dxa"/>
            <w:tcMar>
              <w:left w:w="108" w:type="dxa"/>
              <w:right w:w="108" w:type="dxa"/>
            </w:tcMar>
          </w:tcPr>
          <w:p w14:paraId="0A863546" w14:textId="77777777" w:rsidR="0061499A" w:rsidRDefault="0061499A" w:rsidP="00D972BA">
            <w:pPr>
              <w:pStyle w:val="NormalWeb"/>
              <w:widowControl/>
              <w:rPr>
                <w:rFonts w:eastAsia="SimSun"/>
                <w:sz w:val="18"/>
                <w:szCs w:val="18"/>
              </w:rPr>
            </w:pPr>
            <w:r>
              <w:rPr>
                <w:rFonts w:eastAsia="SimSun"/>
                <w:sz w:val="18"/>
                <w:szCs w:val="18"/>
              </w:rPr>
              <w:lastRenderedPageBreak/>
              <w:t>4.</w:t>
            </w:r>
            <w:r>
              <w:rPr>
                <w:sz w:val="18"/>
                <w:szCs w:val="18"/>
              </w:rPr>
              <w:t xml:space="preserve">Medical staff have shown a positive </w:t>
            </w:r>
            <w:r>
              <w:rPr>
                <w:sz w:val="18"/>
                <w:szCs w:val="18"/>
              </w:rPr>
              <w:lastRenderedPageBreak/>
              <w:t>attitude toward improvement and are diligent in their studies.</w:t>
            </w:r>
          </w:p>
        </w:tc>
        <w:tc>
          <w:tcPr>
            <w:tcW w:w="3837" w:type="dxa"/>
            <w:tcMar>
              <w:left w:w="108" w:type="dxa"/>
              <w:right w:w="108" w:type="dxa"/>
            </w:tcMar>
          </w:tcPr>
          <w:p w14:paraId="59B668FD" w14:textId="77777777" w:rsidR="0061499A" w:rsidRDefault="0061499A" w:rsidP="00D972BA">
            <w:pPr>
              <w:pStyle w:val="NormalWeb"/>
              <w:widowControl/>
              <w:rPr>
                <w:rFonts w:eastAsia="SimSun"/>
                <w:sz w:val="18"/>
                <w:szCs w:val="18"/>
              </w:rPr>
            </w:pPr>
            <w:r>
              <w:rPr>
                <w:rFonts w:eastAsia="SimSun"/>
                <w:sz w:val="18"/>
                <w:szCs w:val="18"/>
              </w:rPr>
              <w:lastRenderedPageBreak/>
              <w:t>4.</w:t>
            </w:r>
            <w:r>
              <w:rPr>
                <w:sz w:val="18"/>
                <w:szCs w:val="18"/>
              </w:rPr>
              <w:t>Establish relevant quality control teams and conduct quarterly quality control analysis of the data.</w:t>
            </w:r>
          </w:p>
        </w:tc>
      </w:tr>
      <w:tr w:rsidR="0061499A" w14:paraId="3AC4BB97" w14:textId="77777777" w:rsidTr="00D972BA">
        <w:trPr>
          <w:trHeight w:val="1903"/>
        </w:trPr>
        <w:tc>
          <w:tcPr>
            <w:tcW w:w="1015" w:type="dxa"/>
            <w:tcMar>
              <w:left w:w="108" w:type="dxa"/>
              <w:right w:w="108" w:type="dxa"/>
            </w:tcMar>
          </w:tcPr>
          <w:p w14:paraId="39890B0B" w14:textId="77777777" w:rsidR="0061499A" w:rsidRDefault="0061499A" w:rsidP="00D972BA">
            <w:pPr>
              <w:rPr>
                <w:rFonts w:eastAsia="SimSun"/>
                <w:sz w:val="18"/>
                <w:szCs w:val="18"/>
              </w:rPr>
            </w:pPr>
          </w:p>
        </w:tc>
        <w:tc>
          <w:tcPr>
            <w:tcW w:w="2151" w:type="dxa"/>
            <w:tcMar>
              <w:left w:w="108" w:type="dxa"/>
              <w:right w:w="108" w:type="dxa"/>
            </w:tcMar>
          </w:tcPr>
          <w:p w14:paraId="59796D00" w14:textId="77777777" w:rsidR="0061499A" w:rsidRDefault="0061499A" w:rsidP="00D972BA">
            <w:pPr>
              <w:pStyle w:val="NormalWeb"/>
              <w:widowControl/>
              <w:rPr>
                <w:rFonts w:eastAsia="SimSun"/>
                <w:sz w:val="18"/>
                <w:szCs w:val="18"/>
              </w:rPr>
            </w:pPr>
            <w:r>
              <w:rPr>
                <w:rFonts w:eastAsia="SimSun"/>
                <w:sz w:val="18"/>
                <w:szCs w:val="18"/>
              </w:rPr>
              <w:t>5.</w:t>
            </w:r>
            <w:r>
              <w:rPr>
                <w:sz w:val="18"/>
                <w:szCs w:val="18"/>
              </w:rPr>
              <w:t>Healthcare personnel lack sufficient awareness of the importance of corresponding unplanned disconnection causes and handling procedures.</w:t>
            </w:r>
          </w:p>
        </w:tc>
        <w:tc>
          <w:tcPr>
            <w:tcW w:w="1300" w:type="dxa"/>
            <w:tcMar>
              <w:left w:w="108" w:type="dxa"/>
              <w:right w:w="108" w:type="dxa"/>
            </w:tcMar>
          </w:tcPr>
          <w:p w14:paraId="22578832" w14:textId="77777777" w:rsidR="0061499A" w:rsidRDefault="0061499A" w:rsidP="00D972BA">
            <w:pPr>
              <w:rPr>
                <w:rFonts w:eastAsia="SimSun"/>
                <w:sz w:val="18"/>
                <w:szCs w:val="18"/>
              </w:rPr>
            </w:pPr>
          </w:p>
        </w:tc>
        <w:tc>
          <w:tcPr>
            <w:tcW w:w="3837" w:type="dxa"/>
            <w:tcMar>
              <w:left w:w="108" w:type="dxa"/>
              <w:right w:w="108" w:type="dxa"/>
            </w:tcMar>
          </w:tcPr>
          <w:p w14:paraId="1310AEEC" w14:textId="77777777" w:rsidR="0061499A" w:rsidRDefault="0061499A" w:rsidP="00D972BA">
            <w:pPr>
              <w:pStyle w:val="NormalWeb"/>
              <w:widowControl/>
              <w:rPr>
                <w:sz w:val="18"/>
                <w:szCs w:val="18"/>
              </w:rPr>
            </w:pPr>
            <w:r>
              <w:rPr>
                <w:rFonts w:eastAsia="SimSun"/>
                <w:sz w:val="18"/>
                <w:szCs w:val="18"/>
              </w:rPr>
              <w:t>5.</w:t>
            </w:r>
            <w:r>
              <w:rPr>
                <w:sz w:val="18"/>
                <w:szCs w:val="18"/>
              </w:rPr>
              <w:t>Standardized Operations: Regular training and assessments, with assessment results linked to year-end rankings.</w:t>
            </w:r>
          </w:p>
          <w:p w14:paraId="02135587" w14:textId="77777777" w:rsidR="0061499A" w:rsidRDefault="0061499A" w:rsidP="00D972BA">
            <w:pPr>
              <w:pStyle w:val="2016"/>
              <w:rPr>
                <w:rFonts w:ascii="Times New Roman" w:eastAsia="SimSun" w:cs="Times New Roman"/>
                <w:color w:val="auto"/>
                <w:sz w:val="18"/>
                <w:szCs w:val="18"/>
                <w:lang w:val="en-US"/>
              </w:rPr>
            </w:pPr>
          </w:p>
        </w:tc>
      </w:tr>
      <w:tr w:rsidR="0061499A" w14:paraId="599E6845" w14:textId="77777777" w:rsidTr="00D972BA">
        <w:tc>
          <w:tcPr>
            <w:tcW w:w="1015" w:type="dxa"/>
            <w:tcMar>
              <w:left w:w="108" w:type="dxa"/>
              <w:right w:w="108" w:type="dxa"/>
            </w:tcMar>
          </w:tcPr>
          <w:p w14:paraId="285D5565" w14:textId="77777777" w:rsidR="0061499A" w:rsidRDefault="0061499A" w:rsidP="00D972BA">
            <w:pPr>
              <w:rPr>
                <w:rFonts w:eastAsia="SimSun"/>
                <w:sz w:val="18"/>
                <w:szCs w:val="18"/>
              </w:rPr>
            </w:pPr>
          </w:p>
        </w:tc>
        <w:tc>
          <w:tcPr>
            <w:tcW w:w="2151" w:type="dxa"/>
            <w:tcMar>
              <w:left w:w="108" w:type="dxa"/>
              <w:right w:w="108" w:type="dxa"/>
            </w:tcMar>
          </w:tcPr>
          <w:p w14:paraId="1FA1BD63" w14:textId="77777777" w:rsidR="0061499A" w:rsidRDefault="0061499A" w:rsidP="00D972BA">
            <w:pPr>
              <w:pStyle w:val="NormalWeb"/>
              <w:widowControl/>
              <w:rPr>
                <w:rFonts w:eastAsia="SimSun"/>
                <w:sz w:val="18"/>
                <w:szCs w:val="18"/>
              </w:rPr>
            </w:pPr>
            <w:r>
              <w:rPr>
                <w:rFonts w:eastAsia="SimSun"/>
                <w:sz w:val="18"/>
                <w:szCs w:val="18"/>
              </w:rPr>
              <w:t>3.</w:t>
            </w:r>
            <w:r>
              <w:rPr>
                <w:sz w:val="18"/>
                <w:szCs w:val="18"/>
              </w:rPr>
              <w:t>Healthcare providers provide insufficient psychological care for patients undergoing continuous renal replacement therapy (CRRT).</w:t>
            </w:r>
          </w:p>
        </w:tc>
        <w:tc>
          <w:tcPr>
            <w:tcW w:w="1300" w:type="dxa"/>
            <w:tcMar>
              <w:left w:w="108" w:type="dxa"/>
              <w:right w:w="108" w:type="dxa"/>
            </w:tcMar>
          </w:tcPr>
          <w:p w14:paraId="1AEB5390" w14:textId="77777777" w:rsidR="0061499A" w:rsidRDefault="0061499A" w:rsidP="00D972BA">
            <w:pPr>
              <w:pStyle w:val="NormalWeb"/>
              <w:widowControl/>
              <w:rPr>
                <w:rFonts w:eastAsia="SimSun"/>
                <w:sz w:val="18"/>
                <w:szCs w:val="18"/>
              </w:rPr>
            </w:pPr>
            <w:r>
              <w:rPr>
                <w:rFonts w:eastAsia="SimSun"/>
                <w:sz w:val="18"/>
                <w:szCs w:val="18"/>
              </w:rPr>
              <w:t>5.</w:t>
            </w:r>
            <w:r>
              <w:rPr>
                <w:sz w:val="18"/>
                <w:szCs w:val="18"/>
              </w:rPr>
              <w:t>Improve work models to enable healthcare providers to focus more on the holistic nature of the individual.</w:t>
            </w:r>
          </w:p>
        </w:tc>
        <w:tc>
          <w:tcPr>
            <w:tcW w:w="3837" w:type="dxa"/>
            <w:tcMar>
              <w:left w:w="108" w:type="dxa"/>
              <w:right w:w="108" w:type="dxa"/>
            </w:tcMar>
          </w:tcPr>
          <w:p w14:paraId="50F1718F" w14:textId="77777777" w:rsidR="0061499A" w:rsidRDefault="0061499A" w:rsidP="00D972BA">
            <w:pPr>
              <w:pStyle w:val="NormalWeb"/>
              <w:widowControl/>
              <w:rPr>
                <w:rFonts w:eastAsia="SimSun"/>
                <w:sz w:val="18"/>
                <w:szCs w:val="18"/>
              </w:rPr>
            </w:pPr>
            <w:r>
              <w:rPr>
                <w:rFonts w:eastAsia="SimSun"/>
                <w:sz w:val="18"/>
                <w:szCs w:val="18"/>
              </w:rPr>
              <w:t>6.</w:t>
            </w:r>
            <w:r>
              <w:rPr>
                <w:sz w:val="18"/>
                <w:szCs w:val="18"/>
              </w:rPr>
              <w:t>CSICU previously operated under a responsibility group system, where one nurse cared for 2 to 3 patients. This has been modified such that when caring for critically ill patients undergoing CRRT treatment, a single nurse is assigned to that patient. (If one nurse is assigned to two patients, the second patient must be assessed as being in a stable condition.)</w:t>
            </w:r>
          </w:p>
        </w:tc>
      </w:tr>
      <w:tr w:rsidR="0061499A" w14:paraId="17357801" w14:textId="77777777" w:rsidTr="00D972BA">
        <w:tc>
          <w:tcPr>
            <w:tcW w:w="1015" w:type="dxa"/>
            <w:tcMar>
              <w:left w:w="108" w:type="dxa"/>
              <w:right w:w="108" w:type="dxa"/>
            </w:tcMar>
          </w:tcPr>
          <w:p w14:paraId="2D12F96E" w14:textId="77777777" w:rsidR="0061499A" w:rsidRDefault="0061499A" w:rsidP="00D972BA">
            <w:pPr>
              <w:rPr>
                <w:rFonts w:eastAsia="SimSun"/>
                <w:sz w:val="18"/>
                <w:szCs w:val="18"/>
              </w:rPr>
            </w:pPr>
            <w:r>
              <w:rPr>
                <w:rFonts w:eastAsia="SimSun"/>
                <w:sz w:val="18"/>
                <w:szCs w:val="18"/>
              </w:rPr>
              <w:t>Patients aspects</w:t>
            </w:r>
          </w:p>
        </w:tc>
        <w:tc>
          <w:tcPr>
            <w:tcW w:w="2151" w:type="dxa"/>
            <w:tcMar>
              <w:left w:w="108" w:type="dxa"/>
              <w:right w:w="108" w:type="dxa"/>
            </w:tcMar>
          </w:tcPr>
          <w:p w14:paraId="4BF7CD0C" w14:textId="77777777" w:rsidR="0061499A" w:rsidRDefault="0061499A" w:rsidP="00D972BA">
            <w:pPr>
              <w:pStyle w:val="NormalWeb"/>
              <w:widowControl/>
              <w:rPr>
                <w:rFonts w:eastAsia="SimSun"/>
                <w:sz w:val="18"/>
                <w:szCs w:val="18"/>
              </w:rPr>
            </w:pPr>
            <w:r>
              <w:rPr>
                <w:sz w:val="18"/>
                <w:szCs w:val="18"/>
              </w:rPr>
              <w:t>High-risk patients requiring CRRT receive inadequate preoperative education.</w:t>
            </w:r>
          </w:p>
        </w:tc>
        <w:tc>
          <w:tcPr>
            <w:tcW w:w="1300" w:type="dxa"/>
            <w:tcMar>
              <w:left w:w="108" w:type="dxa"/>
              <w:right w:w="108" w:type="dxa"/>
            </w:tcMar>
          </w:tcPr>
          <w:p w14:paraId="7C822843" w14:textId="77777777" w:rsidR="0061499A" w:rsidRDefault="0061499A" w:rsidP="00D972BA">
            <w:pPr>
              <w:pStyle w:val="NormalWeb"/>
              <w:widowControl/>
              <w:rPr>
                <w:rFonts w:eastAsia="SimSun"/>
                <w:sz w:val="18"/>
                <w:szCs w:val="18"/>
              </w:rPr>
            </w:pPr>
            <w:r>
              <w:rPr>
                <w:rFonts w:eastAsia="SimSun"/>
                <w:sz w:val="18"/>
                <w:szCs w:val="18"/>
              </w:rPr>
              <w:t>6.</w:t>
            </w:r>
            <w:r>
              <w:rPr>
                <w:sz w:val="18"/>
                <w:szCs w:val="18"/>
              </w:rPr>
              <w:t>Patients are highly motivated, with some demonstrating a strong level of understanding.</w:t>
            </w:r>
          </w:p>
        </w:tc>
        <w:tc>
          <w:tcPr>
            <w:tcW w:w="3837" w:type="dxa"/>
            <w:tcMar>
              <w:left w:w="108" w:type="dxa"/>
              <w:right w:w="108" w:type="dxa"/>
            </w:tcMar>
          </w:tcPr>
          <w:p w14:paraId="284F898D" w14:textId="77777777" w:rsidR="0061499A" w:rsidRDefault="0061499A" w:rsidP="00D972BA">
            <w:pPr>
              <w:pStyle w:val="NormalWeb"/>
              <w:widowControl/>
              <w:rPr>
                <w:sz w:val="18"/>
                <w:szCs w:val="18"/>
              </w:rPr>
            </w:pPr>
            <w:r>
              <w:rPr>
                <w:rFonts w:eastAsia="SimSun"/>
                <w:sz w:val="18"/>
                <w:szCs w:val="18"/>
              </w:rPr>
              <w:t>7.</w:t>
            </w:r>
            <w:r>
              <w:rPr>
                <w:sz w:val="18"/>
                <w:szCs w:val="18"/>
              </w:rPr>
              <w:t>For high-risk patients, healthcare providers should conduct comprehensive assessments and, when necessary, initiate multidisciplinary collaborative prevention teams prior to surgery.</w:t>
            </w:r>
          </w:p>
          <w:p w14:paraId="0E5CBFC4" w14:textId="77777777" w:rsidR="0061499A" w:rsidRDefault="0061499A" w:rsidP="00D972BA">
            <w:pPr>
              <w:rPr>
                <w:rFonts w:eastAsia="SimSun"/>
                <w:sz w:val="18"/>
                <w:szCs w:val="18"/>
              </w:rPr>
            </w:pPr>
          </w:p>
        </w:tc>
      </w:tr>
      <w:tr w:rsidR="0061499A" w14:paraId="12922B07" w14:textId="77777777" w:rsidTr="00D972BA">
        <w:tc>
          <w:tcPr>
            <w:tcW w:w="1015" w:type="dxa"/>
            <w:tcMar>
              <w:left w:w="108" w:type="dxa"/>
              <w:right w:w="108" w:type="dxa"/>
            </w:tcMar>
          </w:tcPr>
          <w:p w14:paraId="794981DF" w14:textId="77777777" w:rsidR="0061499A" w:rsidRDefault="0061499A" w:rsidP="00D972BA">
            <w:pPr>
              <w:rPr>
                <w:rFonts w:eastAsia="SimSun"/>
                <w:sz w:val="18"/>
                <w:szCs w:val="18"/>
              </w:rPr>
            </w:pPr>
          </w:p>
        </w:tc>
        <w:tc>
          <w:tcPr>
            <w:tcW w:w="2151" w:type="dxa"/>
            <w:tcMar>
              <w:left w:w="108" w:type="dxa"/>
              <w:right w:w="108" w:type="dxa"/>
            </w:tcMar>
          </w:tcPr>
          <w:p w14:paraId="14083B1B" w14:textId="77777777" w:rsidR="0061499A" w:rsidRDefault="0061499A" w:rsidP="00D972BA">
            <w:pPr>
              <w:pStyle w:val="NormalWeb"/>
              <w:widowControl/>
              <w:rPr>
                <w:rFonts w:eastAsia="SimSun"/>
                <w:sz w:val="18"/>
                <w:szCs w:val="18"/>
              </w:rPr>
            </w:pPr>
            <w:r>
              <w:rPr>
                <w:sz w:val="18"/>
                <w:szCs w:val="18"/>
              </w:rPr>
              <w:t>Patients demonstrated poor compliance and insufficient understanding during postoperative CRRT treatment.</w:t>
            </w:r>
          </w:p>
        </w:tc>
        <w:tc>
          <w:tcPr>
            <w:tcW w:w="1300" w:type="dxa"/>
            <w:tcMar>
              <w:left w:w="108" w:type="dxa"/>
              <w:right w:w="108" w:type="dxa"/>
            </w:tcMar>
          </w:tcPr>
          <w:p w14:paraId="1AD02E49" w14:textId="77777777" w:rsidR="0061499A" w:rsidRDefault="0061499A" w:rsidP="00D972BA">
            <w:pPr>
              <w:rPr>
                <w:rFonts w:eastAsia="SimSun"/>
                <w:sz w:val="18"/>
                <w:szCs w:val="18"/>
              </w:rPr>
            </w:pPr>
          </w:p>
        </w:tc>
        <w:tc>
          <w:tcPr>
            <w:tcW w:w="3837" w:type="dxa"/>
            <w:tcMar>
              <w:left w:w="108" w:type="dxa"/>
              <w:right w:w="108" w:type="dxa"/>
            </w:tcMar>
          </w:tcPr>
          <w:p w14:paraId="3F8C7831" w14:textId="77777777" w:rsidR="0061499A" w:rsidRDefault="0061499A" w:rsidP="00D972BA">
            <w:pPr>
              <w:pStyle w:val="NormalWeb"/>
              <w:widowControl/>
              <w:rPr>
                <w:sz w:val="18"/>
                <w:szCs w:val="18"/>
              </w:rPr>
            </w:pPr>
            <w:r>
              <w:rPr>
                <w:rFonts w:eastAsia="SimSun"/>
                <w:sz w:val="18"/>
                <w:szCs w:val="18"/>
              </w:rPr>
              <w:t>8.</w:t>
            </w:r>
            <w:r>
              <w:rPr>
                <w:sz w:val="18"/>
                <w:szCs w:val="18"/>
              </w:rPr>
              <w:t>Postoperative complications (especially those related to CRRT procedures) are addressed through various forms of health education demonstrations and explanations.</w:t>
            </w:r>
          </w:p>
          <w:p w14:paraId="0AEBC932" w14:textId="77777777" w:rsidR="0061499A" w:rsidRDefault="0061499A" w:rsidP="00D972BA">
            <w:pPr>
              <w:rPr>
                <w:rFonts w:eastAsia="SimSun"/>
                <w:sz w:val="18"/>
                <w:szCs w:val="18"/>
              </w:rPr>
            </w:pPr>
          </w:p>
        </w:tc>
      </w:tr>
    </w:tbl>
    <w:p w14:paraId="086AAD21" w14:textId="77777777" w:rsidR="00865217" w:rsidRDefault="00865217"/>
    <w:sectPr w:rsidR="00865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TC-767d4f53*2015">
    <w:altName w:val="SimSun"/>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9A"/>
    <w:rsid w:val="002E281E"/>
    <w:rsid w:val="003201BB"/>
    <w:rsid w:val="0061499A"/>
    <w:rsid w:val="00865217"/>
    <w:rsid w:val="00EB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D6A8"/>
  <w15:chartTrackingRefBased/>
  <w15:docId w15:val="{4261DA05-5AB5-4382-A6C8-CBEE3FAD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99A"/>
    <w:pPr>
      <w:widowControl w:val="0"/>
      <w:spacing w:after="0" w:line="240" w:lineRule="auto"/>
      <w:jc w:val="both"/>
    </w:pPr>
    <w:rPr>
      <w:rFonts w:eastAsiaTheme="minorEastAsia"/>
      <w:sz w:val="21"/>
      <w:lang w:eastAsia="zh-CN"/>
      <w14:ligatures w14:val="none"/>
    </w:rPr>
  </w:style>
  <w:style w:type="paragraph" w:styleId="Heading1">
    <w:name w:val="heading 1"/>
    <w:basedOn w:val="Normal"/>
    <w:next w:val="Normal"/>
    <w:link w:val="Heading1Char"/>
    <w:uiPriority w:val="9"/>
    <w:qFormat/>
    <w:rsid w:val="0061499A"/>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1499A"/>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1499A"/>
    <w:pPr>
      <w:keepNext/>
      <w:keepLines/>
      <w:widowControl/>
      <w:spacing w:before="160" w:after="80" w:line="278" w:lineRule="auto"/>
      <w:jc w:val="left"/>
      <w:outlineLvl w:val="2"/>
    </w:pPr>
    <w:rPr>
      <w:rFonts w:eastAsiaTheme="majorEastAsia" w:cstheme="majorBidi"/>
      <w:color w:val="0F4761"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1499A"/>
    <w:pPr>
      <w:keepNext/>
      <w:keepLines/>
      <w:widowControl/>
      <w:spacing w:before="80" w:after="40" w:line="278" w:lineRule="auto"/>
      <w:jc w:val="left"/>
      <w:outlineLvl w:val="3"/>
    </w:pPr>
    <w:rPr>
      <w:rFonts w:eastAsiaTheme="majorEastAsia" w:cstheme="majorBidi"/>
      <w:i/>
      <w:iCs/>
      <w:color w:val="0F4761" w:themeColor="accent1" w:themeShade="BF"/>
      <w:sz w:val="24"/>
      <w:lang w:eastAsia="en-US"/>
      <w14:ligatures w14:val="standardContextual"/>
    </w:rPr>
  </w:style>
  <w:style w:type="paragraph" w:styleId="Heading5">
    <w:name w:val="heading 5"/>
    <w:basedOn w:val="Normal"/>
    <w:next w:val="Normal"/>
    <w:link w:val="Heading5Char"/>
    <w:uiPriority w:val="9"/>
    <w:semiHidden/>
    <w:unhideWhenUsed/>
    <w:qFormat/>
    <w:rsid w:val="0061499A"/>
    <w:pPr>
      <w:keepNext/>
      <w:keepLines/>
      <w:widowControl/>
      <w:spacing w:before="80" w:after="40" w:line="278" w:lineRule="auto"/>
      <w:jc w:val="left"/>
      <w:outlineLvl w:val="4"/>
    </w:pPr>
    <w:rPr>
      <w:rFonts w:eastAsiaTheme="majorEastAsia" w:cstheme="majorBidi"/>
      <w:color w:val="0F4761" w:themeColor="accent1" w:themeShade="BF"/>
      <w:sz w:val="24"/>
      <w:lang w:eastAsia="en-US"/>
      <w14:ligatures w14:val="standardContextual"/>
    </w:rPr>
  </w:style>
  <w:style w:type="paragraph" w:styleId="Heading6">
    <w:name w:val="heading 6"/>
    <w:basedOn w:val="Normal"/>
    <w:next w:val="Normal"/>
    <w:link w:val="Heading6Char"/>
    <w:uiPriority w:val="9"/>
    <w:semiHidden/>
    <w:unhideWhenUsed/>
    <w:qFormat/>
    <w:rsid w:val="0061499A"/>
    <w:pPr>
      <w:keepNext/>
      <w:keepLines/>
      <w:widowControl/>
      <w:spacing w:before="40" w:line="278" w:lineRule="auto"/>
      <w:jc w:val="left"/>
      <w:outlineLvl w:val="5"/>
    </w:pPr>
    <w:rPr>
      <w:rFonts w:eastAsiaTheme="majorEastAsia" w:cstheme="majorBidi"/>
      <w:i/>
      <w:iCs/>
      <w:color w:val="595959" w:themeColor="text1" w:themeTint="A6"/>
      <w:sz w:val="24"/>
      <w:lang w:eastAsia="en-US"/>
      <w14:ligatures w14:val="standardContextual"/>
    </w:rPr>
  </w:style>
  <w:style w:type="paragraph" w:styleId="Heading7">
    <w:name w:val="heading 7"/>
    <w:basedOn w:val="Normal"/>
    <w:next w:val="Normal"/>
    <w:link w:val="Heading7Char"/>
    <w:uiPriority w:val="9"/>
    <w:semiHidden/>
    <w:unhideWhenUsed/>
    <w:qFormat/>
    <w:rsid w:val="0061499A"/>
    <w:pPr>
      <w:keepNext/>
      <w:keepLines/>
      <w:widowControl/>
      <w:spacing w:before="40" w:line="278" w:lineRule="auto"/>
      <w:jc w:val="left"/>
      <w:outlineLvl w:val="6"/>
    </w:pPr>
    <w:rPr>
      <w:rFonts w:eastAsiaTheme="majorEastAsia" w:cstheme="majorBidi"/>
      <w:color w:val="595959" w:themeColor="text1" w:themeTint="A6"/>
      <w:sz w:val="24"/>
      <w:lang w:eastAsia="en-US"/>
      <w14:ligatures w14:val="standardContextual"/>
    </w:rPr>
  </w:style>
  <w:style w:type="paragraph" w:styleId="Heading8">
    <w:name w:val="heading 8"/>
    <w:basedOn w:val="Normal"/>
    <w:next w:val="Normal"/>
    <w:link w:val="Heading8Char"/>
    <w:uiPriority w:val="9"/>
    <w:semiHidden/>
    <w:unhideWhenUsed/>
    <w:qFormat/>
    <w:rsid w:val="0061499A"/>
    <w:pPr>
      <w:keepNext/>
      <w:keepLines/>
      <w:widowControl/>
      <w:spacing w:line="278" w:lineRule="auto"/>
      <w:jc w:val="left"/>
      <w:outlineLvl w:val="7"/>
    </w:pPr>
    <w:rPr>
      <w:rFonts w:eastAsiaTheme="majorEastAsia" w:cstheme="majorBidi"/>
      <w:i/>
      <w:iCs/>
      <w:color w:val="272727" w:themeColor="text1" w:themeTint="D8"/>
      <w:sz w:val="24"/>
      <w:lang w:eastAsia="en-US"/>
      <w14:ligatures w14:val="standardContextual"/>
    </w:rPr>
  </w:style>
  <w:style w:type="paragraph" w:styleId="Heading9">
    <w:name w:val="heading 9"/>
    <w:basedOn w:val="Normal"/>
    <w:next w:val="Normal"/>
    <w:link w:val="Heading9Char"/>
    <w:uiPriority w:val="9"/>
    <w:semiHidden/>
    <w:unhideWhenUsed/>
    <w:qFormat/>
    <w:rsid w:val="0061499A"/>
    <w:pPr>
      <w:keepNext/>
      <w:keepLines/>
      <w:widowControl/>
      <w:spacing w:line="278" w:lineRule="auto"/>
      <w:jc w:val="left"/>
      <w:outlineLvl w:val="8"/>
    </w:pPr>
    <w:rPr>
      <w:rFonts w:eastAsiaTheme="majorEastAsia" w:cstheme="majorBidi"/>
      <w:color w:val="272727" w:themeColor="text1" w:themeTint="D8"/>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99A"/>
    <w:rPr>
      <w:rFonts w:eastAsiaTheme="majorEastAsia" w:cstheme="majorBidi"/>
      <w:color w:val="272727" w:themeColor="text1" w:themeTint="D8"/>
    </w:rPr>
  </w:style>
  <w:style w:type="paragraph" w:styleId="Title">
    <w:name w:val="Title"/>
    <w:basedOn w:val="Normal"/>
    <w:next w:val="Normal"/>
    <w:link w:val="TitleChar"/>
    <w:uiPriority w:val="10"/>
    <w:qFormat/>
    <w:rsid w:val="0061499A"/>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14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99A"/>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614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99A"/>
    <w:pPr>
      <w:widowControl/>
      <w:spacing w:before="160" w:after="160" w:line="278" w:lineRule="auto"/>
      <w:jc w:val="center"/>
    </w:pPr>
    <w:rPr>
      <w:rFonts w:eastAsiaTheme="minorHAnsi"/>
      <w:i/>
      <w:iCs/>
      <w:color w:val="404040" w:themeColor="text1" w:themeTint="BF"/>
      <w:sz w:val="24"/>
      <w:lang w:eastAsia="en-US"/>
      <w14:ligatures w14:val="standardContextual"/>
    </w:rPr>
  </w:style>
  <w:style w:type="character" w:customStyle="1" w:styleId="QuoteChar">
    <w:name w:val="Quote Char"/>
    <w:basedOn w:val="DefaultParagraphFont"/>
    <w:link w:val="Quote"/>
    <w:uiPriority w:val="29"/>
    <w:rsid w:val="0061499A"/>
    <w:rPr>
      <w:i/>
      <w:iCs/>
      <w:color w:val="404040" w:themeColor="text1" w:themeTint="BF"/>
    </w:rPr>
  </w:style>
  <w:style w:type="paragraph" w:styleId="ListParagraph">
    <w:name w:val="List Paragraph"/>
    <w:basedOn w:val="Normal"/>
    <w:uiPriority w:val="34"/>
    <w:qFormat/>
    <w:rsid w:val="0061499A"/>
    <w:pPr>
      <w:widowControl/>
      <w:spacing w:after="160" w:line="278" w:lineRule="auto"/>
      <w:ind w:left="720"/>
      <w:contextualSpacing/>
      <w:jc w:val="left"/>
    </w:pPr>
    <w:rPr>
      <w:rFonts w:eastAsiaTheme="minorHAnsi"/>
      <w:sz w:val="24"/>
      <w:lang w:eastAsia="en-US"/>
      <w14:ligatures w14:val="standardContextual"/>
    </w:rPr>
  </w:style>
  <w:style w:type="character" w:styleId="IntenseEmphasis">
    <w:name w:val="Intense Emphasis"/>
    <w:basedOn w:val="DefaultParagraphFont"/>
    <w:uiPriority w:val="21"/>
    <w:qFormat/>
    <w:rsid w:val="0061499A"/>
    <w:rPr>
      <w:i/>
      <w:iCs/>
      <w:color w:val="0F4761" w:themeColor="accent1" w:themeShade="BF"/>
    </w:rPr>
  </w:style>
  <w:style w:type="paragraph" w:styleId="IntenseQuote">
    <w:name w:val="Intense Quote"/>
    <w:basedOn w:val="Normal"/>
    <w:next w:val="Normal"/>
    <w:link w:val="IntenseQuoteChar"/>
    <w:uiPriority w:val="30"/>
    <w:qFormat/>
    <w:rsid w:val="0061499A"/>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4"/>
      <w:lang w:eastAsia="en-US"/>
      <w14:ligatures w14:val="standardContextual"/>
    </w:rPr>
  </w:style>
  <w:style w:type="character" w:customStyle="1" w:styleId="IntenseQuoteChar">
    <w:name w:val="Intense Quote Char"/>
    <w:basedOn w:val="DefaultParagraphFont"/>
    <w:link w:val="IntenseQuote"/>
    <w:uiPriority w:val="30"/>
    <w:rsid w:val="0061499A"/>
    <w:rPr>
      <w:i/>
      <w:iCs/>
      <w:color w:val="0F4761" w:themeColor="accent1" w:themeShade="BF"/>
    </w:rPr>
  </w:style>
  <w:style w:type="character" w:styleId="IntenseReference">
    <w:name w:val="Intense Reference"/>
    <w:basedOn w:val="DefaultParagraphFont"/>
    <w:uiPriority w:val="32"/>
    <w:qFormat/>
    <w:rsid w:val="0061499A"/>
    <w:rPr>
      <w:b/>
      <w:bCs/>
      <w:smallCaps/>
      <w:color w:val="0F4761" w:themeColor="accent1" w:themeShade="BF"/>
      <w:spacing w:val="5"/>
    </w:rPr>
  </w:style>
  <w:style w:type="paragraph" w:styleId="NormalWeb">
    <w:name w:val="Normal (Web)"/>
    <w:basedOn w:val="Normal"/>
    <w:qFormat/>
    <w:rsid w:val="0061499A"/>
    <w:pPr>
      <w:spacing w:beforeAutospacing="1" w:afterAutospacing="1"/>
      <w:jc w:val="left"/>
    </w:pPr>
    <w:rPr>
      <w:rFonts w:cs="Times New Roman"/>
      <w:kern w:val="0"/>
      <w:sz w:val="24"/>
    </w:rPr>
  </w:style>
  <w:style w:type="table" w:styleId="TableGrid">
    <w:name w:val="Table Grid"/>
    <w:basedOn w:val="TableNormal"/>
    <w:qFormat/>
    <w:rsid w:val="0061499A"/>
    <w:pPr>
      <w:widowControl w:val="0"/>
      <w:spacing w:after="0" w:line="240"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6">
    <w:name w:val="大文正文2016 (论著)"/>
    <w:basedOn w:val="Normal"/>
    <w:uiPriority w:val="99"/>
    <w:qFormat/>
    <w:rsid w:val="0061499A"/>
    <w:pPr>
      <w:tabs>
        <w:tab w:val="left" w:pos="420"/>
      </w:tabs>
      <w:suppressAutoHyphens/>
      <w:autoSpaceDE w:val="0"/>
      <w:autoSpaceDN w:val="0"/>
      <w:adjustRightInd w:val="0"/>
      <w:spacing w:line="322" w:lineRule="atLeast"/>
      <w:textAlignment w:val="center"/>
    </w:pPr>
    <w:rPr>
      <w:rFonts w:ascii="ATC-767d4f53*2015" w:eastAsia="ATC-767d4f53*2015" w:cs="ATC-767d4f53*2015"/>
      <w:color w:val="000000"/>
      <w:kern w:val="0"/>
      <w:szCs w:val="21"/>
      <w:lang w:val="zh-CN"/>
    </w:rPr>
  </w:style>
  <w:style w:type="paragraph" w:customStyle="1" w:styleId="TableText">
    <w:name w:val="Table Text"/>
    <w:basedOn w:val="Normal"/>
    <w:semiHidden/>
    <w:qFormat/>
    <w:rsid w:val="0061499A"/>
    <w:rPr>
      <w:rFonts w:ascii="SimSun" w:eastAsia="SimSun" w:hAnsi="SimSun" w:cs="SimSu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2078</Words>
  <Characters>11851</Characters>
  <Application>Microsoft Office Word</Application>
  <DocSecurity>0</DocSecurity>
  <Lines>98</Lines>
  <Paragraphs>27</Paragraphs>
  <ScaleCrop>false</ScaleCrop>
  <Company>Springer Nature</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2025-10-06T22:01:00Z</dcterms:created>
  <dcterms:modified xsi:type="dcterms:W3CDTF">2025-10-06T22:01:00Z</dcterms:modified>
</cp:coreProperties>
</file>