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6A17F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</w:pPr>
      <w:r>
        <w:rPr>
          <w:rFonts w:hint="eastAsia" w:ascii="Times New Roman" w:hAnsi="Times New Roman" w:eastAsia="等线" w:cs="Times New Roman"/>
          <w:b/>
          <w:bCs/>
          <w:kern w:val="0"/>
          <w:sz w:val="24"/>
          <w:lang w:val="en-US" w:eastAsia="zh-CN"/>
        </w:rPr>
        <w:t>T</w:t>
      </w:r>
      <w:r>
        <w:rPr>
          <w:rFonts w:hint="default" w:ascii="Times New Roman" w:hAnsi="Times New Roman" w:eastAsia="等线" w:cs="Times New Roman"/>
          <w:b/>
          <w:bCs/>
          <w:kern w:val="0"/>
          <w:sz w:val="24"/>
        </w:rPr>
        <w:t>GFβ1-Loaded Extracellular Matrix Hydrogels Promote Skeletal Muscle Stem Cell Regeneration via m6A-Mediated Integrin–ERK Signaling</w:t>
      </w:r>
    </w:p>
    <w:p w14:paraId="5A43A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1，2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Menghai Zhu, 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Peng Zou, 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Gang Chen,3Chong Lian, 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sz w:val="24"/>
          <w:lang w:val="en-US" w:eastAsia="zh-CN"/>
        </w:rPr>
        <w:t>Benggang Qin</w:t>
      </w:r>
    </w:p>
    <w:p w14:paraId="7E0E6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1Department of Foot and Ankle surgery, Center for Orthopaedic Surgery, The Third Affiliated Hospital of Southern Medical University, Guangzhou, Guangdong, PR China.</w:t>
      </w:r>
    </w:p>
    <w:p w14:paraId="604446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2 The Central Laboratory, Guangdong Orthopaedic Academy.</w:t>
      </w:r>
    </w:p>
    <w:p w14:paraId="52CB6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3the First Affiliated Hospital of Sun Yat-sen University, Guangzhou, Guangdong, China</w:t>
      </w:r>
    </w:p>
    <w:p w14:paraId="7B148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lang w:val="en-US" w:eastAsia="zh-CN"/>
        </w:rPr>
      </w:pPr>
    </w:p>
    <w:p w14:paraId="3737A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Correspondence to: Menghai Zhu, 1248226709@qq.com</w:t>
      </w:r>
    </w:p>
    <w:p w14:paraId="67CEE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lang w:val="en-US" w:eastAsia="zh-CN"/>
        </w:rPr>
      </w:pPr>
    </w:p>
    <w:p w14:paraId="593D83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drawing>
          <wp:inline distT="0" distB="0" distL="114300" distR="114300">
            <wp:extent cx="5276850" cy="2823845"/>
            <wp:effectExtent l="0" t="0" r="11430" b="10795"/>
            <wp:docPr id="1" name="图片 1" descr="Sup Fig 1.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 Fig 1.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82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19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 xml:space="preserve">Sup </w:t>
      </w:r>
      <w:r>
        <w:rPr>
          <w:rFonts w:hint="default" w:ascii="Times New Roman" w:hAnsi="Times New Roman" w:eastAsia="宋体" w:cs="Times New Roman"/>
          <w:sz w:val="24"/>
        </w:rPr>
        <w:t xml:space="preserve">Fig. </w:t>
      </w:r>
      <w:r>
        <w:rPr>
          <w:rFonts w:hint="eastAsia" w:ascii="Times New Roman" w:hAnsi="Times New Roman" w:cs="Times New Roman"/>
          <w:sz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z w:val="24"/>
        </w:rPr>
        <w:t>. Evaluation of decellularized skeletal muscle ECM hydrogels. (A) Fresh skeletal muscle, decellularized skeletal muscle ECM and hydrogel were stained with Masson’s trichrome. (B) Scanning electron microscopy of cross-sections of fresh skeletal muscle tissue, decellularized skeletal muscle ECM and hydrogel. (C) Quantification of the s-GAG content in fresh skeletal muscle tissue, decellularized skeletal muscle ECM and hydrogel. (D) Quantification of proteins in fresh skeletal muscle tissue, decellularized skeletal muscle ECM and hydrogel.</w:t>
      </w:r>
    </w:p>
    <w:p w14:paraId="384C5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lang w:eastAsia="zh-CN"/>
        </w:rPr>
        <w:drawing>
          <wp:inline distT="0" distB="0" distL="114300" distR="114300">
            <wp:extent cx="5276850" cy="1501775"/>
            <wp:effectExtent l="0" t="0" r="11430" b="6985"/>
            <wp:docPr id="2" name="图片 2" descr="Sup Fig 2.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 Fig 2.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50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0E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Sup Fig2</w:t>
      </w:r>
      <w:r>
        <w:rPr>
          <w:rFonts w:hint="default" w:ascii="Times New Roman" w:hAnsi="Times New Roman" w:eastAsia="宋体" w:cs="Times New Roman"/>
          <w:sz w:val="24"/>
        </w:rPr>
        <w:t xml:space="preserve"> (</w:t>
      </w:r>
      <w:r>
        <w:rPr>
          <w:rFonts w:hint="eastAsia" w:ascii="Times New Roman" w:hAnsi="Times New Roman" w:cs="Times New Roman"/>
          <w:sz w:val="24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</w:rPr>
        <w:t>) Quantification of bFGF in fresh skeletal muscle tissue, decellularized skeletal muscle ECM and hydrogel. (</w:t>
      </w:r>
      <w:r>
        <w:rPr>
          <w:rFonts w:hint="eastAsia" w:ascii="Times New Roman" w:hAnsi="Times New Roman" w:cs="Times New Roman"/>
          <w:sz w:val="24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sz w:val="24"/>
        </w:rPr>
        <w:t>) Quantification of bFGF normalized to the protein content in fresh skeletal muscle tissue, decellularized skeletal muscle ECM and hydrogel. (</w:t>
      </w:r>
      <w:r>
        <w:rPr>
          <w:rFonts w:hint="eastAsia" w:ascii="Times New Roman" w:hAnsi="Times New Roman" w:cs="Times New Roman"/>
          <w:sz w:val="24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4"/>
        </w:rPr>
        <w:t>) Cell viability was determined by an MTT assay.</w:t>
      </w:r>
    </w:p>
    <w:p w14:paraId="215404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lang w:eastAsia="zh-CN"/>
        </w:rPr>
        <w:drawing>
          <wp:inline distT="0" distB="0" distL="114300" distR="114300">
            <wp:extent cx="5278120" cy="1847215"/>
            <wp:effectExtent l="0" t="0" r="10160" b="12065"/>
            <wp:docPr id="3" name="图片 3" descr="Sup Fi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 Fig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84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F7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 xml:space="preserve">Sup </w:t>
      </w:r>
      <w:r>
        <w:rPr>
          <w:rFonts w:hint="default" w:ascii="Times New Roman" w:hAnsi="Times New Roman" w:eastAsia="宋体" w:cs="Times New Roman"/>
          <w:sz w:val="24"/>
        </w:rPr>
        <w:t xml:space="preserve">Fig. </w:t>
      </w: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4"/>
        </w:rPr>
        <w:t>. (A) Double-sorted SkMSCs were positively stained with antibodies against CD34 and integrin β1 and negatively stained for CD11b and CD45 in freshly sorted SkMSCs.</w:t>
      </w:r>
    </w:p>
    <w:p w14:paraId="3807D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sz w:val="24"/>
          <w:lang w:eastAsia="zh-CN"/>
        </w:rPr>
      </w:pPr>
      <w:bookmarkStart w:id="0" w:name="_GoBack"/>
      <w:r>
        <w:rPr>
          <w:rFonts w:hint="eastAsia" w:ascii="Times New Roman" w:hAnsi="Times New Roman" w:eastAsia="宋体" w:cs="Times New Roman"/>
          <w:sz w:val="24"/>
          <w:lang w:eastAsia="zh-CN"/>
        </w:rPr>
        <w:drawing>
          <wp:inline distT="0" distB="0" distL="114300" distR="114300">
            <wp:extent cx="5278120" cy="3171825"/>
            <wp:effectExtent l="0" t="0" r="10160" b="13335"/>
            <wp:docPr id="7" name="图片 7" descr="Sup Fi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 Fig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3E7DD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Sup Fig. 4</w:t>
      </w:r>
      <w:r>
        <w:rPr>
          <w:rFonts w:hint="default" w:ascii="Times New Roman" w:hAnsi="Times New Roman" w:eastAsia="宋体" w:cs="Times New Roman"/>
          <w:sz w:val="24"/>
        </w:rPr>
        <w:t xml:space="preserve"> (</w:t>
      </w:r>
      <w:r>
        <w:rPr>
          <w:rFonts w:hint="eastAsia" w:ascii="Times New Roman" w:hAnsi="Times New Roman" w:cs="Times New Roman"/>
          <w:sz w:val="24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</w:rPr>
        <w:t>) Immunofluorescence staining images for antibodies against Pax7 (red) and MyoD (green). Cell nuclei were stained with DAPI (blue). (</w:t>
      </w:r>
      <w:r>
        <w:rPr>
          <w:rFonts w:hint="eastAsia" w:ascii="Times New Roman" w:hAnsi="Times New Roman" w:cs="Times New Roman"/>
          <w:sz w:val="24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sz w:val="24"/>
        </w:rPr>
        <w:t>) After culture in DMEM with 2% heat-inactivated horse serum, the cells showed more robust expression of MyoD over time, while PAX7 showed the opposite expression pattern. GAPDH was used as an internal control. (</w:t>
      </w:r>
      <w:r>
        <w:rPr>
          <w:rFonts w:hint="eastAsia" w:ascii="Times New Roman" w:hAnsi="Times New Roman" w:cs="Times New Roman"/>
          <w:sz w:val="24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4"/>
        </w:rPr>
        <w:t>) Quantification of Pax7 and MyoD normalized to GAPDH. (</w:t>
      </w:r>
      <w:r>
        <w:rPr>
          <w:rFonts w:hint="eastAsia" w:ascii="Times New Roman" w:hAnsi="Times New Roman" w:cs="Times New Roman"/>
          <w:sz w:val="24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sz w:val="24"/>
        </w:rPr>
        <w:t>) Quantitation of Pax7-, MyoD-, desmin-, and M</w:t>
      </w:r>
      <w:r>
        <w:rPr>
          <w:rFonts w:hint="eastAsia" w:ascii="Times New Roman" w:hAnsi="Times New Roman" w:cs="Times New Roman"/>
          <w:sz w:val="24"/>
          <w:lang w:val="en-US" w:eastAsia="zh-CN"/>
        </w:rPr>
        <w:t>y</w:t>
      </w:r>
      <w:r>
        <w:rPr>
          <w:rFonts w:hint="default" w:ascii="Times New Roman" w:hAnsi="Times New Roman" w:eastAsia="宋体" w:cs="Times New Roman"/>
          <w:sz w:val="24"/>
        </w:rPr>
        <w:t>HC-positive cells. Marker-positive cells are presented as the percentage of the total cell number using triplicate samples. Each bar represents the mean ± standard error of the mean (SEM). *P &lt; 0.05, **P &lt; 0.01, and NS = nonsignificant difference.</w:t>
      </w:r>
    </w:p>
    <w:p w14:paraId="198D3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lang w:eastAsia="zh-CN"/>
        </w:rPr>
        <w:drawing>
          <wp:inline distT="0" distB="0" distL="114300" distR="114300">
            <wp:extent cx="5274945" cy="1896110"/>
            <wp:effectExtent l="0" t="0" r="13335" b="8890"/>
            <wp:docPr id="5" name="图片 5" descr="Sup Fi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 Fig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189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46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 xml:space="preserve">Sup </w:t>
      </w:r>
      <w:r>
        <w:rPr>
          <w:rFonts w:hint="default" w:ascii="Times New Roman" w:hAnsi="Times New Roman" w:eastAsia="宋体" w:cs="Times New Roman"/>
          <w:sz w:val="24"/>
        </w:rPr>
        <w:t xml:space="preserve">Fig. </w:t>
      </w:r>
      <w:r>
        <w:rPr>
          <w:rFonts w:hint="eastAsia" w:ascii="Times New Roman" w:hAnsi="Times New Roman" w:cs="Times New Roman"/>
          <w:sz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</w:rPr>
        <w:t xml:space="preserve">. Effects of ECM hydrogels with TGFβ1 treatment on </w:t>
      </w:r>
      <w:r>
        <w:rPr>
          <w:rFonts w:hint="eastAsia" w:ascii="Times New Roman" w:hAnsi="Times New Roman" w:cs="Times New Roman"/>
          <w:sz w:val="24"/>
          <w:lang w:val="en-US" w:eastAsia="zh-CN"/>
        </w:rPr>
        <w:t>animals</w:t>
      </w:r>
      <w:r>
        <w:rPr>
          <w:rFonts w:hint="default" w:ascii="Times New Roman" w:hAnsi="Times New Roman" w:eastAsia="宋体" w:cs="Times New Roman"/>
          <w:sz w:val="24"/>
        </w:rPr>
        <w:t xml:space="preserve">. </w:t>
      </w:r>
      <w:r>
        <w:rPr>
          <w:rFonts w:hint="eastAsia" w:ascii="Times New Roman" w:hAnsi="Times New Roman" w:cs="Times New Roman"/>
          <w:sz w:val="24"/>
          <w:lang w:val="en-US" w:eastAsia="zh-CN"/>
        </w:rPr>
        <w:t>(A)</w:t>
      </w:r>
      <w:r>
        <w:rPr>
          <w:rFonts w:hint="default" w:ascii="Times New Roman" w:hAnsi="Times New Roman" w:eastAsia="宋体" w:cs="Times New Roman"/>
          <w:sz w:val="24"/>
        </w:rPr>
        <w:t xml:space="preserve"> In </w:t>
      </w:r>
      <w:r>
        <w:rPr>
          <w:rFonts w:hint="eastAsia" w:ascii="Times New Roman" w:hAnsi="Times New Roman" w:cs="Times New Roman"/>
          <w:sz w:val="24"/>
          <w:lang w:val="en-US" w:eastAsia="zh-CN"/>
        </w:rPr>
        <w:t>situ</w:t>
      </w:r>
      <w:r>
        <w:rPr>
          <w:rFonts w:hint="default" w:ascii="Times New Roman" w:hAnsi="Times New Roman" w:eastAsia="宋体" w:cs="Times New Roman"/>
          <w:sz w:val="24"/>
        </w:rPr>
        <w:t xml:space="preserve"> running distance</w:t>
      </w:r>
      <w:r>
        <w:rPr>
          <w:rFonts w:hint="eastAsia" w:ascii="Times New Roman" w:hAnsi="Times New Roman" w:cs="Times New Roman"/>
          <w:sz w:val="24"/>
          <w:lang w:val="en-US" w:eastAsia="zh-CN"/>
        </w:rPr>
        <w:t>, (B)</w:t>
      </w:r>
      <w:r>
        <w:rPr>
          <w:rFonts w:hint="default" w:ascii="Times New Roman" w:hAnsi="Times New Roman" w:eastAsia="宋体" w:cs="Times New Roman"/>
          <w:sz w:val="24"/>
        </w:rPr>
        <w:t xml:space="preserve">In situ absolute and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(C) </w:t>
      </w:r>
      <w:r>
        <w:rPr>
          <w:rFonts w:hint="default" w:ascii="Times New Roman" w:hAnsi="Times New Roman" w:eastAsia="宋体" w:cs="Times New Roman"/>
          <w:sz w:val="24"/>
        </w:rPr>
        <w:t>specific maximal force. Data are presented as mean ± SEM. *p &lt; 0.05 and **p &lt; 0.01.</w:t>
      </w:r>
    </w:p>
    <w:p w14:paraId="4E2DE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lang w:eastAsia="zh-CN"/>
        </w:rPr>
        <w:drawing>
          <wp:inline distT="0" distB="0" distL="114300" distR="114300">
            <wp:extent cx="5274310" cy="1830070"/>
            <wp:effectExtent l="0" t="0" r="13970" b="13970"/>
            <wp:docPr id="6" name="图片 6" descr="Sup Fi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 Fig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034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Sup Fig.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6 TGF</w:t>
      </w:r>
      <w:r>
        <w:rPr>
          <w:rFonts w:hint="default" w:ascii="Times New Roman" w:hAnsi="Times New Roman" w:cs="Times New Roman"/>
          <w:sz w:val="24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lang w:val="en-US" w:eastAsia="zh-CN"/>
        </w:rPr>
        <w:t>1-enhanced ECM hydrogel modulates in vivo outcomes (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A</w:t>
      </w:r>
      <w:r>
        <w:rPr>
          <w:rFonts w:hint="eastAsia" w:ascii="Times New Roman" w:hAnsi="Times New Roman" w:cs="Times New Roman"/>
          <w:sz w:val="24"/>
          <w:lang w:val="en-US" w:eastAsia="zh-CN"/>
        </w:rPr>
        <w:t>)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witch duration. </w:t>
      </w:r>
      <w:r>
        <w:rPr>
          <w:rFonts w:hint="eastAsia" w:ascii="Times New Roman" w:hAnsi="Times New Roman" w:cs="Times New Roman"/>
          <w:sz w:val="24"/>
          <w:lang w:val="en-US" w:eastAsia="zh-CN"/>
        </w:rPr>
        <w:t>(B)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>H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alf relaxation time. </w:t>
      </w:r>
      <w:r>
        <w:rPr>
          <w:rFonts w:hint="eastAsia" w:ascii="Times New Roman" w:hAnsi="Times New Roman" w:cs="Times New Roman"/>
          <w:sz w:val="24"/>
          <w:lang w:val="en-US" w:eastAsia="zh-CN"/>
        </w:rPr>
        <w:t>(C) F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atigue resistance. Data are presented as mean ± SEM.  *p &lt; 0.05 and **p &lt; 0.01.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C56331">
    <w:pPr>
      <w:tabs>
        <w:tab w:val="center" w:pos="4153"/>
        <w:tab w:val="right" w:pos="8306"/>
      </w:tabs>
      <w:snapToGrid w:val="0"/>
      <w:ind w:firstLine="3780" w:firstLineChars="2100"/>
      <w:rPr>
        <w:rFonts w:ascii="等线" w:hAnsi="等线" w:eastAsia="等线" w:cs="Calibri"/>
        <w:sz w:val="18"/>
        <w:szCs w:val="18"/>
      </w:rPr>
    </w:pPr>
    <w:r>
      <w:rPr>
        <w:rFonts w:ascii="等线" w:hAnsi="等线" w:eastAsia="等线" w:cs="Calibri"/>
        <w:sz w:val="18"/>
        <w:szCs w:val="18"/>
      </w:rPr>
      <w:fldChar w:fldCharType="begin"/>
    </w:r>
    <w:r>
      <w:rPr>
        <w:rFonts w:ascii="等线" w:hAnsi="等线" w:eastAsia="等线" w:cs="Calibri"/>
        <w:sz w:val="18"/>
        <w:szCs w:val="18"/>
      </w:rPr>
      <w:instrText xml:space="preserve">PAGE   \* MERGEFORMAT</w:instrText>
    </w:r>
    <w:r>
      <w:rPr>
        <w:rFonts w:ascii="等线" w:hAnsi="等线" w:eastAsia="等线" w:cs="Calibri"/>
        <w:sz w:val="18"/>
        <w:szCs w:val="18"/>
      </w:rPr>
      <w:fldChar w:fldCharType="separate"/>
    </w:r>
    <w:r>
      <w:rPr>
        <w:rFonts w:ascii="等线" w:hAnsi="等线" w:eastAsia="等线" w:cs="Calibri"/>
        <w:sz w:val="18"/>
        <w:szCs w:val="18"/>
        <w:lang w:val="zh-CN"/>
      </w:rPr>
      <w:t>2</w:t>
    </w:r>
    <w:r>
      <w:rPr>
        <w:rFonts w:ascii="等线" w:hAnsi="等线" w:eastAsia="等线" w:cs="Calibri"/>
        <w:sz w:val="18"/>
        <w:szCs w:val="18"/>
      </w:rPr>
      <w:fldChar w:fldCharType="end"/>
    </w:r>
  </w:p>
  <w:p w14:paraId="56F42670">
    <w:pPr>
      <w:tabs>
        <w:tab w:val="center" w:pos="4153"/>
        <w:tab w:val="right" w:pos="8306"/>
      </w:tabs>
      <w:snapToGrid w:val="0"/>
      <w:jc w:val="left"/>
      <w:rPr>
        <w:rFonts w:ascii="等线" w:hAnsi="等线" w:eastAsia="等线" w:cs="Calibri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748C8"/>
    <w:rsid w:val="0E7C0F14"/>
    <w:rsid w:val="1CC4313B"/>
    <w:rsid w:val="1CCA206B"/>
    <w:rsid w:val="28C56849"/>
    <w:rsid w:val="2E9C2766"/>
    <w:rsid w:val="340B054D"/>
    <w:rsid w:val="38876A6E"/>
    <w:rsid w:val="47C615D0"/>
    <w:rsid w:val="48EE4C2E"/>
    <w:rsid w:val="496E6600"/>
    <w:rsid w:val="4CB624F4"/>
    <w:rsid w:val="52654E04"/>
    <w:rsid w:val="578134D1"/>
    <w:rsid w:val="5CF63611"/>
    <w:rsid w:val="62E5299E"/>
    <w:rsid w:val="683020FC"/>
    <w:rsid w:val="6AE97FBA"/>
    <w:rsid w:val="6D53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Emphasis"/>
    <w:basedOn w:val="3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395</Words>
  <Characters>2321</Characters>
  <Lines>0</Lines>
  <Paragraphs>0</Paragraphs>
  <TotalTime>0</TotalTime>
  <ScaleCrop>false</ScaleCrop>
  <LinksUpToDate>false</LinksUpToDate>
  <CharactersWithSpaces>2707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2025-06-20T11:14:00Z</dcterms:created>
  <dc:creator>s</dc:creator>
  <cp:lastModifiedBy>孟海</cp:lastModifiedBy>
  <dcterms:modified xsi:type="dcterms:W3CDTF">2025-08-29T23:52:30Z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eyJoZGlkIjoiNGVjMTVmYTdjM2IyZTNhYzM3NzgwMDZmODZkNzRiZTMiLCJ1c2VySWQiOiIyODAwMTkwMTMifQ==</vt:lpwstr>
  </property>
  <property fmtid="{D5CDD505-2E9C-101B-9397-08002B2CF9AE}" pid="4" name="ICV">
    <vt:lpwstr>0A3E10FE21874C66929BA5C99799A241_12</vt:lpwstr>
  </property>
</Properties>
</file>