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A9B83" w14:textId="23B1D629" w:rsidR="00E675CD" w:rsidRDefault="00E675CD" w:rsidP="00E675CD"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 w:rsidRPr="00E675CD">
        <w:rPr>
          <w:rFonts w:ascii="Times New Roman" w:hAnsi="Times New Roman" w:cs="Times New Roman"/>
          <w:b/>
          <w:bCs/>
          <w:sz w:val="32"/>
          <w:szCs w:val="36"/>
        </w:rPr>
        <w:t>Nature C</w:t>
      </w:r>
      <w:r w:rsidR="00CE45A2">
        <w:rPr>
          <w:rFonts w:ascii="Times New Roman" w:hAnsi="Times New Roman" w:cs="Times New Roman" w:hint="eastAsia"/>
          <w:b/>
          <w:bCs/>
          <w:sz w:val="32"/>
          <w:szCs w:val="36"/>
        </w:rPr>
        <w:t>ancer</w:t>
      </w:r>
    </w:p>
    <w:p w14:paraId="5A8653A9" w14:textId="4106E276" w:rsidR="00060611" w:rsidRDefault="000E5AE0" w:rsidP="00060611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Supplementary materials</w:t>
      </w:r>
    </w:p>
    <w:p w14:paraId="4A51DD1F" w14:textId="77777777" w:rsidR="0016521C" w:rsidRDefault="00060611" w:rsidP="0016521C">
      <w:pPr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8"/>
        </w:rPr>
      </w:pPr>
      <w:r w:rsidRPr="00450D5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Comprehensive histological imaging of native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m</w:t>
      </w:r>
      <w:r w:rsidRPr="00450D5A">
        <w:rPr>
          <w:rFonts w:ascii="Times New Roman" w:eastAsia="宋体" w:hAnsi="Times New Roman" w:cs="Times New Roman"/>
          <w:b/>
          <w:bCs/>
          <w:sz w:val="24"/>
          <w:szCs w:val="24"/>
        </w:rPr>
        <w:t>icrobiota in human glioma</w:t>
      </w:r>
      <w:r w:rsidRPr="00B773FE">
        <w:rPr>
          <w:rFonts w:ascii="Times New Roman" w:hAnsi="Times New Roman" w:cs="Times New Roman" w:hint="eastAsia"/>
          <w:b/>
          <w:bCs/>
          <w:i/>
          <w:iCs/>
          <w:sz w:val="24"/>
          <w:szCs w:val="28"/>
        </w:rPr>
        <w:t xml:space="preserve"> </w:t>
      </w:r>
    </w:p>
    <w:p w14:paraId="7DCE769D" w14:textId="1EAF68BD" w:rsidR="0016521C" w:rsidRPr="00F964E2" w:rsidRDefault="0016521C" w:rsidP="0016521C">
      <w:pPr>
        <w:spacing w:line="360" w:lineRule="auto"/>
        <w:rPr>
          <w:rFonts w:ascii="Times New Roman" w:eastAsia="等线" w:hAnsi="Times New Roman" w:cs="Times New Roman"/>
          <w:sz w:val="24"/>
          <w:szCs w:val="24"/>
        </w:rPr>
      </w:pPr>
      <w:r w:rsidRPr="00F964E2">
        <w:rPr>
          <w:rFonts w:ascii="Times New Roman" w:eastAsia="等线" w:hAnsi="Times New Roman" w:cs="Times New Roman"/>
          <w:sz w:val="24"/>
          <w:szCs w:val="24"/>
        </w:rPr>
        <w:t>Jiajia Zhao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>1,2</w:t>
      </w:r>
      <w:r w:rsidRPr="00F964E2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vertAlign w:val="superscript"/>
        </w:rPr>
        <w:t>#</w:t>
      </w:r>
      <w:r w:rsidRPr="00F964E2">
        <w:rPr>
          <w:rFonts w:ascii="Times New Roman" w:eastAsia="等线" w:hAnsi="Times New Roman" w:cs="Times New Roman"/>
          <w:sz w:val="24"/>
          <w:szCs w:val="24"/>
        </w:rPr>
        <w:t>, Dian He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F964E2">
        <w:rPr>
          <w:rFonts w:ascii="Times New Roman" w:eastAsia="宋体" w:hAnsi="Times New Roman" w:cs="Times New Roman"/>
          <w:bCs/>
          <w:color w:val="000000" w:themeColor="text1"/>
          <w:kern w:val="0"/>
          <w:sz w:val="24"/>
          <w:szCs w:val="24"/>
          <w:vertAlign w:val="superscript"/>
        </w:rPr>
        <w:t>#</w:t>
      </w:r>
      <w:r w:rsidRPr="00F964E2">
        <w:rPr>
          <w:rFonts w:ascii="Times New Roman" w:eastAsia="等线" w:hAnsi="Times New Roman" w:cs="Times New Roman"/>
          <w:sz w:val="24"/>
          <w:szCs w:val="24"/>
        </w:rPr>
        <w:t>, Hei Ming Lai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>3</w:t>
      </w:r>
      <w:r w:rsidRPr="00F964E2">
        <w:rPr>
          <w:rFonts w:ascii="Times New Roman" w:eastAsia="等线" w:hAnsi="Times New Roman" w:cs="Times New Roman"/>
          <w:sz w:val="24"/>
          <w:szCs w:val="24"/>
        </w:rPr>
        <w:t>, Yingying Xu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>4</w:t>
      </w:r>
      <w:r w:rsidRPr="00F964E2">
        <w:rPr>
          <w:rFonts w:ascii="Times New Roman" w:eastAsia="等线" w:hAnsi="Times New Roman" w:cs="Times New Roman"/>
          <w:sz w:val="24"/>
          <w:szCs w:val="24"/>
        </w:rPr>
        <w:t>, Yunhao Luo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F964E2">
        <w:rPr>
          <w:rFonts w:ascii="Times New Roman" w:eastAsia="等线" w:hAnsi="Times New Roman" w:cs="Times New Roman"/>
          <w:sz w:val="24"/>
          <w:szCs w:val="24"/>
        </w:rPr>
        <w:t>, Ting Li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F964E2">
        <w:rPr>
          <w:rFonts w:ascii="Times New Roman" w:eastAsia="等线" w:hAnsi="Times New Roman" w:cs="Times New Roman"/>
          <w:sz w:val="24"/>
          <w:szCs w:val="24"/>
        </w:rPr>
        <w:t>, Jianhao Liang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2</w:t>
      </w:r>
      <w:r w:rsidRPr="00F964E2">
        <w:rPr>
          <w:rFonts w:ascii="Times New Roman" w:eastAsia="等线" w:hAnsi="Times New Roman" w:cs="Times New Roman"/>
          <w:sz w:val="24"/>
          <w:szCs w:val="24"/>
        </w:rPr>
        <w:t>, Xiaodu Yang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>4</w:t>
      </w:r>
      <w:r w:rsidRPr="00F964E2">
        <w:rPr>
          <w:rFonts w:ascii="Times New Roman" w:eastAsia="等线" w:hAnsi="Times New Roman" w:cs="Times New Roman"/>
          <w:sz w:val="24"/>
          <w:szCs w:val="24"/>
        </w:rPr>
        <w:t>, Linlang Guo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>5</w:t>
      </w:r>
      <w:r w:rsidRPr="00F964E2">
        <w:rPr>
          <w:rFonts w:ascii="Times New Roman" w:eastAsia="等线" w:hAnsi="Times New Roman" w:cs="Times New Roman"/>
          <w:sz w:val="24"/>
          <w:szCs w:val="24"/>
        </w:rPr>
        <w:t>, Yiquan Ke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>2</w:t>
      </w:r>
      <w:r w:rsidRPr="00F964E2">
        <w:rPr>
          <w:rFonts w:ascii="Times New Roman" w:eastAsia="等线" w:hAnsi="Times New Roman" w:cs="Times New Roman"/>
          <w:sz w:val="24"/>
          <w:szCs w:val="24"/>
        </w:rPr>
        <w:t>, Hongwei Zhou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F964E2">
        <w:rPr>
          <w:rFonts w:ascii="Times New Roman" w:eastAsia="等线" w:hAnsi="Times New Roman" w:cs="Times New Roman"/>
          <w:sz w:val="24"/>
          <w:szCs w:val="24"/>
        </w:rPr>
        <w:t>, Wutian Wu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6,7*</w:t>
      </w:r>
      <w:r w:rsidRPr="00F964E2">
        <w:rPr>
          <w:rFonts w:ascii="Times New Roman" w:eastAsia="等线" w:hAnsi="Times New Roman" w:cs="Times New Roman"/>
          <w:sz w:val="24"/>
          <w:szCs w:val="24"/>
        </w:rPr>
        <w:t>, Hongbo Guo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>2*</w:t>
      </w:r>
      <w:r w:rsidRPr="00F964E2">
        <w:rPr>
          <w:rFonts w:ascii="Times New Roman" w:eastAsia="等线" w:hAnsi="Times New Roman" w:cs="Times New Roman"/>
          <w:sz w:val="24"/>
          <w:szCs w:val="24"/>
        </w:rPr>
        <w:t>, Haitao Sun</w:t>
      </w:r>
      <w:r w:rsidRPr="00F964E2">
        <w:rPr>
          <w:rFonts w:ascii="Times New Roman" w:eastAsia="等线" w:hAnsi="Times New Roman" w:cs="Times New Roman"/>
          <w:sz w:val="24"/>
          <w:szCs w:val="24"/>
          <w:vertAlign w:val="superscript"/>
        </w:rPr>
        <w:t>1, 2, 8*</w:t>
      </w:r>
    </w:p>
    <w:p w14:paraId="23878C72" w14:textId="77777777" w:rsidR="00060611" w:rsidRPr="002B6852" w:rsidRDefault="00060611" w:rsidP="00060611">
      <w:pPr>
        <w:spacing w:line="360" w:lineRule="auto"/>
        <w:rPr>
          <w:rFonts w:ascii="Times New Roman" w:hAnsi="Times New Roman" w:cs="Times New Roman"/>
          <w:b/>
          <w:bCs/>
          <w:sz w:val="28"/>
          <w:szCs w:val="32"/>
        </w:rPr>
      </w:pPr>
    </w:p>
    <w:p w14:paraId="0E7B62AE" w14:textId="628B49BB" w:rsidR="000C71AF" w:rsidRPr="00A34FF4" w:rsidRDefault="00060611" w:rsidP="000A75F3">
      <w:pPr>
        <w:spacing w:line="360" w:lineRule="auto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Table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of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32"/>
        </w:rPr>
        <w:t>content:</w:t>
      </w:r>
    </w:p>
    <w:p w14:paraId="77F2FBFF" w14:textId="2D2A356F" w:rsidR="000C71AF" w:rsidRPr="000C71AF" w:rsidRDefault="00060611" w:rsidP="000A75F3">
      <w:pPr>
        <w:spacing w:line="360" w:lineRule="auto"/>
        <w:ind w:leftChars="100" w:left="21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C71AF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 w:rsidR="000C71AF" w:rsidRPr="000C71AF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0C71AF" w:rsidRPr="000C71AF">
        <w:rPr>
          <w:rFonts w:ascii="Times New Roman" w:hAnsi="Times New Roman" w:cs="Times New Roman"/>
          <w:sz w:val="24"/>
          <w:szCs w:val="24"/>
        </w:rPr>
        <w:t>Human glioma samples included in the study</w:t>
      </w:r>
    </w:p>
    <w:p w14:paraId="4E2B8DFD" w14:textId="77777777" w:rsidR="000C71AF" w:rsidRPr="000C71AF" w:rsidRDefault="000C71AF" w:rsidP="00060611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7BD0A72" w14:textId="3070ED18" w:rsidR="00060611" w:rsidRPr="000C71AF" w:rsidRDefault="00E675CD" w:rsidP="00E675CD">
      <w:pPr>
        <w:spacing w:line="36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bookmarkStart w:id="0" w:name="OLE_LINK58"/>
      <w:r w:rsidRPr="000C71AF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060611" w:rsidRPr="000C71AF">
        <w:rPr>
          <w:rFonts w:ascii="Times New Roman" w:hAnsi="Times New Roman" w:cs="Times New Roman"/>
          <w:b/>
          <w:bCs/>
          <w:sz w:val="24"/>
          <w:szCs w:val="24"/>
        </w:rPr>
        <w:t>Movie S1</w:t>
      </w:r>
      <w:r w:rsidR="00060611" w:rsidRPr="000C71AF">
        <w:rPr>
          <w:rFonts w:ascii="Times New Roman" w:hAnsi="Times New Roman" w:cs="Times New Roman" w:hint="eastAsia"/>
          <w:sz w:val="24"/>
          <w:szCs w:val="24"/>
        </w:rPr>
        <w:t>.</w:t>
      </w:r>
      <w:r w:rsidR="00060611" w:rsidRPr="000C71AF">
        <w:rPr>
          <w:rFonts w:ascii="Times New Roman" w:hAnsi="Times New Roman" w:cs="Times New Roman"/>
          <w:sz w:val="24"/>
          <w:szCs w:val="24"/>
        </w:rPr>
        <w:t xml:space="preserve"> Animation of the 500μm-thick </w:t>
      </w:r>
      <w:r w:rsidR="000A75F3">
        <w:rPr>
          <w:rFonts w:ascii="Times New Roman" w:hAnsi="Times New Roman" w:cs="Times New Roman"/>
          <w:sz w:val="24"/>
          <w:szCs w:val="24"/>
        </w:rPr>
        <w:t xml:space="preserve">immunolabeled tissue </w:t>
      </w:r>
      <w:r w:rsidR="00060611" w:rsidRPr="000C71AF">
        <w:rPr>
          <w:rFonts w:ascii="Times New Roman" w:hAnsi="Times New Roman" w:cs="Times New Roman"/>
          <w:sz w:val="24"/>
          <w:szCs w:val="24"/>
        </w:rPr>
        <w:t>section (Glioma 1</w:t>
      </w:r>
      <w:r w:rsidR="00060611" w:rsidRPr="000C71AF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="00060611" w:rsidRPr="000C71AF">
        <w:rPr>
          <w:rFonts w:ascii="Times New Roman" w:hAnsi="Times New Roman" w:cs="Times New Roman"/>
          <w:sz w:val="24"/>
          <w:szCs w:val="24"/>
        </w:rPr>
        <w:t>) being scanned by MPLSM.</w:t>
      </w:r>
    </w:p>
    <w:bookmarkEnd w:id="0"/>
    <w:p w14:paraId="5A4692C0" w14:textId="7A03B9A9" w:rsidR="00060611" w:rsidRDefault="00060611" w:rsidP="0006061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BF68A51" w14:textId="77777777" w:rsidR="00274490" w:rsidRPr="000A75F3" w:rsidRDefault="00274490" w:rsidP="0006061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278DBBA" w14:textId="0120653F" w:rsidR="00060611" w:rsidRPr="000C71AF" w:rsidRDefault="00E675CD" w:rsidP="00E675CD">
      <w:pPr>
        <w:spacing w:line="360" w:lineRule="auto"/>
        <w:ind w:firstLineChars="100" w:firstLine="240"/>
        <w:jc w:val="left"/>
        <w:rPr>
          <w:rFonts w:ascii="Times New Roman" w:hAnsi="Times New Roman" w:cs="Times New Roman"/>
          <w:sz w:val="24"/>
          <w:szCs w:val="24"/>
        </w:rPr>
      </w:pPr>
      <w:bookmarkStart w:id="1" w:name="OLE_LINK59"/>
      <w:r w:rsidRPr="000C71AF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52332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60611" w:rsidRPr="000C71AF">
        <w:rPr>
          <w:rFonts w:ascii="Times New Roman" w:hAnsi="Times New Roman" w:cs="Times New Roman"/>
          <w:b/>
          <w:bCs/>
          <w:sz w:val="24"/>
          <w:szCs w:val="24"/>
        </w:rPr>
        <w:t>Movie S2</w:t>
      </w:r>
      <w:r w:rsidR="00060611" w:rsidRPr="000C71AF">
        <w:rPr>
          <w:rFonts w:ascii="Times New Roman" w:hAnsi="Times New Roman" w:cs="Times New Roman" w:hint="eastAsia"/>
          <w:sz w:val="24"/>
          <w:szCs w:val="24"/>
        </w:rPr>
        <w:t>.</w:t>
      </w:r>
      <w:r w:rsidR="00060611" w:rsidRPr="000C71AF">
        <w:rPr>
          <w:rFonts w:ascii="Times New Roman" w:hAnsi="Times New Roman" w:cs="Times New Roman"/>
          <w:sz w:val="24"/>
          <w:szCs w:val="24"/>
        </w:rPr>
        <w:t xml:space="preserve"> Animation of the 3D reconstruction image of </w:t>
      </w:r>
      <w:r w:rsidR="000A75F3">
        <w:rPr>
          <w:rFonts w:ascii="Times New Roman" w:hAnsi="Times New Roman" w:cs="Times New Roman" w:hint="eastAsia"/>
          <w:sz w:val="24"/>
          <w:szCs w:val="24"/>
        </w:rPr>
        <w:t>fluorescent</w:t>
      </w:r>
      <w:r w:rsidR="000A75F3">
        <w:rPr>
          <w:rFonts w:ascii="Times New Roman" w:hAnsi="Times New Roman" w:cs="Times New Roman"/>
          <w:sz w:val="24"/>
          <w:szCs w:val="24"/>
        </w:rPr>
        <w:t xml:space="preserve"> </w:t>
      </w:r>
      <w:r w:rsidR="000A75F3">
        <w:rPr>
          <w:rFonts w:ascii="Times New Roman" w:hAnsi="Times New Roman" w:cs="Times New Roman" w:hint="eastAsia"/>
          <w:sz w:val="24"/>
          <w:szCs w:val="24"/>
        </w:rPr>
        <w:t>signals</w:t>
      </w:r>
      <w:r w:rsidR="000A75F3">
        <w:rPr>
          <w:rFonts w:ascii="Times New Roman" w:hAnsi="Times New Roman" w:cs="Times New Roman"/>
          <w:sz w:val="24"/>
          <w:szCs w:val="24"/>
        </w:rPr>
        <w:t xml:space="preserve"> </w:t>
      </w:r>
      <w:r w:rsidR="000A75F3">
        <w:rPr>
          <w:rFonts w:ascii="Times New Roman" w:hAnsi="Times New Roman" w:cs="Times New Roman" w:hint="eastAsia"/>
          <w:sz w:val="24"/>
          <w:szCs w:val="24"/>
        </w:rPr>
        <w:t>in</w:t>
      </w:r>
      <w:r w:rsidR="000A75F3">
        <w:rPr>
          <w:rFonts w:ascii="Times New Roman" w:hAnsi="Times New Roman" w:cs="Times New Roman"/>
          <w:sz w:val="24"/>
          <w:szCs w:val="24"/>
        </w:rPr>
        <w:t xml:space="preserve"> </w:t>
      </w:r>
      <w:r w:rsidR="00060611" w:rsidRPr="000C71AF">
        <w:rPr>
          <w:rFonts w:ascii="Times New Roman" w:hAnsi="Times New Roman" w:cs="Times New Roman"/>
          <w:sz w:val="24"/>
          <w:szCs w:val="24"/>
        </w:rPr>
        <w:t>tissue sections (Glioma 1</w:t>
      </w:r>
      <w:r w:rsidR="00060611" w:rsidRPr="000C71AF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="00060611" w:rsidRPr="000C71AF">
        <w:rPr>
          <w:rFonts w:ascii="Times New Roman" w:hAnsi="Times New Roman" w:cs="Times New Roman"/>
          <w:sz w:val="24"/>
          <w:szCs w:val="24"/>
        </w:rPr>
        <w:t>) from different perspectives.</w:t>
      </w:r>
    </w:p>
    <w:bookmarkEnd w:id="1"/>
    <w:p w14:paraId="74CB84ED" w14:textId="3EB7657E" w:rsidR="001A4CBA" w:rsidRPr="000C71AF" w:rsidRDefault="001A4CBA" w:rsidP="00450D5A">
      <w:pPr>
        <w:spacing w:line="360" w:lineRule="auto"/>
        <w:rPr>
          <w:sz w:val="24"/>
          <w:szCs w:val="24"/>
        </w:rPr>
      </w:pPr>
    </w:p>
    <w:p w14:paraId="6D631A35" w14:textId="0DF156F2" w:rsidR="001A4CBA" w:rsidRDefault="001A4CBA" w:rsidP="00450D5A">
      <w:pPr>
        <w:spacing w:line="360" w:lineRule="auto"/>
      </w:pPr>
    </w:p>
    <w:p w14:paraId="111461A0" w14:textId="77777777" w:rsidR="001A4CBA" w:rsidRDefault="001A4CBA" w:rsidP="00450D5A">
      <w:pPr>
        <w:spacing w:line="360" w:lineRule="auto"/>
      </w:pPr>
    </w:p>
    <w:p w14:paraId="7F763E0F" w14:textId="7637D472" w:rsidR="00346A6D" w:rsidRPr="00DB7BAD" w:rsidRDefault="00346A6D" w:rsidP="00DB7BAD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6DE1FE9" w14:textId="08D8415A" w:rsidR="00346A6D" w:rsidRDefault="00346A6D" w:rsidP="00CB268C">
      <w:pPr>
        <w:spacing w:line="276" w:lineRule="auto"/>
        <w:rPr>
          <w:rFonts w:ascii="MS Gothic" w:hAnsi="MS Gothic" w:cs="MS Gothic"/>
        </w:rPr>
      </w:pPr>
    </w:p>
    <w:p w14:paraId="6B4FC860" w14:textId="6EC6EAEE" w:rsidR="00CC79A5" w:rsidRDefault="00CC79A5" w:rsidP="00CB268C">
      <w:pPr>
        <w:spacing w:line="276" w:lineRule="auto"/>
        <w:rPr>
          <w:rFonts w:ascii="MS Gothic" w:hAnsi="MS Gothic" w:cs="MS Gothic"/>
        </w:rPr>
      </w:pPr>
    </w:p>
    <w:p w14:paraId="602FA791" w14:textId="1F3C504D" w:rsidR="00CC79A5" w:rsidRDefault="00CC79A5" w:rsidP="00CB268C">
      <w:pPr>
        <w:spacing w:line="276" w:lineRule="auto"/>
        <w:rPr>
          <w:rFonts w:ascii="MS Gothic" w:hAnsi="MS Gothic" w:cs="MS Gothic"/>
        </w:rPr>
      </w:pPr>
    </w:p>
    <w:p w14:paraId="67E15FA7" w14:textId="4C1F8706" w:rsidR="00CC79A5" w:rsidRDefault="00CC79A5" w:rsidP="00CB268C">
      <w:pPr>
        <w:spacing w:line="276" w:lineRule="auto"/>
        <w:rPr>
          <w:rFonts w:ascii="MS Gothic" w:hAnsi="MS Gothic" w:cs="MS Gothic"/>
        </w:rPr>
      </w:pPr>
    </w:p>
    <w:p w14:paraId="708BC698" w14:textId="3D4EB81E" w:rsidR="00CC79A5" w:rsidRDefault="00CC79A5" w:rsidP="00CB268C">
      <w:pPr>
        <w:spacing w:line="276" w:lineRule="auto"/>
        <w:rPr>
          <w:rFonts w:ascii="MS Gothic" w:hAnsi="MS Gothic" w:cs="MS Gothic"/>
        </w:rPr>
      </w:pPr>
    </w:p>
    <w:p w14:paraId="0FFA3D54" w14:textId="0E0F7E9C" w:rsidR="00CC79A5" w:rsidRDefault="00CC79A5" w:rsidP="00CB268C">
      <w:pPr>
        <w:spacing w:line="276" w:lineRule="auto"/>
        <w:rPr>
          <w:rFonts w:ascii="MS Gothic" w:hAnsi="MS Gothic" w:cs="MS Gothic"/>
        </w:rPr>
      </w:pPr>
    </w:p>
    <w:p w14:paraId="0378D7E7" w14:textId="4DFF795B" w:rsidR="00CC79A5" w:rsidRDefault="00CC79A5" w:rsidP="00CB268C">
      <w:pPr>
        <w:spacing w:line="276" w:lineRule="auto"/>
        <w:rPr>
          <w:rFonts w:ascii="MS Gothic" w:hAnsi="MS Gothic" w:cs="MS Gothic"/>
        </w:rPr>
      </w:pPr>
    </w:p>
    <w:p w14:paraId="5CDF79FD" w14:textId="0457C843" w:rsidR="00CC79A5" w:rsidRDefault="00CC79A5" w:rsidP="00CB268C">
      <w:pPr>
        <w:spacing w:line="276" w:lineRule="auto"/>
        <w:rPr>
          <w:rFonts w:ascii="MS Gothic" w:hAnsi="MS Gothic" w:cs="MS Gothic"/>
        </w:rPr>
      </w:pPr>
    </w:p>
    <w:p w14:paraId="36AA74A7" w14:textId="4449FAFE" w:rsidR="00CC79A5" w:rsidRDefault="00CC79A5" w:rsidP="00CB268C">
      <w:pPr>
        <w:spacing w:line="276" w:lineRule="auto"/>
        <w:rPr>
          <w:rFonts w:ascii="MS Gothic" w:hAnsi="MS Gothic" w:cs="MS Gothic"/>
        </w:rPr>
      </w:pPr>
    </w:p>
    <w:p w14:paraId="652EB152" w14:textId="4B5588D4" w:rsidR="00CC79A5" w:rsidRDefault="00CC79A5" w:rsidP="00CB268C">
      <w:pPr>
        <w:spacing w:line="276" w:lineRule="auto"/>
        <w:rPr>
          <w:rFonts w:ascii="MS Gothic" w:hAnsi="MS Gothic" w:cs="MS Gothic"/>
        </w:rPr>
      </w:pPr>
    </w:p>
    <w:p w14:paraId="3AC5BE83" w14:textId="4F2A6E8C" w:rsidR="00CC79A5" w:rsidRDefault="00CC79A5" w:rsidP="00CB268C">
      <w:pPr>
        <w:spacing w:line="276" w:lineRule="auto"/>
        <w:rPr>
          <w:rFonts w:ascii="MS Gothic" w:hAnsi="MS Gothic" w:cs="MS Gothic"/>
        </w:rPr>
      </w:pPr>
    </w:p>
    <w:p w14:paraId="2626BE93" w14:textId="34B6B052" w:rsidR="000C71AF" w:rsidRPr="00CC79A5" w:rsidRDefault="000C71AF" w:rsidP="000C71AF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CB268C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Table 1 </w:t>
      </w:r>
      <w:r w:rsidRPr="00CB268C">
        <w:rPr>
          <w:rFonts w:ascii="Times New Roman" w:hAnsi="Times New Roman" w:cs="Times New Roman"/>
          <w:sz w:val="24"/>
          <w:szCs w:val="28"/>
        </w:rPr>
        <w:t>Human glioma samples included in the study</w:t>
      </w:r>
    </w:p>
    <w:tbl>
      <w:tblPr>
        <w:tblStyle w:val="a4"/>
        <w:tblpPr w:leftFromText="180" w:rightFromText="180" w:vertAnchor="text" w:horzAnchor="margin" w:tblpY="40"/>
        <w:tblW w:w="9067" w:type="dxa"/>
        <w:tblLook w:val="04A0" w:firstRow="1" w:lastRow="0" w:firstColumn="1" w:lastColumn="0" w:noHBand="0" w:noVBand="1"/>
      </w:tblPr>
      <w:tblGrid>
        <w:gridCol w:w="1516"/>
        <w:gridCol w:w="1314"/>
        <w:gridCol w:w="1276"/>
        <w:gridCol w:w="1985"/>
        <w:gridCol w:w="2976"/>
      </w:tblGrid>
      <w:tr w:rsidR="000C71AF" w:rsidRPr="00141D55" w14:paraId="4584759D" w14:textId="77777777" w:rsidTr="00A0691F">
        <w:trPr>
          <w:trHeight w:val="288"/>
        </w:trPr>
        <w:tc>
          <w:tcPr>
            <w:tcW w:w="1516" w:type="dxa"/>
            <w:noWrap/>
            <w:hideMark/>
          </w:tcPr>
          <w:p w14:paraId="3769CF31" w14:textId="77777777" w:rsidR="000C71AF" w:rsidRPr="00141D55" w:rsidRDefault="000C71AF" w:rsidP="00A069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Sample Number</w:t>
            </w:r>
          </w:p>
        </w:tc>
        <w:tc>
          <w:tcPr>
            <w:tcW w:w="1314" w:type="dxa"/>
            <w:noWrap/>
            <w:hideMark/>
          </w:tcPr>
          <w:p w14:paraId="713E50B5" w14:textId="77777777" w:rsidR="000C71AF" w:rsidRDefault="000C71AF" w:rsidP="00A069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Age</w:t>
            </w:r>
          </w:p>
          <w:p w14:paraId="7EAB1BA6" w14:textId="77777777" w:rsidR="000C71AF" w:rsidRPr="00141D55" w:rsidRDefault="000C71AF" w:rsidP="00A069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  <w:szCs w:val="24"/>
              </w:rPr>
              <w:t>(</w:t>
            </w:r>
            <w:r w:rsidRPr="00141D55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years old)</w:t>
            </w:r>
          </w:p>
        </w:tc>
        <w:tc>
          <w:tcPr>
            <w:tcW w:w="1276" w:type="dxa"/>
            <w:noWrap/>
            <w:hideMark/>
          </w:tcPr>
          <w:p w14:paraId="05509EBA" w14:textId="77777777" w:rsidR="000C71AF" w:rsidRPr="00141D55" w:rsidRDefault="000C71AF" w:rsidP="00A069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Gender</w:t>
            </w:r>
          </w:p>
        </w:tc>
        <w:tc>
          <w:tcPr>
            <w:tcW w:w="1985" w:type="dxa"/>
            <w:noWrap/>
            <w:hideMark/>
          </w:tcPr>
          <w:p w14:paraId="00E5FCF2" w14:textId="77777777" w:rsidR="000C71AF" w:rsidRPr="00141D55" w:rsidRDefault="000C71AF" w:rsidP="00A069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Tumor site</w:t>
            </w:r>
          </w:p>
        </w:tc>
        <w:tc>
          <w:tcPr>
            <w:tcW w:w="2976" w:type="dxa"/>
            <w:noWrap/>
            <w:hideMark/>
          </w:tcPr>
          <w:p w14:paraId="12258C4F" w14:textId="77777777" w:rsidR="000C71AF" w:rsidRPr="00141D55" w:rsidRDefault="000C71AF" w:rsidP="00A0691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Diagnosis</w:t>
            </w:r>
          </w:p>
        </w:tc>
      </w:tr>
      <w:tr w:rsidR="000C71AF" w:rsidRPr="00141D55" w14:paraId="6AD9E4E9" w14:textId="77777777" w:rsidTr="00A0691F">
        <w:trPr>
          <w:trHeight w:val="336"/>
        </w:trPr>
        <w:tc>
          <w:tcPr>
            <w:tcW w:w="1516" w:type="dxa"/>
            <w:noWrap/>
            <w:hideMark/>
          </w:tcPr>
          <w:p w14:paraId="05A0CEE2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G</w:t>
            </w:r>
            <w:r w:rsidRPr="00141D55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lioma 1</w:t>
            </w:r>
            <w:r w:rsidRPr="00141D55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#</w:t>
            </w:r>
          </w:p>
        </w:tc>
        <w:tc>
          <w:tcPr>
            <w:tcW w:w="1314" w:type="dxa"/>
            <w:noWrap/>
            <w:hideMark/>
          </w:tcPr>
          <w:p w14:paraId="052D70CC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sz w:val="22"/>
                <w:szCs w:val="24"/>
              </w:rPr>
              <w:t>54</w:t>
            </w:r>
          </w:p>
        </w:tc>
        <w:tc>
          <w:tcPr>
            <w:tcW w:w="1276" w:type="dxa"/>
            <w:noWrap/>
            <w:hideMark/>
          </w:tcPr>
          <w:p w14:paraId="3B4CFA88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sz w:val="22"/>
                <w:szCs w:val="24"/>
              </w:rPr>
              <w:t>Female</w:t>
            </w:r>
          </w:p>
        </w:tc>
        <w:tc>
          <w:tcPr>
            <w:tcW w:w="1985" w:type="dxa"/>
            <w:noWrap/>
            <w:hideMark/>
          </w:tcPr>
          <w:p w14:paraId="133404A2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sz w:val="22"/>
                <w:szCs w:val="24"/>
              </w:rPr>
              <w:t>Left frontal lobe</w:t>
            </w:r>
          </w:p>
        </w:tc>
        <w:tc>
          <w:tcPr>
            <w:tcW w:w="2976" w:type="dxa"/>
            <w:noWrap/>
            <w:hideMark/>
          </w:tcPr>
          <w:p w14:paraId="4DA26A6E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sz w:val="22"/>
                <w:szCs w:val="24"/>
              </w:rPr>
              <w:t xml:space="preserve">Glioblastoma multiform, WHO grade Ⅳ, IDH-1(-)  </w:t>
            </w:r>
          </w:p>
        </w:tc>
      </w:tr>
      <w:tr w:rsidR="000C71AF" w:rsidRPr="00141D55" w14:paraId="3DC0DDAA" w14:textId="77777777" w:rsidTr="00A0691F">
        <w:trPr>
          <w:trHeight w:val="336"/>
        </w:trPr>
        <w:tc>
          <w:tcPr>
            <w:tcW w:w="1516" w:type="dxa"/>
            <w:noWrap/>
            <w:hideMark/>
          </w:tcPr>
          <w:p w14:paraId="442FAE83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G</w:t>
            </w:r>
            <w:r w:rsidRPr="00141D55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lioma 2</w:t>
            </w:r>
            <w:r w:rsidRPr="00141D55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#</w:t>
            </w:r>
          </w:p>
        </w:tc>
        <w:tc>
          <w:tcPr>
            <w:tcW w:w="1314" w:type="dxa"/>
            <w:noWrap/>
            <w:hideMark/>
          </w:tcPr>
          <w:p w14:paraId="7446B8C5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sz w:val="22"/>
                <w:szCs w:val="24"/>
              </w:rPr>
              <w:t>29</w:t>
            </w:r>
          </w:p>
        </w:tc>
        <w:tc>
          <w:tcPr>
            <w:tcW w:w="1276" w:type="dxa"/>
            <w:noWrap/>
            <w:hideMark/>
          </w:tcPr>
          <w:p w14:paraId="582B4DF5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sz w:val="22"/>
                <w:szCs w:val="24"/>
              </w:rPr>
              <w:t>Male</w:t>
            </w:r>
          </w:p>
        </w:tc>
        <w:tc>
          <w:tcPr>
            <w:tcW w:w="1985" w:type="dxa"/>
            <w:noWrap/>
            <w:hideMark/>
          </w:tcPr>
          <w:p w14:paraId="105A9B87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sz w:val="22"/>
                <w:szCs w:val="24"/>
              </w:rPr>
              <w:t>Right frontal lobe</w:t>
            </w:r>
          </w:p>
        </w:tc>
        <w:tc>
          <w:tcPr>
            <w:tcW w:w="2976" w:type="dxa"/>
            <w:noWrap/>
            <w:hideMark/>
          </w:tcPr>
          <w:p w14:paraId="7F0D569E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sz w:val="22"/>
                <w:szCs w:val="24"/>
              </w:rPr>
              <w:t>Diffuse astrocytoma, WHO grade Ⅱ, IDH-1 (+)</w:t>
            </w:r>
          </w:p>
        </w:tc>
      </w:tr>
      <w:tr w:rsidR="000C71AF" w:rsidRPr="00141D55" w14:paraId="5BB23A5A" w14:textId="77777777" w:rsidTr="00A0691F">
        <w:trPr>
          <w:trHeight w:val="336"/>
        </w:trPr>
        <w:tc>
          <w:tcPr>
            <w:tcW w:w="1516" w:type="dxa"/>
            <w:noWrap/>
            <w:hideMark/>
          </w:tcPr>
          <w:p w14:paraId="2B049CC0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G</w:t>
            </w:r>
            <w:r w:rsidRPr="00141D55">
              <w:rPr>
                <w:rFonts w:ascii="Times New Roman" w:hAnsi="Times New Roman" w:cs="Times New Roman"/>
                <w:b/>
                <w:bCs/>
                <w:sz w:val="22"/>
                <w:szCs w:val="24"/>
              </w:rPr>
              <w:t>lioma 3</w:t>
            </w:r>
            <w:r w:rsidRPr="00141D55">
              <w:rPr>
                <w:rFonts w:ascii="Times New Roman" w:hAnsi="Times New Roman" w:cs="Times New Roman"/>
                <w:b/>
                <w:bCs/>
                <w:sz w:val="22"/>
                <w:szCs w:val="24"/>
                <w:vertAlign w:val="superscript"/>
              </w:rPr>
              <w:t>#</w:t>
            </w:r>
          </w:p>
        </w:tc>
        <w:tc>
          <w:tcPr>
            <w:tcW w:w="1314" w:type="dxa"/>
            <w:noWrap/>
            <w:hideMark/>
          </w:tcPr>
          <w:p w14:paraId="6AFE2AFE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sz w:val="22"/>
                <w:szCs w:val="24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33C449C9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sz w:val="22"/>
                <w:szCs w:val="24"/>
              </w:rPr>
              <w:t>Female</w:t>
            </w:r>
          </w:p>
        </w:tc>
        <w:tc>
          <w:tcPr>
            <w:tcW w:w="1985" w:type="dxa"/>
            <w:noWrap/>
            <w:hideMark/>
          </w:tcPr>
          <w:p w14:paraId="0C4F7313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sz w:val="22"/>
                <w:szCs w:val="24"/>
              </w:rPr>
              <w:t xml:space="preserve">Left cerebellum </w:t>
            </w:r>
          </w:p>
        </w:tc>
        <w:tc>
          <w:tcPr>
            <w:tcW w:w="2976" w:type="dxa"/>
            <w:noWrap/>
            <w:hideMark/>
          </w:tcPr>
          <w:p w14:paraId="5EFE4537" w14:textId="77777777" w:rsidR="000C71AF" w:rsidRPr="00141D55" w:rsidRDefault="000C71AF" w:rsidP="00A0691F">
            <w:pPr>
              <w:spacing w:line="360" w:lineRule="auto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r w:rsidRPr="00141D55">
              <w:rPr>
                <w:rFonts w:ascii="Times New Roman" w:hAnsi="Times New Roman" w:cs="Times New Roman"/>
                <w:sz w:val="22"/>
                <w:szCs w:val="24"/>
              </w:rPr>
              <w:t>Diffuse astrocytoma, WHO grade Ⅱ, IDH-1 (+)</w:t>
            </w:r>
          </w:p>
        </w:tc>
      </w:tr>
    </w:tbl>
    <w:p w14:paraId="401A476C" w14:textId="4B32E24F" w:rsidR="000C71AF" w:rsidRPr="000C71AF" w:rsidRDefault="000C71AF" w:rsidP="000C71AF">
      <w:pPr>
        <w:spacing w:line="360" w:lineRule="auto"/>
        <w:rPr>
          <w:rFonts w:ascii="Times New Roman" w:hAnsi="Times New Roman" w:cs="Times New Roman"/>
          <w:sz w:val="22"/>
          <w:szCs w:val="24"/>
        </w:rPr>
      </w:pPr>
    </w:p>
    <w:p w14:paraId="7A20D600" w14:textId="77777777" w:rsidR="000C71AF" w:rsidRPr="000C71AF" w:rsidRDefault="000C71AF" w:rsidP="000C71AF">
      <w:pPr>
        <w:spacing w:line="360" w:lineRule="auto"/>
        <w:rPr>
          <w:rFonts w:ascii="Times New Roman" w:hAnsi="Times New Roman" w:cs="Times New Roman"/>
          <w:sz w:val="22"/>
          <w:szCs w:val="24"/>
        </w:rPr>
      </w:pPr>
    </w:p>
    <w:sectPr w:rsidR="000C71AF" w:rsidRPr="000C71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86535F"/>
    <w:multiLevelType w:val="hybridMultilevel"/>
    <w:tmpl w:val="46024B08"/>
    <w:lvl w:ilvl="0" w:tplc="9BFEF0B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4BC2EFF"/>
    <w:multiLevelType w:val="hybridMultilevel"/>
    <w:tmpl w:val="426EC53E"/>
    <w:lvl w:ilvl="0" w:tplc="7548AB8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AxMDIwtDA2sjC0NDNX0lEKTi0uzszPAykwNK0FAHBaVOUtAAAA"/>
  </w:docVars>
  <w:rsids>
    <w:rsidRoot w:val="00B53F1C"/>
    <w:rsid w:val="00060611"/>
    <w:rsid w:val="000A75F3"/>
    <w:rsid w:val="000B437D"/>
    <w:rsid w:val="000B7481"/>
    <w:rsid w:val="000C71AF"/>
    <w:rsid w:val="000E5AE0"/>
    <w:rsid w:val="00127702"/>
    <w:rsid w:val="00144772"/>
    <w:rsid w:val="0016521C"/>
    <w:rsid w:val="00170390"/>
    <w:rsid w:val="00183EFC"/>
    <w:rsid w:val="001A4CBA"/>
    <w:rsid w:val="001D156D"/>
    <w:rsid w:val="001D2EA7"/>
    <w:rsid w:val="001F4269"/>
    <w:rsid w:val="0021130F"/>
    <w:rsid w:val="002209CB"/>
    <w:rsid w:val="002404C9"/>
    <w:rsid w:val="002555F1"/>
    <w:rsid w:val="00274490"/>
    <w:rsid w:val="002D2F6F"/>
    <w:rsid w:val="00316E49"/>
    <w:rsid w:val="00346A6D"/>
    <w:rsid w:val="003A4A81"/>
    <w:rsid w:val="003E4CB0"/>
    <w:rsid w:val="00422B7A"/>
    <w:rsid w:val="004504D5"/>
    <w:rsid w:val="00450D5A"/>
    <w:rsid w:val="004746C7"/>
    <w:rsid w:val="00480295"/>
    <w:rsid w:val="00523321"/>
    <w:rsid w:val="005777AC"/>
    <w:rsid w:val="005A4B13"/>
    <w:rsid w:val="00617D6A"/>
    <w:rsid w:val="00635035"/>
    <w:rsid w:val="0069516C"/>
    <w:rsid w:val="006F2BD2"/>
    <w:rsid w:val="00793E45"/>
    <w:rsid w:val="007C4A48"/>
    <w:rsid w:val="007D631C"/>
    <w:rsid w:val="007E5C4B"/>
    <w:rsid w:val="0087331F"/>
    <w:rsid w:val="008A0252"/>
    <w:rsid w:val="008D5F03"/>
    <w:rsid w:val="008D6583"/>
    <w:rsid w:val="009D5A9D"/>
    <w:rsid w:val="00A25826"/>
    <w:rsid w:val="00A34FF4"/>
    <w:rsid w:val="00AB55B2"/>
    <w:rsid w:val="00AD6F0E"/>
    <w:rsid w:val="00B25899"/>
    <w:rsid w:val="00B53F1C"/>
    <w:rsid w:val="00B773FE"/>
    <w:rsid w:val="00B87506"/>
    <w:rsid w:val="00BB1C77"/>
    <w:rsid w:val="00C37E75"/>
    <w:rsid w:val="00C817B8"/>
    <w:rsid w:val="00C9666F"/>
    <w:rsid w:val="00CA23B8"/>
    <w:rsid w:val="00CB268C"/>
    <w:rsid w:val="00CB5249"/>
    <w:rsid w:val="00CB6037"/>
    <w:rsid w:val="00CC79A5"/>
    <w:rsid w:val="00CE45A2"/>
    <w:rsid w:val="00D10F78"/>
    <w:rsid w:val="00D15583"/>
    <w:rsid w:val="00D9361B"/>
    <w:rsid w:val="00DB7BAD"/>
    <w:rsid w:val="00DD669A"/>
    <w:rsid w:val="00E40C2B"/>
    <w:rsid w:val="00E675CD"/>
    <w:rsid w:val="00EF5DA5"/>
    <w:rsid w:val="00F36BA3"/>
    <w:rsid w:val="00F4399F"/>
    <w:rsid w:val="00FC01CA"/>
    <w:rsid w:val="00FD1DB7"/>
    <w:rsid w:val="00FE33E2"/>
    <w:rsid w:val="00FF5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32393"/>
  <w15:chartTrackingRefBased/>
  <w15:docId w15:val="{A0AF80FA-3596-4ED4-BC66-D08A793A7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E5A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71AF"/>
    <w:pPr>
      <w:ind w:firstLineChars="200" w:firstLine="420"/>
    </w:pPr>
  </w:style>
  <w:style w:type="table" w:styleId="a4">
    <w:name w:val="Table Grid"/>
    <w:basedOn w:val="a1"/>
    <w:uiPriority w:val="39"/>
    <w:rsid w:val="000C71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0E5AE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0E5AE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0E5AE0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0E5AE0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0E5AE0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29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E2965-DFB1-4EF8-9F58-CF89B4219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2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Joyce</dc:creator>
  <cp:keywords/>
  <dc:description/>
  <cp:lastModifiedBy>Zhao Joyce</cp:lastModifiedBy>
  <cp:revision>63</cp:revision>
  <cp:lastPrinted>2021-07-20T05:35:00Z</cp:lastPrinted>
  <dcterms:created xsi:type="dcterms:W3CDTF">2021-07-10T15:04:00Z</dcterms:created>
  <dcterms:modified xsi:type="dcterms:W3CDTF">2021-07-27T15:26:00Z</dcterms:modified>
</cp:coreProperties>
</file>