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3E1DD">
      <w:pPr>
        <w:pStyle w:val="11"/>
        <w:spacing w:before="254" w:line="186" w:lineRule="auto"/>
        <w:ind w:left="25"/>
      </w:pPr>
      <w:bookmarkStart w:id="0" w:name="_GoBack"/>
      <w:bookmarkEnd w:id="0"/>
      <w:r>
        <w:rPr>
          <w:b/>
          <w:bCs/>
          <w:spacing w:val="-3"/>
        </w:rPr>
        <w:t>SUPPLEMENTARY INFORMATION</w:t>
      </w:r>
    </w:p>
    <w:p w14:paraId="2399C865">
      <w:pPr>
        <w:pStyle w:val="11"/>
        <w:spacing w:before="60" w:line="190" w:lineRule="auto"/>
        <w:ind w:left="15"/>
      </w:pPr>
      <w:r>
        <w:t>Figure S1.</w:t>
      </w:r>
      <w:r>
        <w:rPr>
          <w:rFonts w:hint="eastAsia"/>
        </w:rPr>
        <w:t>Establishment and validation of osimertinib-resistant NSCLC cell line model</w:t>
      </w:r>
      <w:r>
        <w:rPr>
          <w:rFonts w:hint="eastAsia"/>
          <w:lang w:val="en-US" w:eastAsia="zh-CN"/>
        </w:rPr>
        <w:t>,</w:t>
      </w:r>
      <w:r>
        <w:rPr>
          <w:spacing w:val="-1"/>
        </w:rPr>
        <w:t>related to Figure</w:t>
      </w:r>
      <w:r>
        <w:rPr>
          <w:spacing w:val="41"/>
          <w:w w:val="101"/>
        </w:rPr>
        <w:t xml:space="preserve"> </w:t>
      </w:r>
      <w:r>
        <w:rPr>
          <w:spacing w:val="-1"/>
        </w:rPr>
        <w:t>1</w:t>
      </w:r>
    </w:p>
    <w:p w14:paraId="5E2C2EAC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  <w:r>
        <w:t>Figure S</w:t>
      </w:r>
      <w:r>
        <w:rPr>
          <w:rFonts w:hint="eastAsia" w:eastAsia="宋体"/>
          <w:lang w:val="en-US" w:eastAsia="zh-CN"/>
        </w:rPr>
        <w:t>2</w:t>
      </w:r>
      <w:r>
        <w:t>.</w:t>
      </w:r>
      <w:r>
        <w:rPr>
          <w:rFonts w:hint="eastAsia"/>
        </w:rPr>
        <w:t>CircCAMSAP1 promotes autophagy levels in NSCLC cells</w:t>
      </w:r>
      <w:r>
        <w:rPr>
          <w:rFonts w:hint="eastAsia"/>
          <w:lang w:val="en-US" w:eastAsia="zh-CN"/>
        </w:rPr>
        <w:t>,</w:t>
      </w:r>
      <w:r>
        <w:rPr>
          <w:spacing w:val="-1"/>
        </w:rPr>
        <w:t>related to Figure</w:t>
      </w:r>
      <w:r>
        <w:rPr>
          <w:spacing w:val="41"/>
          <w:w w:val="101"/>
        </w:rPr>
        <w:t xml:space="preserve"> </w:t>
      </w:r>
      <w:r>
        <w:rPr>
          <w:rFonts w:hint="eastAsia" w:eastAsia="宋体"/>
          <w:spacing w:val="-1"/>
          <w:lang w:val="en-US" w:eastAsia="zh-CN"/>
        </w:rPr>
        <w:t>4</w:t>
      </w:r>
    </w:p>
    <w:p w14:paraId="0AA580D0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  <w:r>
        <w:t>Figure S</w:t>
      </w:r>
      <w:r>
        <w:rPr>
          <w:rFonts w:hint="eastAsia" w:eastAsia="宋体"/>
          <w:lang w:val="en-US" w:eastAsia="zh-CN"/>
        </w:rPr>
        <w:t>3</w:t>
      </w:r>
      <w:r>
        <w:t>.</w:t>
      </w:r>
      <w:r>
        <w:rPr>
          <w:rFonts w:hint="eastAsia"/>
        </w:rPr>
        <w:t>HSPA1A promotes the proliferation of NSCLC cells and osimertinib resistance</w:t>
      </w:r>
      <w:r>
        <w:rPr>
          <w:rFonts w:hint="eastAsia"/>
          <w:lang w:val="en-US" w:eastAsia="zh-CN"/>
        </w:rPr>
        <w:t>,</w:t>
      </w:r>
      <w:r>
        <w:rPr>
          <w:spacing w:val="-1"/>
        </w:rPr>
        <w:t>related to Figure</w:t>
      </w:r>
      <w:r>
        <w:rPr>
          <w:spacing w:val="41"/>
          <w:w w:val="101"/>
        </w:rPr>
        <w:t xml:space="preserve"> </w:t>
      </w:r>
      <w:r>
        <w:rPr>
          <w:rFonts w:hint="eastAsia" w:eastAsia="宋体"/>
          <w:spacing w:val="-1"/>
          <w:lang w:val="en-US" w:eastAsia="zh-CN"/>
        </w:rPr>
        <w:t>5</w:t>
      </w:r>
    </w:p>
    <w:p w14:paraId="000C2264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  <w:r>
        <w:t>Figure S</w:t>
      </w:r>
      <w:r>
        <w:rPr>
          <w:rFonts w:hint="eastAsia" w:eastAsia="宋体"/>
          <w:lang w:val="en-US" w:eastAsia="zh-CN"/>
        </w:rPr>
        <w:t>4</w:t>
      </w:r>
      <w:r>
        <w:t>.</w:t>
      </w:r>
      <w:r>
        <w:rPr>
          <w:rFonts w:hint="eastAsia"/>
        </w:rPr>
        <w:t>SMURF1 promotes ubiquitinated degradation of HSPA1A protein</w:t>
      </w:r>
      <w:r>
        <w:rPr>
          <w:rFonts w:hint="eastAsia"/>
          <w:lang w:val="en-US" w:eastAsia="zh-CN"/>
        </w:rPr>
        <w:t>,</w:t>
      </w:r>
      <w:r>
        <w:rPr>
          <w:spacing w:val="-1"/>
        </w:rPr>
        <w:t>related to Figure</w:t>
      </w:r>
      <w:r>
        <w:rPr>
          <w:spacing w:val="41"/>
          <w:w w:val="101"/>
        </w:rPr>
        <w:t xml:space="preserve"> </w:t>
      </w:r>
      <w:r>
        <w:rPr>
          <w:rFonts w:hint="eastAsia" w:eastAsia="宋体"/>
          <w:spacing w:val="-1"/>
          <w:lang w:val="en-US" w:eastAsia="zh-CN"/>
        </w:rPr>
        <w:t>6</w:t>
      </w:r>
    </w:p>
    <w:p w14:paraId="772588C3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  <w:r>
        <w:t>Figure S</w:t>
      </w:r>
      <w:r>
        <w:rPr>
          <w:rFonts w:hint="eastAsia" w:eastAsia="宋体"/>
          <w:lang w:val="en-US" w:eastAsia="zh-CN"/>
        </w:rPr>
        <w:t>5</w:t>
      </w:r>
      <w:r>
        <w:t>.</w:t>
      </w:r>
      <w:r>
        <w:rPr>
          <w:rFonts w:hint="eastAsia"/>
        </w:rPr>
        <w:t>knockout efficiency of HnRNPA1</w:t>
      </w:r>
      <w:r>
        <w:rPr>
          <w:rFonts w:hint="eastAsia"/>
          <w:lang w:val="en-US" w:eastAsia="zh-CN"/>
        </w:rPr>
        <w:t>,</w:t>
      </w:r>
      <w:r>
        <w:rPr>
          <w:spacing w:val="-1"/>
        </w:rPr>
        <w:t>related to Figure</w:t>
      </w:r>
      <w:r>
        <w:rPr>
          <w:spacing w:val="41"/>
          <w:w w:val="101"/>
        </w:rPr>
        <w:t xml:space="preserve"> </w:t>
      </w:r>
      <w:r>
        <w:rPr>
          <w:rFonts w:hint="eastAsia" w:eastAsia="宋体"/>
          <w:spacing w:val="-1"/>
          <w:lang w:val="en-US" w:eastAsia="zh-CN"/>
        </w:rPr>
        <w:t>8</w:t>
      </w:r>
    </w:p>
    <w:p w14:paraId="179D1A19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</w:p>
    <w:p w14:paraId="6A4B7940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</w:p>
    <w:p w14:paraId="75DF3A7F">
      <w:pPr>
        <w:pStyle w:val="11"/>
        <w:spacing w:before="60" w:line="190" w:lineRule="auto"/>
        <w:ind w:left="15"/>
        <w:rPr>
          <w:rFonts w:hint="eastAsia" w:eastAsia="宋体"/>
          <w:spacing w:val="-1"/>
          <w:lang w:val="en-US" w:eastAsia="zh-CN"/>
        </w:rPr>
      </w:pPr>
    </w:p>
    <w:p w14:paraId="4B3BC456">
      <w:pPr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</w:p>
    <w:p w14:paraId="2C9C211E">
      <w:pPr>
        <w:rPr>
          <w:rFonts w:ascii="Times New Roman" w:hAnsi="Times New Roman" w:cs="Times New Roman"/>
          <w:sz w:val="24"/>
        </w:rPr>
      </w:pPr>
    </w:p>
    <w:p w14:paraId="6CD80C92">
      <w:pPr>
        <w:rPr>
          <w:rFonts w:ascii="Times New Roman" w:hAnsi="Times New Roman" w:cs="Times New Roman"/>
          <w:sz w:val="24"/>
        </w:rPr>
      </w:pPr>
    </w:p>
    <w:p w14:paraId="0EB0C4C2">
      <w:pPr>
        <w:rPr>
          <w:rFonts w:ascii="Times New Roman" w:hAnsi="Times New Roman" w:cs="Times New Roman"/>
          <w:sz w:val="24"/>
        </w:rPr>
      </w:pPr>
    </w:p>
    <w:p w14:paraId="709B8883">
      <w:pPr>
        <w:rPr>
          <w:rFonts w:ascii="Times New Roman" w:hAnsi="Times New Roman" w:cs="Times New Roman"/>
          <w:sz w:val="24"/>
        </w:rPr>
      </w:pPr>
    </w:p>
    <w:p w14:paraId="7F471265">
      <w:pPr>
        <w:rPr>
          <w:rFonts w:ascii="Times New Roman" w:hAnsi="Times New Roman" w:cs="Times New Roman"/>
          <w:sz w:val="24"/>
        </w:rPr>
      </w:pPr>
    </w:p>
    <w:p w14:paraId="75A1C97C">
      <w:pPr>
        <w:rPr>
          <w:rFonts w:ascii="Times New Roman" w:hAnsi="Times New Roman" w:cs="Times New Roman"/>
          <w:sz w:val="24"/>
        </w:rPr>
      </w:pPr>
    </w:p>
    <w:p w14:paraId="6A66F794">
      <w:pPr>
        <w:rPr>
          <w:rFonts w:ascii="Times New Roman" w:hAnsi="Times New Roman" w:cs="Times New Roman"/>
          <w:sz w:val="24"/>
        </w:rPr>
      </w:pPr>
    </w:p>
    <w:p w14:paraId="04B2881C">
      <w:pPr>
        <w:rPr>
          <w:rFonts w:ascii="Times New Roman" w:hAnsi="Times New Roman" w:cs="Times New Roman"/>
          <w:sz w:val="24"/>
        </w:rPr>
      </w:pPr>
    </w:p>
    <w:p w14:paraId="69DB7F77">
      <w:pPr>
        <w:rPr>
          <w:rFonts w:ascii="Times New Roman" w:hAnsi="Times New Roman" w:cs="Times New Roman"/>
          <w:sz w:val="24"/>
        </w:rPr>
      </w:pPr>
    </w:p>
    <w:p w14:paraId="70BE51E3">
      <w:pPr>
        <w:rPr>
          <w:rFonts w:ascii="Times New Roman" w:hAnsi="Times New Roman" w:cs="Times New Roman"/>
          <w:sz w:val="24"/>
        </w:rPr>
      </w:pPr>
    </w:p>
    <w:p w14:paraId="68F7025B">
      <w:pPr>
        <w:rPr>
          <w:rFonts w:ascii="Times New Roman" w:hAnsi="Times New Roman" w:cs="Times New Roman"/>
          <w:sz w:val="24"/>
        </w:rPr>
      </w:pPr>
    </w:p>
    <w:p w14:paraId="29ABE42E">
      <w:pPr>
        <w:rPr>
          <w:rFonts w:ascii="Times New Roman" w:hAnsi="Times New Roman" w:cs="Times New Roman"/>
          <w:sz w:val="24"/>
        </w:rPr>
      </w:pPr>
    </w:p>
    <w:p w14:paraId="1A16E50B">
      <w:pPr>
        <w:rPr>
          <w:rFonts w:ascii="Times New Roman" w:hAnsi="Times New Roman" w:cs="Times New Roman"/>
          <w:sz w:val="24"/>
        </w:rPr>
      </w:pPr>
    </w:p>
    <w:p w14:paraId="52EE8394">
      <w:pPr>
        <w:rPr>
          <w:rFonts w:ascii="Times New Roman" w:hAnsi="Times New Roman" w:cs="Times New Roman"/>
          <w:sz w:val="24"/>
        </w:rPr>
      </w:pPr>
    </w:p>
    <w:p w14:paraId="720EDC7F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8595" cy="1755140"/>
            <wp:effectExtent l="0" t="0" r="8255" b="6985"/>
            <wp:docPr id="1" name="图片 1" descr="补充图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图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BC3C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Figure. S1.</w:t>
      </w:r>
      <w:r>
        <w:rPr>
          <w:rFonts w:ascii="Times New Roman" w:hAnsi="Times New Roman" w:eastAsia="宋体" w:cs="Times New Roman"/>
          <w:kern w:val="0"/>
          <w:sz w:val="21"/>
          <w:szCs w:val="21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Establishment and validation of osimertinib-resistant NSCLC cell line model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(A-B)</w:t>
      </w:r>
      <w:r>
        <w:rPr>
          <w:rFonts w:ascii="Times New Roman" w:hAnsi="Times New Roman" w:cs="Times New Roman"/>
          <w:sz w:val="21"/>
          <w:szCs w:val="21"/>
        </w:rPr>
        <w:t xml:space="preserve"> WST-1 method to detect drug dose-effect curves drawn by PC9, PC9/OR, H1975, and H1975/OR cells for IC50 values of different concentrations of osimertinib.</w:t>
      </w:r>
    </w:p>
    <w:p w14:paraId="57F769B9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8595" cy="2341245"/>
            <wp:effectExtent l="0" t="0" r="8255" b="1905"/>
            <wp:docPr id="2" name="图片 2" descr="补充图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图2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B1E6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Figure. S2.</w:t>
      </w:r>
      <w:r>
        <w:rPr>
          <w:rFonts w:ascii="Times New Roman" w:hAnsi="Times New Roman" w:eastAsia="宋体" w:cs="Times New Roman"/>
          <w:kern w:val="0"/>
          <w:sz w:val="21"/>
          <w:szCs w:val="21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CircCAMSAP1 promotes autophagy levels in NSCLC cells.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(A) </w:t>
      </w:r>
      <w:r>
        <w:rPr>
          <w:rFonts w:ascii="Times New Roman" w:hAnsi="Times New Roman" w:cs="Times New Roman"/>
          <w:sz w:val="21"/>
          <w:szCs w:val="21"/>
        </w:rPr>
        <w:t>Representative images of autophagosome images of PC9/OR cells transfected with RFP-GFP-LC3 lentivirus after detection of circCAMSAP1 knockdown by confocal microscopy, with or without CQ treatment.</w:t>
      </w:r>
    </w:p>
    <w:p w14:paraId="542D68B5">
      <w:pP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  <w:drawing>
          <wp:inline distT="0" distB="0" distL="114300" distR="114300">
            <wp:extent cx="5267325" cy="4682490"/>
            <wp:effectExtent l="0" t="0" r="0" b="3810"/>
            <wp:docPr id="3" name="图片 3" descr="补充图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补充图3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BA18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Figure. S3.</w:t>
      </w:r>
      <w:r>
        <w:rPr>
          <w:rFonts w:ascii="Times New Roman" w:hAnsi="Times New Roman" w:eastAsia="宋体" w:cs="Times New Roman"/>
          <w:kern w:val="0"/>
          <w:sz w:val="21"/>
          <w:szCs w:val="21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</w:rPr>
        <w:t>HSPA1A promotes the proliferation of NSCLC cells and osimertinib resistance.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(A-B)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expression of HSPA1A in osimertinib-sensitive cell lines (PC9 and H1975) and drug-resistant cell lines (PC9/OR and H1975/OR) was detected by western blot and RT-qPCR analysis.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(C-D)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Efficiency of overexpression of HSPA1A in drug-resistant cell lines (PC9/OR and H1975/OR) was detected by Western blotting and RT-qPCR analysis.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(E-F)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to assess PC9/OR and H1975/OR cell viability by overexpression of HSPA1A in different doses of Osimertinib.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(G-H)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clonal formation capacity of PC9/OR and H1975/OR cells after overexpression of HSPA1A was assessed by colony formation assay.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(I-J)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Detection of autophagy-related protein expression in PC9/OR and H1975/OR cells after overexpression of HSPA1A by Western blotting. * P＜0.05，** P＜0.01，*** P＜.001</w:t>
      </w:r>
    </w:p>
    <w:p w14:paraId="2F73E19D">
      <w:pP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  <w:drawing>
          <wp:inline distT="0" distB="0" distL="114300" distR="114300">
            <wp:extent cx="5267325" cy="6146165"/>
            <wp:effectExtent l="0" t="0" r="0" b="6985"/>
            <wp:docPr id="4" name="图片 4" descr="补充图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补充图4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A149">
      <w:p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</w:rPr>
        <w:t>Figure. S4.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SMURF1 promotes ubiquitinated degradation of HSPA1A protein.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(A)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Detection of the effect of silencing circCAMSAP1 on HSPA1A mRNA expression level by RT-qPCR analysis;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Ubibroswer website predicts SMURF1 protein as candidate E3 ubiquitin ligase for HSPA1A protein;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Western blot to detect the effect of knockdown of circCAMSAP1 on the expression level of SMURF1 protein;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Detection of the effect of silencing circCAMSAP1 on SMURF1 mRNA expression level by RT-qPCR analysis;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(E)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Detection of the silencing efficiency of SMURF1 transfected with siSMURF1 in PC9/OR and H1975/OR cells by RT-qPCR assay;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(F)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Detection of the effect of silencing SMURF1 on HSPA1A mRNA expression level by RT-qPCR analysis;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(G)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After transfection with siSMURF1, PC9/OR cells were treated with MG-132 (10 μM) to detect the ubiquitination modification level of HSPA1A protein by immunoprecipitation (Co-IP) assay.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(H)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Detection of cellular colocalization of SMURF1 and HSPA1A after knockdown of circCAMSAP1 by confocal microscopy. * P&lt;0.05, ns The difference was not significant</w:t>
      </w:r>
    </w:p>
    <w:p w14:paraId="5698CBE2">
      <w:pP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lang w:eastAsia="zh-CN"/>
        </w:rPr>
        <w:drawing>
          <wp:inline distT="0" distB="0" distL="114300" distR="114300">
            <wp:extent cx="5260340" cy="3757295"/>
            <wp:effectExtent l="0" t="0" r="6985" b="5080"/>
            <wp:docPr id="5" name="图片 5" descr="补充图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补充图5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C393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Figure. S5.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knockout efficiency of HnRNPA1.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(A-D)</w:t>
      </w:r>
      <w:r>
        <w:rPr>
          <w:rFonts w:ascii="Times New Roman" w:hAnsi="Times New Roman" w:cs="Times New Roman"/>
          <w:sz w:val="24"/>
        </w:rPr>
        <w:t xml:space="preserve"> Detection of the silencing efficiency of HnRNPA1 transfected with siHnRNPA1 in PC9/OR and H1975/OR cells by Western blot and RT-qPCR analysis. * P＜0.05</w:t>
      </w:r>
    </w:p>
    <w:p w14:paraId="2FC9EE08">
      <w:pPr>
        <w:rPr>
          <w:rFonts w:ascii="Times New Roman" w:hAnsi="Times New Roman" w:cs="Times New Roman"/>
          <w:b/>
          <w:bCs/>
        </w:rPr>
      </w:pPr>
    </w:p>
    <w:p w14:paraId="3CB7FE8E">
      <w:pPr>
        <w:rPr>
          <w:rFonts w:ascii="Times New Roman" w:hAnsi="Times New Roman" w:cs="Times New Roman"/>
        </w:rPr>
      </w:pPr>
    </w:p>
    <w:p w14:paraId="08B16919">
      <w:pPr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08"/>
    <w:rsid w:val="0016700C"/>
    <w:rsid w:val="00305543"/>
    <w:rsid w:val="00821BAE"/>
    <w:rsid w:val="008F20CB"/>
    <w:rsid w:val="009C6DC2"/>
    <w:rsid w:val="00AB5099"/>
    <w:rsid w:val="00C439FA"/>
    <w:rsid w:val="00D15D30"/>
    <w:rsid w:val="00D15E08"/>
    <w:rsid w:val="00F47DED"/>
    <w:rsid w:val="0F1510BA"/>
    <w:rsid w:val="506B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type="paragraph" w:styleId="12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5">
    <w:name w:val="MDPI_1.6_affiliation"/>
    <w:autoRedefine/>
    <w:qFormat/>
    <w:uiPriority w:val="0"/>
    <w:pPr>
      <w:adjustRightInd w:val="0"/>
      <w:snapToGrid w:val="0"/>
      <w:spacing w:after="0" w:line="360" w:lineRule="auto"/>
    </w:pPr>
    <w:rPr>
      <w:rFonts w:ascii="Arial" w:hAnsi="Arial" w:eastAsia="宋体" w:cs="Arial"/>
      <w:bCs/>
      <w:kern w:val="0"/>
      <w:sz w:val="17"/>
      <w:szCs w:val="17"/>
      <w:lang w:val="en-US" w:eastAsia="zh-CN" w:bidi="en-US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446</Words>
  <Characters>2668</Characters>
  <Lines>66</Lines>
  <Paragraphs>12</Paragraphs>
  <TotalTime>1</TotalTime>
  <ScaleCrop>false</ScaleCrop>
  <LinksUpToDate>false</LinksUpToDate>
  <CharactersWithSpaces>3091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2025-07-29T06:05:00Z</dcterms:created>
  <dc:creator>淼 尹</dc:creator>
  <cp:lastModifiedBy>水水水子最好看不接受反驳</cp:lastModifiedBy>
  <dcterms:modified xsi:type="dcterms:W3CDTF">2025-08-21T11:00:19Z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eyJoZGlkIjoiNTU0ZmIwYTQ3NzlmZGUxZmU3Zjk0M2IyZTNmM2IxNjAiLCJ1c2VySWQiOiI0NTY1ODg1MTUifQ==</vt:lpwstr>
  </property>
  <property fmtid="{D5CDD505-2E9C-101B-9397-08002B2CF9AE}" pid="3" name="KSOProductBuildVer">
    <vt:lpwstr>2052-12.1.0.21915</vt:lpwstr>
  </property>
  <property fmtid="{D5CDD505-2E9C-101B-9397-08002B2CF9AE}" pid="4" name="ICV">
    <vt:lpwstr>A1425B4E5EF34DA2B1D762639A187AEE_13</vt:lpwstr>
  </property>
</Properties>
</file>