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013" w:rsidRPr="00B04013" w:rsidRDefault="00B04013" w:rsidP="00B040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B04013">
        <w:rPr>
          <w:rFonts w:ascii="Times New Roman" w:hAnsi="Times New Roman" w:cs="Times New Roman"/>
          <w:iCs/>
          <w:sz w:val="28"/>
          <w:szCs w:val="28"/>
        </w:rPr>
        <w:t>Supplementary materials</w:t>
      </w:r>
    </w:p>
    <w:p w:rsidR="000D2FE1" w:rsidRPr="00B04013" w:rsidRDefault="00B04013" w:rsidP="00B0401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B04013">
        <w:rPr>
          <w:rFonts w:ascii="Times New Roman" w:hAnsi="Times New Roman" w:cs="Times New Roman"/>
          <w:iCs/>
          <w:sz w:val="28"/>
          <w:szCs w:val="28"/>
        </w:rPr>
        <w:t>For</w:t>
      </w: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73684270"/>
      <w:bookmarkStart w:id="1" w:name="_Hlk74656493"/>
      <w:r w:rsidRPr="00B04013">
        <w:rPr>
          <w:rFonts w:ascii="Times New Roman" w:hAnsi="Times New Roman" w:cs="Times New Roman"/>
          <w:b/>
          <w:bCs/>
          <w:sz w:val="28"/>
          <w:szCs w:val="28"/>
        </w:rPr>
        <w:t>Development and evaluation of Europium-based quantitative lateral flow immunoassay for the chronic kidney disease marker Cystatin-C</w:t>
      </w:r>
      <w:bookmarkEnd w:id="0"/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04013" w:rsidRPr="00B04013" w:rsidRDefault="00B04013" w:rsidP="00B04013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en-IN"/>
        </w:rPr>
        <w:lastRenderedPageBreak/>
        <w:drawing>
          <wp:inline distT="0" distB="0" distL="0" distR="0" wp14:anchorId="4B435796" wp14:editId="7183F938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bookmarkEnd w:id="1"/>
    <w:p w:rsidR="00B04013" w:rsidRDefault="00B04013" w:rsidP="00B0401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</w:t>
      </w:r>
      <w:r w:rsidRPr="00B04013">
        <w:rPr>
          <w:rFonts w:ascii="Times New Roman" w:hAnsi="Times New Roman" w:cs="Times New Roman"/>
          <w:b/>
          <w:sz w:val="20"/>
          <w:szCs w:val="20"/>
        </w:rPr>
        <w:t xml:space="preserve"> S1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B04013">
        <w:t xml:space="preserve"> </w:t>
      </w:r>
      <w:r w:rsidRPr="00B04013">
        <w:rPr>
          <w:rFonts w:ascii="Times New Roman" w:hAnsi="Times New Roman" w:cs="Times New Roman"/>
          <w:sz w:val="20"/>
          <w:szCs w:val="20"/>
        </w:rPr>
        <w:t>Effect of sample volume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B04013">
        <w:rPr>
          <w:rFonts w:ascii="Times New Roman" w:hAnsi="Times New Roman" w:cs="Times New Roman"/>
          <w:sz w:val="20"/>
          <w:szCs w:val="20"/>
        </w:rPr>
        <w:t xml:space="preserve">on the </w:t>
      </w:r>
      <w:r>
        <w:rPr>
          <w:rFonts w:ascii="Times New Roman" w:hAnsi="Times New Roman" w:cs="Times New Roman"/>
          <w:sz w:val="20"/>
          <w:szCs w:val="20"/>
        </w:rPr>
        <w:t>volume ratio</w:t>
      </w:r>
      <w:r w:rsidRPr="00B04013">
        <w:rPr>
          <w:rFonts w:ascii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>CM-EU</w:t>
      </w:r>
      <w:r w:rsidRPr="00B04013">
        <w:rPr>
          <w:rFonts w:ascii="Times New Roman" w:hAnsi="Times New Roman" w:cs="Times New Roman"/>
          <w:sz w:val="20"/>
          <w:szCs w:val="20"/>
        </w:rPr>
        <w:t xml:space="preserve">-based </w:t>
      </w:r>
      <w:r>
        <w:rPr>
          <w:rFonts w:ascii="Times New Roman" w:hAnsi="Times New Roman" w:cs="Times New Roman"/>
          <w:sz w:val="20"/>
          <w:szCs w:val="20"/>
        </w:rPr>
        <w:t>LFIA</w:t>
      </w:r>
      <w:r w:rsidRPr="00B04013">
        <w:rPr>
          <w:rFonts w:ascii="Times New Roman" w:hAnsi="Times New Roman" w:cs="Times New Roman"/>
          <w:sz w:val="20"/>
          <w:szCs w:val="20"/>
        </w:rPr>
        <w:t>. Fluorescent signals were recorded</w:t>
      </w:r>
      <w:r>
        <w:rPr>
          <w:rFonts w:ascii="Times New Roman" w:hAnsi="Times New Roman" w:cs="Times New Roman"/>
          <w:sz w:val="20"/>
          <w:szCs w:val="20"/>
        </w:rPr>
        <w:t xml:space="preserve"> after 15</w:t>
      </w:r>
      <w:r w:rsidRPr="00B04013">
        <w:rPr>
          <w:rFonts w:ascii="Times New Roman" w:hAnsi="Times New Roman" w:cs="Times New Roman"/>
          <w:sz w:val="20"/>
          <w:szCs w:val="20"/>
        </w:rPr>
        <w:t xml:space="preserve"> min of immunoreaction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en-IN"/>
        </w:rPr>
        <w:lastRenderedPageBreak/>
        <w:drawing>
          <wp:inline distT="0" distB="0" distL="0" distR="0" wp14:anchorId="2077DF80" wp14:editId="31C60831">
            <wp:extent cx="4972050" cy="274320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74AE0" w:rsidRDefault="00A74AE0" w:rsidP="00A74A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</w:t>
      </w:r>
      <w:bookmarkStart w:id="2" w:name="_GoBack"/>
      <w:bookmarkEnd w:id="2"/>
      <w:r w:rsidRPr="00A74AE0">
        <w:rPr>
          <w:rFonts w:ascii="Times New Roman" w:hAnsi="Times New Roman" w:cs="Times New Roman"/>
          <w:b/>
          <w:bCs/>
          <w:sz w:val="20"/>
          <w:szCs w:val="20"/>
        </w:rPr>
        <w:t xml:space="preserve"> S2</w:t>
      </w:r>
      <w:r w:rsidRPr="00A74AE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A74AE0">
        <w:rPr>
          <w:rFonts w:ascii="Times New Roman" w:hAnsi="Times New Roman" w:cs="Times New Roman"/>
          <w:sz w:val="20"/>
          <w:szCs w:val="20"/>
        </w:rPr>
        <w:t xml:space="preserve">Stability study results for </w:t>
      </w:r>
      <w:r w:rsidRPr="00A74AE0">
        <w:rPr>
          <w:rFonts w:ascii="Times New Roman" w:hAnsi="Times New Roman" w:cs="Times New Roman"/>
          <w:iCs/>
          <w:sz w:val="20"/>
          <w:szCs w:val="20"/>
        </w:rPr>
        <w:t>CM-EU</w:t>
      </w:r>
      <w:r w:rsidRPr="00A74AE0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</w:t>
      </w:r>
      <w:r w:rsidRPr="00A74AE0">
        <w:rPr>
          <w:rFonts w:ascii="Times New Roman" w:hAnsi="Times New Roman" w:cs="Times New Roman"/>
          <w:sz w:val="20"/>
          <w:szCs w:val="20"/>
        </w:rPr>
        <w:t xml:space="preserve">ata for 0 day </w:t>
      </w:r>
      <w:r>
        <w:rPr>
          <w:rFonts w:ascii="Times New Roman" w:hAnsi="Times New Roman" w:cs="Times New Roman"/>
          <w:sz w:val="20"/>
          <w:szCs w:val="20"/>
        </w:rPr>
        <w:t>to t</w:t>
      </w:r>
      <w:r w:rsidRPr="00A74AE0">
        <w:rPr>
          <w:rFonts w:ascii="Times New Roman" w:hAnsi="Times New Roman" w:cs="Times New Roman"/>
          <w:sz w:val="20"/>
          <w:szCs w:val="20"/>
        </w:rPr>
        <w:t>hree months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p w:rsidR="00A74AE0" w:rsidRPr="00B04013" w:rsidRDefault="00A74AE0" w:rsidP="00B04013">
      <w:pPr>
        <w:rPr>
          <w:rFonts w:ascii="Times New Roman" w:hAnsi="Times New Roman" w:cs="Times New Roman"/>
          <w:sz w:val="20"/>
          <w:szCs w:val="20"/>
        </w:rPr>
      </w:pPr>
    </w:p>
    <w:sectPr w:rsidR="00A74AE0" w:rsidRPr="00B04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3NTcysTQztDA0sLBU0lEKTi0uzszPAykwrAUARVAKiSwAAAA="/>
  </w:docVars>
  <w:rsids>
    <w:rsidRoot w:val="00B04013"/>
    <w:rsid w:val="000D2FE1"/>
    <w:rsid w:val="00A74AE0"/>
    <w:rsid w:val="00B0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4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4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I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Sheet11!$F$2</c:f>
              <c:strCache>
                <c:ptCount val="1"/>
                <c:pt idx="0">
                  <c:v>32µg/ml</c:v>
                </c:pt>
              </c:strCache>
            </c:strRef>
          </c:tx>
          <c:spPr>
            <a:pattFill prst="pct50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Sheet11!$E$3:$E$7</c:f>
              <c:strCache>
                <c:ptCount val="5"/>
                <c:pt idx="0">
                  <c:v>50 µl</c:v>
                </c:pt>
                <c:pt idx="1">
                  <c:v>60 µl</c:v>
                </c:pt>
                <c:pt idx="2">
                  <c:v>70 µl</c:v>
                </c:pt>
                <c:pt idx="3">
                  <c:v>80 µl</c:v>
                </c:pt>
                <c:pt idx="4">
                  <c:v>100 µl</c:v>
                </c:pt>
              </c:strCache>
            </c:strRef>
          </c:cat>
          <c:val>
            <c:numRef>
              <c:f>Sheet11!$F$3:$F$7</c:f>
              <c:numCache>
                <c:formatCode>0.0000</c:formatCode>
                <c:ptCount val="5"/>
                <c:pt idx="0">
                  <c:v>2.0166666666666666</c:v>
                </c:pt>
                <c:pt idx="1">
                  <c:v>2.0966666666666662</c:v>
                </c:pt>
                <c:pt idx="2">
                  <c:v>2.1044999999999998</c:v>
                </c:pt>
                <c:pt idx="3">
                  <c:v>2.390333333333333</c:v>
                </c:pt>
                <c:pt idx="4">
                  <c:v>2.3633333333333337</c:v>
                </c:pt>
              </c:numCache>
            </c:numRef>
          </c:val>
        </c:ser>
        <c:ser>
          <c:idx val="1"/>
          <c:order val="1"/>
          <c:tx>
            <c:strRef>
              <c:f>Sheet11!$G$2</c:f>
              <c:strCache>
                <c:ptCount val="1"/>
                <c:pt idx="0">
                  <c:v>0.4µg/ml</c:v>
                </c:pt>
              </c:strCache>
            </c:strRef>
          </c:tx>
          <c:spPr>
            <a:pattFill prst="ltDnDiag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Sheet11!$E$3:$E$7</c:f>
              <c:strCache>
                <c:ptCount val="5"/>
                <c:pt idx="0">
                  <c:v>50 µl</c:v>
                </c:pt>
                <c:pt idx="1">
                  <c:v>60 µl</c:v>
                </c:pt>
                <c:pt idx="2">
                  <c:v>70 µl</c:v>
                </c:pt>
                <c:pt idx="3">
                  <c:v>80 µl</c:v>
                </c:pt>
                <c:pt idx="4">
                  <c:v>100 µl</c:v>
                </c:pt>
              </c:strCache>
            </c:strRef>
          </c:cat>
          <c:val>
            <c:numRef>
              <c:f>Sheet11!$G$3:$G$7</c:f>
              <c:numCache>
                <c:formatCode>0.0000</c:formatCode>
                <c:ptCount val="5"/>
                <c:pt idx="0">
                  <c:v>1.07</c:v>
                </c:pt>
                <c:pt idx="1">
                  <c:v>0.77333333333333343</c:v>
                </c:pt>
                <c:pt idx="2">
                  <c:v>0.78949999999999998</c:v>
                </c:pt>
                <c:pt idx="3">
                  <c:v>1.1299999999999999</c:v>
                </c:pt>
                <c:pt idx="4">
                  <c:v>1.0766666666666667</c:v>
                </c:pt>
              </c:numCache>
            </c:numRef>
          </c:val>
        </c:ser>
        <c:ser>
          <c:idx val="2"/>
          <c:order val="2"/>
          <c:tx>
            <c:strRef>
              <c:f>Sheet11!$H$2</c:f>
              <c:strCache>
                <c:ptCount val="1"/>
                <c:pt idx="0">
                  <c:v>0.015µg/ml</c:v>
                </c:pt>
              </c:strCache>
            </c:strRef>
          </c:tx>
          <c:spPr>
            <a:pattFill prst="ltVert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Sheet11!$E$3:$E$7</c:f>
              <c:strCache>
                <c:ptCount val="5"/>
                <c:pt idx="0">
                  <c:v>50 µl</c:v>
                </c:pt>
                <c:pt idx="1">
                  <c:v>60 µl</c:v>
                </c:pt>
                <c:pt idx="2">
                  <c:v>70 µl</c:v>
                </c:pt>
                <c:pt idx="3">
                  <c:v>80 µl</c:v>
                </c:pt>
                <c:pt idx="4">
                  <c:v>100 µl</c:v>
                </c:pt>
              </c:strCache>
            </c:strRef>
          </c:cat>
          <c:val>
            <c:numRef>
              <c:f>Sheet11!$H$3:$H$7</c:f>
              <c:numCache>
                <c:formatCode>0.0000</c:formatCode>
                <c:ptCount val="5"/>
                <c:pt idx="0">
                  <c:v>0.21666666666666665</c:v>
                </c:pt>
                <c:pt idx="1">
                  <c:v>0.24500000000000002</c:v>
                </c:pt>
                <c:pt idx="2">
                  <c:v>0.25869999999999999</c:v>
                </c:pt>
                <c:pt idx="3">
                  <c:v>0.33333333333333331</c:v>
                </c:pt>
                <c:pt idx="4">
                  <c:v>0.3133333333333333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75615744"/>
        <c:axId val="161992064"/>
      </c:barChart>
      <c:catAx>
        <c:axId val="6756157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IN">
                    <a:latin typeface="Times New Roman" pitchFamily="18" charset="0"/>
                    <a:cs typeface="Times New Roman" pitchFamily="18" charset="0"/>
                  </a:rPr>
                  <a:t>Sample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 volume (</a:t>
                </a:r>
                <a:r>
                  <a:rPr lang="en-IN" baseline="0">
                    <a:latin typeface="Times New Roman" pitchFamily="18" charset="0"/>
                    <a:ea typeface="Verdana"/>
                    <a:cs typeface="Times New Roman" pitchFamily="18" charset="0"/>
                  </a:rPr>
                  <a:t>µ</a:t>
                </a:r>
                <a:r>
                  <a:rPr lang="en-IN" baseline="0">
                    <a:latin typeface="Times New Roman" pitchFamily="18" charset="0"/>
                    <a:cs typeface="Times New Roman" pitchFamily="18" charset="0"/>
                  </a:rPr>
                  <a:t>l)</a:t>
                </a:r>
                <a:endParaRPr lang="en-IN">
                  <a:latin typeface="Times New Roman" pitchFamily="18" charset="0"/>
                  <a:cs typeface="Times New Roman" pitchFamily="18" charset="0"/>
                </a:endParaRPr>
              </a:p>
            </c:rich>
          </c:tx>
          <c:overlay val="0"/>
        </c:title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161992064"/>
        <c:crosses val="autoZero"/>
        <c:auto val="1"/>
        <c:lblAlgn val="ctr"/>
        <c:lblOffset val="100"/>
        <c:noMultiLvlLbl val="0"/>
      </c:catAx>
      <c:valAx>
        <c:axId val="161992064"/>
        <c:scaling>
          <c:orientation val="minMax"/>
          <c:max val="2.4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Vr</a:t>
                </a:r>
                <a:r>
                  <a:rPr lang="en-IN" baseline="0"/>
                  <a:t> </a:t>
                </a:r>
                <a:endParaRPr lang="en-IN"/>
              </a:p>
            </c:rich>
          </c:tx>
          <c:overlay val="0"/>
        </c:title>
        <c:numFmt formatCode="0.0" sourceLinked="0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67561574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7183442694663174"/>
          <c:y val="0.11053514144065323"/>
          <c:w val="0.17816557305336833"/>
          <c:h val="0.25115157480314959"/>
        </c:manualLayout>
      </c:layout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I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Sheet7!$M$13</c:f>
              <c:strCache>
                <c:ptCount val="1"/>
                <c:pt idx="0">
                  <c:v>1 µg/ml</c:v>
                </c:pt>
              </c:strCache>
            </c:strRef>
          </c:tx>
          <c:spPr>
            <a:pattFill prst="pct5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Sheet7!$N$12:$S$12</c:f>
              <c:strCache>
                <c:ptCount val="6"/>
                <c:pt idx="0">
                  <c:v>Day 0</c:v>
                </c:pt>
                <c:pt idx="1">
                  <c:v>Week 1</c:v>
                </c:pt>
                <c:pt idx="2">
                  <c:v>Week 2</c:v>
                </c:pt>
                <c:pt idx="3">
                  <c:v>Month 1</c:v>
                </c:pt>
                <c:pt idx="4">
                  <c:v>Month 2</c:v>
                </c:pt>
                <c:pt idx="5">
                  <c:v>Month 3</c:v>
                </c:pt>
              </c:strCache>
            </c:strRef>
          </c:cat>
          <c:val>
            <c:numRef>
              <c:f>Sheet7!$N$13:$S$13</c:f>
              <c:numCache>
                <c:formatCode>General</c:formatCode>
                <c:ptCount val="6"/>
                <c:pt idx="0">
                  <c:v>1.7751999999999999</c:v>
                </c:pt>
                <c:pt idx="1">
                  <c:v>1.7749999999999999</c:v>
                </c:pt>
                <c:pt idx="2">
                  <c:v>1.7254100000000001</c:v>
                </c:pt>
                <c:pt idx="3">
                  <c:v>1.677</c:v>
                </c:pt>
                <c:pt idx="4">
                  <c:v>1.5541</c:v>
                </c:pt>
                <c:pt idx="5">
                  <c:v>1.4540999999999999</c:v>
                </c:pt>
              </c:numCache>
            </c:numRef>
          </c:val>
        </c:ser>
        <c:ser>
          <c:idx val="1"/>
          <c:order val="1"/>
          <c:tx>
            <c:strRef>
              <c:f>Sheet7!$M$14</c:f>
              <c:strCache>
                <c:ptCount val="1"/>
                <c:pt idx="0">
                  <c:v>16 µg/ml</c:v>
                </c:pt>
              </c:strCache>
            </c:strRef>
          </c:tx>
          <c:spPr>
            <a:pattFill prst="pct50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Sheet7!$N$12:$S$12</c:f>
              <c:strCache>
                <c:ptCount val="6"/>
                <c:pt idx="0">
                  <c:v>Day 0</c:v>
                </c:pt>
                <c:pt idx="1">
                  <c:v>Week 1</c:v>
                </c:pt>
                <c:pt idx="2">
                  <c:v>Week 2</c:v>
                </c:pt>
                <c:pt idx="3">
                  <c:v>Month 1</c:v>
                </c:pt>
                <c:pt idx="4">
                  <c:v>Month 2</c:v>
                </c:pt>
                <c:pt idx="5">
                  <c:v>Month 3</c:v>
                </c:pt>
              </c:strCache>
            </c:strRef>
          </c:cat>
          <c:val>
            <c:numRef>
              <c:f>Sheet7!$N$14:$S$14</c:f>
              <c:numCache>
                <c:formatCode>General</c:formatCode>
                <c:ptCount val="6"/>
                <c:pt idx="0">
                  <c:v>3.5503999999999998</c:v>
                </c:pt>
                <c:pt idx="1">
                  <c:v>3.55</c:v>
                </c:pt>
                <c:pt idx="2">
                  <c:v>3.4508200000000002</c:v>
                </c:pt>
                <c:pt idx="3">
                  <c:v>3.3540000000000001</c:v>
                </c:pt>
                <c:pt idx="4">
                  <c:v>3.2082000000000002</c:v>
                </c:pt>
                <c:pt idx="5">
                  <c:v>3.2082000000000002</c:v>
                </c:pt>
              </c:numCache>
            </c:numRef>
          </c:val>
        </c:ser>
        <c:ser>
          <c:idx val="2"/>
          <c:order val="2"/>
          <c:tx>
            <c:strRef>
              <c:f>Sheet7!$M$15</c:f>
              <c:strCache>
                <c:ptCount val="1"/>
                <c:pt idx="0">
                  <c:v>32 µg/ml</c:v>
                </c:pt>
              </c:strCache>
            </c:strRef>
          </c:tx>
          <c:spPr>
            <a:pattFill prst="pct5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 w="19050">
              <a:solidFill>
                <a:schemeClr val="bg2">
                  <a:lumMod val="75000"/>
                </a:schemeClr>
              </a:solidFill>
            </a:ln>
          </c:spPr>
          <c:invertIfNegative val="0"/>
          <c:cat>
            <c:strRef>
              <c:f>Sheet7!$N$12:$S$12</c:f>
              <c:strCache>
                <c:ptCount val="6"/>
                <c:pt idx="0">
                  <c:v>Day 0</c:v>
                </c:pt>
                <c:pt idx="1">
                  <c:v>Week 1</c:v>
                </c:pt>
                <c:pt idx="2">
                  <c:v>Week 2</c:v>
                </c:pt>
                <c:pt idx="3">
                  <c:v>Month 1</c:v>
                </c:pt>
                <c:pt idx="4">
                  <c:v>Month 2</c:v>
                </c:pt>
                <c:pt idx="5">
                  <c:v>Month 3</c:v>
                </c:pt>
              </c:strCache>
            </c:strRef>
          </c:cat>
          <c:val>
            <c:numRef>
              <c:f>Sheet7!$N$15:$S$15</c:f>
              <c:numCache>
                <c:formatCode>General</c:formatCode>
                <c:ptCount val="6"/>
                <c:pt idx="0">
                  <c:v>3.5266999999999999</c:v>
                </c:pt>
                <c:pt idx="1">
                  <c:v>3.5042</c:v>
                </c:pt>
                <c:pt idx="2">
                  <c:v>3.4045000000000001</c:v>
                </c:pt>
                <c:pt idx="3">
                  <c:v>3.3014000000000001</c:v>
                </c:pt>
                <c:pt idx="4">
                  <c:v>3.3012800000000002</c:v>
                </c:pt>
                <c:pt idx="5">
                  <c:v>3.3081999999999998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09220352"/>
        <c:axId val="161994368"/>
      </c:barChart>
      <c:catAx>
        <c:axId val="709220352"/>
        <c:scaling>
          <c:orientation val="minMax"/>
        </c:scaling>
        <c:delete val="0"/>
        <c:axPos val="b"/>
        <c:majorTickMark val="out"/>
        <c:minorTickMark val="none"/>
        <c:tickLblPos val="nextTo"/>
        <c:spPr>
          <a:ln w="19050">
            <a:solidFill>
              <a:schemeClr val="tx1">
                <a:lumMod val="85000"/>
                <a:lumOff val="15000"/>
              </a:schemeClr>
            </a:solidFill>
          </a:ln>
        </c:spPr>
        <c:crossAx val="161994368"/>
        <c:crosses val="autoZero"/>
        <c:auto val="1"/>
        <c:lblAlgn val="ctr"/>
        <c:lblOffset val="100"/>
        <c:noMultiLvlLbl val="0"/>
      </c:catAx>
      <c:valAx>
        <c:axId val="16199436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IN"/>
                  <a:t>VR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crossAx val="7092203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Satheesh</dc:creator>
  <cp:lastModifiedBy>Satheesh</cp:lastModifiedBy>
  <cp:revision>2</cp:revision>
  <dcterms:created xsi:type="dcterms:W3CDTF">2021-07-26T07:14:00Z</dcterms:created>
  <dcterms:modified xsi:type="dcterms:W3CDTF">2021-07-26T07:59:00Z</dcterms:modified>
</cp:coreProperties>
</file>