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348" w:type="dxa"/>
        <w:tblBorders>
          <w:top w:val="single" w:sz="12" w:space="0" w:color="A8A8A8"/>
          <w:bottom w:val="single" w:sz="12" w:space="0" w:color="A8A8A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1701"/>
        <w:gridCol w:w="2977"/>
      </w:tblGrid>
      <w:tr w:rsidR="00254961" w:rsidRPr="00350FEC" w:rsidTr="007936B6">
        <w:trPr>
          <w:tblHeader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</w:tcPr>
          <w:p w:rsidR="00254961" w:rsidRPr="001935A6" w:rsidRDefault="00254961" w:rsidP="007936B6">
            <w:pPr>
              <w:jc w:val="both"/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Supplementary Table 1C</w:t>
            </w:r>
          </w:p>
          <w:p w:rsidR="00254961" w:rsidRPr="001935A6" w:rsidRDefault="00254961" w:rsidP="007936B6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A comparison of injury characteristics between functional treatment and immobilisation for </w:t>
            </w:r>
            <w:r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dorsal </w:t>
            </w:r>
            <w:r w:rsidRPr="001935A6">
              <w:rPr>
                <w:rFonts w:eastAsia="Times New Roman" w:cstheme="minorHAns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PIPJ dislocations.</w:t>
            </w:r>
          </w:p>
        </w:tc>
      </w:tr>
      <w:tr w:rsidR="00254961" w:rsidRPr="001935A6" w:rsidTr="007936B6">
        <w:trPr>
          <w:tblHeader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254961" w:rsidRPr="0020661A" w:rsidRDefault="00254961" w:rsidP="007936B6">
            <w:pP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254961" w:rsidRPr="0020661A" w:rsidRDefault="00254961" w:rsidP="007936B6">
            <w:pPr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Functional treatment</w:t>
            </w:r>
            <w:r w:rsidRPr="001935A6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br/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N = 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254961" w:rsidRPr="0020661A" w:rsidRDefault="00254961" w:rsidP="007936B6">
            <w:pPr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Immobilisation</w:t>
            </w:r>
            <w:r w:rsidRPr="001935A6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br/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N = 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:rsidR="00254961" w:rsidRPr="0020661A" w:rsidRDefault="00254961" w:rsidP="007936B6">
            <w:pPr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b/>
                <w:bCs/>
                <w:i/>
                <w:i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p</w:t>
            </w:r>
            <w:r w:rsidRPr="0020661A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-value</w:t>
            </w:r>
            <w:r w:rsidRPr="001935A6">
              <w:rPr>
                <w:rFonts w:ascii="Segoe UI" w:eastAsia="Times New Roman" w:hAnsi="Segoe UI" w:cs="Segoe UI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GB" w:eastAsia="nl-NL"/>
                <w14:ligatures w14:val="none"/>
              </w:rPr>
              <w:t>1</w:t>
            </w: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Median age in years (IQR)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51 (28, 63)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5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3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 xml:space="preserve"> (2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4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, 6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0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0.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9</w:t>
            </w: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Gender – male 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24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 xml:space="preserve"> (6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2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1935A6" w:rsidRDefault="00254961" w:rsidP="007936B6">
            <w:pPr>
              <w:spacing w:before="150" w:after="150"/>
              <w:ind w:left="150" w:right="15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16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 xml:space="preserve"> (8</w:t>
            </w:r>
            <w:r>
              <w:rPr>
                <w:rFonts w:ascii="Segoe UI" w:hAnsi="Segoe UI" w:cs="Segoe UI"/>
                <w:color w:val="333333"/>
                <w:sz w:val="20"/>
                <w:szCs w:val="20"/>
              </w:rPr>
              <w:t>9</w:t>
            </w:r>
            <w:r w:rsidRPr="001935A6">
              <w:rPr>
                <w:rFonts w:ascii="Segoe UI" w:hAnsi="Segoe UI" w:cs="Segoe UI"/>
                <w:color w:val="333333"/>
                <w:sz w:val="20"/>
                <w:szCs w:val="20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:rsidR="00254961" w:rsidRPr="00816960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816960">
              <w:rPr>
                <w:rFonts w:ascii="Segoe UI" w:eastAsia="Times New Roman" w:hAnsi="Segoe UI" w:cs="Segoe UI"/>
                <w:b/>
                <w:bCs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0.36</w:t>
            </w: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Affected digit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816960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816960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0.078</w:t>
            </w: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2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4 (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10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(1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7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3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5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(1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7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39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4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(2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5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.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6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5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56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7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(3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9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Fracture reduction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(9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7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16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89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</w:p>
        </w:tc>
      </w:tr>
      <w:tr w:rsidR="00254961" w:rsidRPr="001935A6" w:rsidTr="007936B6">
        <w:trPr>
          <w:trHeight w:val="613"/>
        </w:trPr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Fracture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reduction successful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38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(100%)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15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 (9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4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0.3</w:t>
            </w:r>
          </w:p>
        </w:tc>
      </w:tr>
      <w:tr w:rsidR="00254961" w:rsidRPr="001935A6" w:rsidTr="007936B6">
        <w:tc>
          <w:tcPr>
            <w:tcW w:w="3402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   Unknown</w:t>
            </w:r>
          </w:p>
        </w:tc>
        <w:tc>
          <w:tcPr>
            <w:tcW w:w="2268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2</w:t>
            </w:r>
          </w:p>
        </w:tc>
        <w:tc>
          <w:tcPr>
            <w:tcW w:w="2977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spacing w:before="150" w:after="150"/>
              <w:ind w:left="150" w:right="150"/>
              <w:jc w:val="center"/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</w:p>
        </w:tc>
      </w:tr>
      <w:tr w:rsidR="00254961" w:rsidRPr="00350FEC" w:rsidTr="007936B6">
        <w:trPr>
          <w:gridAfter w:val="1"/>
          <w:wAfter w:w="2977" w:type="dxa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54961" w:rsidRPr="0020661A" w:rsidRDefault="00254961" w:rsidP="007936B6">
            <w:pP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</w:pPr>
            <w:r w:rsidRPr="001935A6">
              <w:rPr>
                <w:rFonts w:ascii="Segoe UI" w:eastAsia="Times New Roman" w:hAnsi="Segoe UI" w:cs="Segoe UI"/>
                <w:i/>
                <w:iCs/>
                <w:color w:val="333333"/>
                <w:kern w:val="0"/>
                <w:sz w:val="20"/>
                <w:szCs w:val="20"/>
                <w:vertAlign w:val="superscript"/>
                <w:lang w:val="en-GB" w:eastAsia="nl-NL"/>
                <w14:ligatures w14:val="none"/>
              </w:rPr>
              <w:t>1</w:t>
            </w:r>
            <w:r w:rsidRPr="0020661A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 Fisher’s exact test</w:t>
            </w:r>
            <w:r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 xml:space="preserve">. </w:t>
            </w:r>
            <w:r w:rsidRPr="001935A6">
              <w:rPr>
                <w:lang w:val="en-US"/>
              </w:rPr>
              <w:t xml:space="preserve"> </w:t>
            </w:r>
            <w:r w:rsidRPr="001935A6">
              <w:rPr>
                <w:rFonts w:ascii="Segoe UI" w:eastAsia="Times New Roman" w:hAnsi="Segoe UI" w:cs="Segoe UI"/>
                <w:color w:val="333333"/>
                <w:kern w:val="0"/>
                <w:sz w:val="20"/>
                <w:szCs w:val="20"/>
                <w:lang w:val="en-GB" w:eastAsia="nl-NL"/>
                <w14:ligatures w14:val="none"/>
              </w:rPr>
              <w:t>PIPJ = proximal interphalangeal joint</w:t>
            </w:r>
          </w:p>
        </w:tc>
      </w:tr>
    </w:tbl>
    <w:p w:rsidR="00C910DB" w:rsidRDefault="00C910DB"/>
    <w:sectPr w:rsidR="00C91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61"/>
    <w:rsid w:val="00254961"/>
    <w:rsid w:val="00410BEF"/>
    <w:rsid w:val="004157DC"/>
    <w:rsid w:val="00432CEE"/>
    <w:rsid w:val="007C518F"/>
    <w:rsid w:val="00810F15"/>
    <w:rsid w:val="00C910DB"/>
    <w:rsid w:val="00D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32546B-53CA-1846-AF85-79E5457F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4961"/>
  </w:style>
  <w:style w:type="paragraph" w:styleId="Kop1">
    <w:name w:val="heading 1"/>
    <w:basedOn w:val="Standaard"/>
    <w:next w:val="Standaard"/>
    <w:link w:val="Kop1Char"/>
    <w:uiPriority w:val="9"/>
    <w:qFormat/>
    <w:rsid w:val="0025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4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9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9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9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9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4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4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496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96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9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9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9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9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4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9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49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49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496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4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496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4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de Haas</dc:creator>
  <cp:keywords/>
  <dc:description/>
  <cp:lastModifiedBy>Louise de Haas</cp:lastModifiedBy>
  <cp:revision>1</cp:revision>
  <dcterms:created xsi:type="dcterms:W3CDTF">2025-06-02T14:48:00Z</dcterms:created>
  <dcterms:modified xsi:type="dcterms:W3CDTF">2025-06-02T14:48:00Z</dcterms:modified>
</cp:coreProperties>
</file>