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73E" w:rsidRPr="003063FF" w:rsidRDefault="0057673E" w:rsidP="0057673E">
      <w:pPr>
        <w:bidi w:val="0"/>
        <w:spacing w:before="120" w:after="240" w:line="240" w:lineRule="auto"/>
        <w:ind w:left="-720" w:right="-720"/>
        <w:rPr>
          <w:rFonts w:asciiTheme="majorBidi" w:hAnsiTheme="majorBidi" w:cstheme="majorBidi"/>
          <w:b/>
          <w:bCs/>
          <w:sz w:val="24"/>
          <w:szCs w:val="24"/>
        </w:rPr>
      </w:pPr>
      <w:r w:rsidRPr="00F312A0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>UPPLEMENTARY TABLE</w:t>
      </w:r>
      <w:r w:rsidRPr="00F312A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2. </w:t>
      </w:r>
      <w:r w:rsidRPr="00F312A0">
        <w:rPr>
          <w:rFonts w:asciiTheme="majorBidi" w:hAnsiTheme="majorBidi" w:cstheme="majorBidi"/>
          <w:sz w:val="24"/>
          <w:szCs w:val="24"/>
        </w:rPr>
        <w:t>Participant characteris</w:t>
      </w:r>
      <w:r>
        <w:rPr>
          <w:rFonts w:asciiTheme="majorBidi" w:hAnsiTheme="majorBidi" w:cstheme="majorBidi"/>
          <w:sz w:val="24"/>
          <w:szCs w:val="24"/>
        </w:rPr>
        <w:t>tics and dietary intakes by quin</w:t>
      </w:r>
      <w:r w:rsidRPr="00F312A0">
        <w:rPr>
          <w:rFonts w:asciiTheme="majorBidi" w:hAnsiTheme="majorBidi" w:cstheme="majorBidi"/>
          <w:sz w:val="24"/>
          <w:szCs w:val="24"/>
        </w:rPr>
        <w:t xml:space="preserve">tile (Q) categories of </w:t>
      </w:r>
      <w:r>
        <w:rPr>
          <w:rFonts w:asciiTheme="majorBidi" w:hAnsiTheme="majorBidi" w:cstheme="majorBidi"/>
          <w:sz w:val="24"/>
          <w:szCs w:val="24"/>
        </w:rPr>
        <w:t xml:space="preserve">HEI-2015 </w:t>
      </w:r>
      <w:r w:rsidRPr="00F312A0">
        <w:rPr>
          <w:rFonts w:asciiTheme="majorBidi" w:hAnsiTheme="majorBidi" w:cstheme="majorBidi"/>
          <w:sz w:val="24"/>
          <w:szCs w:val="24"/>
        </w:rPr>
        <w:t>dietary pattern scores in a sample of Iranian adults (n= 3943) in shahedieh cohort study (suburb area</w:t>
      </w:r>
      <w:proofErr w:type="gramStart"/>
      <w:r w:rsidRPr="00F312A0">
        <w:rPr>
          <w:rFonts w:asciiTheme="majorBidi" w:hAnsiTheme="majorBidi" w:cstheme="majorBidi"/>
          <w:sz w:val="24"/>
          <w:szCs w:val="24"/>
        </w:rPr>
        <w:t>)</w:t>
      </w:r>
      <w:r w:rsidRPr="00F312A0">
        <w:rPr>
          <w:rFonts w:asciiTheme="majorBidi" w:hAnsiTheme="majorBidi" w:cstheme="majorBidi"/>
          <w:sz w:val="24"/>
          <w:szCs w:val="24"/>
          <w:vertAlign w:val="superscript"/>
        </w:rPr>
        <w:t>1</w:t>
      </w:r>
      <w:proofErr w:type="gramEnd"/>
    </w:p>
    <w:tbl>
      <w:tblPr>
        <w:tblStyle w:val="PlainTable4"/>
        <w:tblW w:w="10620" w:type="dxa"/>
        <w:tblInd w:w="-720" w:type="dxa"/>
        <w:tblLayout w:type="fixed"/>
        <w:tblLook w:val="04A0" w:firstRow="1" w:lastRow="0" w:firstColumn="1" w:lastColumn="0" w:noHBand="0" w:noVBand="1"/>
      </w:tblPr>
      <w:tblGrid>
        <w:gridCol w:w="2430"/>
        <w:gridCol w:w="1710"/>
        <w:gridCol w:w="2250"/>
        <w:gridCol w:w="2070"/>
        <w:gridCol w:w="2160"/>
      </w:tblGrid>
      <w:tr w:rsidR="0057673E" w:rsidRPr="00F312A0" w:rsidTr="007473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0" w:type="dxa"/>
            <w:gridSpan w:val="5"/>
          </w:tcPr>
          <w:p w:rsidR="0057673E" w:rsidRPr="00F312A0" w:rsidRDefault="0057673E" w:rsidP="0074736A">
            <w:pPr>
              <w:tabs>
                <w:tab w:val="left" w:pos="1164"/>
                <w:tab w:val="center" w:pos="5202"/>
              </w:tabs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  <w:r>
              <w:rPr>
                <w:rFonts w:asciiTheme="majorBidi" w:hAnsiTheme="majorBidi" w:cstheme="majorBidi"/>
                <w:sz w:val="18"/>
                <w:szCs w:val="18"/>
              </w:rPr>
              <w:tab/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“</w:t>
            </w:r>
            <w:r w:rsidRPr="009A7B75">
              <w:rPr>
                <w:rFonts w:asciiTheme="majorBidi" w:hAnsiTheme="majorBidi" w:cstheme="majorBidi"/>
                <w:sz w:val="18"/>
                <w:szCs w:val="18"/>
              </w:rPr>
              <w:t>HEI-2015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” dietary pattern </w:t>
            </w: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</w:p>
        </w:tc>
        <w:tc>
          <w:tcPr>
            <w:tcW w:w="171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Q1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Q3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Q5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  <w:vertAlign w:val="superscript"/>
              </w:rPr>
              <w:t>*</w:t>
            </w: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P</w:t>
            </w:r>
          </w:p>
        </w:tc>
      </w:tr>
      <w:tr w:rsidR="0057673E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Age (%)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0.11</w:t>
            </w: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35-3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17.7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21.6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20.9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57673E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40-4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21.2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20.7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18.2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50-59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18.3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18.0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21.4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57673E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60-69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23.8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15.8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21.7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Gender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0.20</w:t>
            </w:r>
          </w:p>
        </w:tc>
      </w:tr>
      <w:tr w:rsidR="0057673E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ale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21.8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26.6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20.3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emale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20.7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25.6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23.0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57673E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762CDF">
              <w:rPr>
                <w:rFonts w:asciiTheme="majorBidi" w:hAnsiTheme="majorBidi" w:cstheme="majorBidi"/>
                <w:sz w:val="18"/>
                <w:szCs w:val="18"/>
              </w:rPr>
              <w:t>Height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(cm)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162.3 ± 9.4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167.0 ± 9.5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166.8 ± 10.2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002</w:t>
            </w: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Weight (kg)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72.5 ± 12.3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72.9 ± 12.2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74.8 ± 12.2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0.001</w:t>
            </w:r>
          </w:p>
        </w:tc>
      </w:tr>
      <w:tr w:rsidR="0057673E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BMI (kg/m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26.7 ± 4.1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26.8 ± 3.9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26.7 ± 3.9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0.78</w:t>
            </w: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Central obesity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20.4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19.6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20.0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27</w:t>
            </w:r>
          </w:p>
        </w:tc>
      </w:tr>
      <w:tr w:rsidR="0057673E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General obesity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20.4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21.1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23</w:t>
            </w: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1D00D1">
              <w:rPr>
                <w:rFonts w:asciiTheme="majorBidi" w:hAnsiTheme="majorBidi" w:cstheme="majorBidi"/>
                <w:sz w:val="18"/>
                <w:szCs w:val="18"/>
              </w:rPr>
              <w:t>SES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6030" w:type="dxa"/>
            <w:gridSpan w:val="3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0.01</w:t>
            </w:r>
          </w:p>
        </w:tc>
      </w:tr>
      <w:tr w:rsidR="0057673E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Weak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22.9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20.6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Middle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19.2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20.2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57673E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High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17.3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19.5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Marital status (married) (%)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19.7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20.1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20.0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06</w:t>
            </w:r>
          </w:p>
        </w:tc>
      </w:tr>
      <w:tr w:rsidR="0057673E" w:rsidRPr="00F312A0" w:rsidTr="007473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Physical activity (</w:t>
            </w:r>
            <w:r w:rsidRPr="00F312A0">
              <w:rPr>
                <w:rFonts w:asciiTheme="majorBidi" w:hAnsiTheme="majorBidi" w:cstheme="majorBidi" w:hint="eastAsia"/>
                <w:sz w:val="18"/>
                <w:szCs w:val="18"/>
              </w:rPr>
              <w:t>≥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1 h/week) (%)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17.9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19.9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21.8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0.07</w:t>
            </w:r>
          </w:p>
        </w:tc>
      </w:tr>
      <w:tr w:rsidR="0057673E" w:rsidRPr="00F312A0" w:rsidTr="00747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57673E" w:rsidRPr="00F312A0" w:rsidRDefault="0057673E" w:rsidP="0074736A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Current smoking (%)</w:t>
            </w:r>
          </w:p>
        </w:tc>
        <w:tc>
          <w:tcPr>
            <w:tcW w:w="171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18.7</w:t>
            </w:r>
          </w:p>
        </w:tc>
        <w:tc>
          <w:tcPr>
            <w:tcW w:w="225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18.2</w:t>
            </w:r>
          </w:p>
        </w:tc>
        <w:tc>
          <w:tcPr>
            <w:tcW w:w="207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23.2</w:t>
            </w:r>
          </w:p>
        </w:tc>
        <w:tc>
          <w:tcPr>
            <w:tcW w:w="2160" w:type="dxa"/>
          </w:tcPr>
          <w:p w:rsidR="0057673E" w:rsidRPr="00F312A0" w:rsidRDefault="0057673E" w:rsidP="00747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0.02</w:t>
            </w:r>
          </w:p>
        </w:tc>
      </w:tr>
    </w:tbl>
    <w:p w:rsidR="0057673E" w:rsidRPr="00F312A0" w:rsidRDefault="0057673E" w:rsidP="0057673E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1</w:t>
      </w:r>
      <w:r w:rsidRPr="00F312A0">
        <w:rPr>
          <w:rFonts w:asciiTheme="majorBidi" w:hAnsiTheme="majorBidi" w:cstheme="majorBidi"/>
          <w:sz w:val="18"/>
          <w:szCs w:val="18"/>
        </w:rPr>
        <w:t xml:space="preserve"> Categorical variables are presented as sum and percentages; and continuous variables are presented as Mean</w:t>
      </w:r>
      <w:r>
        <w:rPr>
          <w:rFonts w:asciiTheme="majorBidi" w:hAnsiTheme="majorBidi" w:cstheme="majorBidi"/>
          <w:sz w:val="18"/>
          <w:szCs w:val="18"/>
        </w:rPr>
        <w:t xml:space="preserve"> ± standard deviation (SD). Quin</w:t>
      </w:r>
      <w:r w:rsidRPr="00F312A0">
        <w:rPr>
          <w:rFonts w:asciiTheme="majorBidi" w:hAnsiTheme="majorBidi" w:cstheme="majorBidi"/>
          <w:sz w:val="18"/>
          <w:szCs w:val="18"/>
        </w:rPr>
        <w:t>tiles of dietary pattern score are presented by Q1; Q2; Q3; Q4; n =    3943.</w:t>
      </w:r>
      <w:r w:rsidRPr="00F312A0">
        <w:rPr>
          <w:rFonts w:asciiTheme="majorBidi" w:hAnsiTheme="majorBidi" w:cstheme="majorBidi"/>
          <w:sz w:val="18"/>
          <w:szCs w:val="18"/>
          <w:lang w:bidi="ar-SA"/>
        </w:rPr>
        <w:t xml:space="preserve"> Body mass index; BMI; Socioeconomic status; SES.</w:t>
      </w:r>
    </w:p>
    <w:p w:rsidR="0057673E" w:rsidRPr="00F312A0" w:rsidRDefault="0057673E" w:rsidP="0057673E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 xml:space="preserve">2 </w:t>
      </w:r>
      <w:r w:rsidRPr="00F312A0">
        <w:rPr>
          <w:rFonts w:asciiTheme="majorBidi" w:hAnsiTheme="majorBidi" w:cstheme="majorBidi"/>
          <w:sz w:val="18"/>
          <w:szCs w:val="18"/>
        </w:rPr>
        <w:t>Central obesity: waist circumference ≥ 88 cm.</w:t>
      </w:r>
    </w:p>
    <w:p w:rsidR="0057673E" w:rsidRDefault="0057673E" w:rsidP="0057673E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3</w:t>
      </w:r>
      <w:r w:rsidRPr="00F312A0">
        <w:rPr>
          <w:rFonts w:asciiTheme="majorBidi" w:hAnsiTheme="majorBidi" w:cstheme="majorBidi"/>
          <w:sz w:val="18"/>
          <w:szCs w:val="18"/>
        </w:rPr>
        <w:t xml:space="preserve"> General obesity: BMI ≥ 30 kg/m</w:t>
      </w: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2</w:t>
      </w:r>
      <w:r w:rsidRPr="00F312A0">
        <w:rPr>
          <w:rFonts w:asciiTheme="majorBidi" w:hAnsiTheme="majorBidi" w:cstheme="majorBidi"/>
          <w:sz w:val="18"/>
          <w:szCs w:val="18"/>
        </w:rPr>
        <w:t>.</w:t>
      </w:r>
    </w:p>
    <w:p w:rsidR="0057673E" w:rsidRPr="000903EC" w:rsidRDefault="0057673E" w:rsidP="0057673E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*</w:t>
      </w:r>
      <w:r w:rsidRPr="00F312A0">
        <w:rPr>
          <w:rFonts w:asciiTheme="majorBidi" w:hAnsiTheme="majorBidi" w:cstheme="majorBidi"/>
          <w:sz w:val="18"/>
          <w:szCs w:val="18"/>
        </w:rPr>
        <w:t xml:space="preserve"> P values for continuous variables (analysis of variance) and for categorical variables (chi-square test). P &lt; 0.05 was considered statistically significant</w:t>
      </w:r>
    </w:p>
    <w:p w:rsidR="003076C7" w:rsidRPr="0057673E" w:rsidRDefault="003076C7" w:rsidP="0057673E">
      <w:pPr>
        <w:rPr>
          <w:rFonts w:hint="cs"/>
          <w:rtl/>
        </w:rPr>
      </w:pPr>
      <w:bookmarkStart w:id="0" w:name="_GoBack"/>
      <w:bookmarkEnd w:id="0"/>
    </w:p>
    <w:sectPr w:rsidR="003076C7" w:rsidRPr="0057673E" w:rsidSect="00A747E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368"/>
    <w:rsid w:val="003076C7"/>
    <w:rsid w:val="00381368"/>
    <w:rsid w:val="0057673E"/>
    <w:rsid w:val="00A747E0"/>
    <w:rsid w:val="00C1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4027CE-95AF-4B03-A518-FFC12012A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1368"/>
    <w:pPr>
      <w:bidi/>
      <w:spacing w:after="200" w:line="288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381368"/>
    <w:pPr>
      <w:spacing w:after="0" w:line="240" w:lineRule="auto"/>
    </w:pPr>
    <w:rPr>
      <w:rFonts w:eastAsiaTheme="minorEastAsia"/>
      <w:sz w:val="21"/>
      <w:szCs w:val="2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2021-04-25T14:24:00Z</dcterms:created>
  <dcterms:modified xsi:type="dcterms:W3CDTF">2021-07-26T14:31:00Z</dcterms:modified>
</cp:coreProperties>
</file>