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default" w:ascii="Times New Roman" w:hAnsi="Times New Roman" w:cs="Times New Roman"/>
          <w:sz w:val="32"/>
          <w:szCs w:val="32"/>
          <w:highlight w:val="none"/>
        </w:rPr>
      </w:pPr>
      <w:bookmarkStart w:id="0" w:name="_Hlk36994479"/>
      <w:bookmarkStart w:id="1" w:name="OLE_LINK39"/>
      <w:r>
        <w:rPr>
          <w:rFonts w:hint="default" w:ascii="Times New Roman" w:hAnsi="Times New Roman" w:cs="Times New Roman"/>
          <w:sz w:val="32"/>
          <w:szCs w:val="32"/>
          <w:highlight w:val="none"/>
        </w:rPr>
        <w:t xml:space="preserve">Canagliflozin </w:t>
      </w:r>
      <w:r>
        <w:rPr>
          <w:rFonts w:hint="default" w:ascii="Times New Roman" w:hAnsi="Times New Roman" w:cs="Times New Roman"/>
          <w:kern w:val="0"/>
          <w:sz w:val="32"/>
          <w:szCs w:val="32"/>
          <w:highlight w:val="none"/>
        </w:rPr>
        <w:t>alleviates</w:t>
      </w:r>
      <w:bookmarkStart w:id="2" w:name="OLE_LINK276"/>
      <w:bookmarkStart w:id="3" w:name="OLE_LINK279"/>
      <w:r>
        <w:rPr>
          <w:rFonts w:hint="default" w:ascii="Times New Roman" w:hAnsi="Times New Roman" w:cs="Times New Roman"/>
          <w:sz w:val="32"/>
          <w:szCs w:val="32"/>
          <w:highlight w:val="none"/>
        </w:rPr>
        <w:t xml:space="preserve"> diabetic cardiovascular disease</w:t>
      </w:r>
      <w:bookmarkEnd w:id="2"/>
      <w:bookmarkEnd w:id="3"/>
      <w:r>
        <w:rPr>
          <w:rFonts w:hint="default" w:ascii="Times New Roman" w:hAnsi="Times New Roman" w:cs="Times New Roman"/>
          <w:sz w:val="32"/>
          <w:szCs w:val="32"/>
          <w:highlight w:val="none"/>
        </w:rPr>
        <w:t xml:space="preserve"> via lipid lowering, mitochondrial homeostasis, and gut microbiota regulation</w:t>
      </w:r>
    </w:p>
    <w:bookmarkEnd w:id="0"/>
    <w:p>
      <w:pPr>
        <w:pStyle w:val="4"/>
        <w:adjustRightInd w:val="0"/>
        <w:snapToGrid w:val="0"/>
        <w:jc w:val="center"/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14:textFill>
            <w14:solidFill>
              <w14:schemeClr w14:val="tx1"/>
            </w14:solidFill>
          </w14:textFill>
        </w:rPr>
      </w:pPr>
      <w:bookmarkStart w:id="4" w:name="OLE_LINK98"/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14:textFill>
            <w14:solidFill>
              <w14:schemeClr w14:val="tx1"/>
            </w14:solidFill>
          </w14:textFill>
        </w:rPr>
        <w:t>Xueliang Wang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,b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14:textFill>
            <w14:solidFill>
              <w14:schemeClr w14:val="tx1"/>
            </w14:solidFill>
          </w14:textFill>
        </w:rPr>
        <w:t>*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14:textFill>
            <w14:solidFill>
              <w14:schemeClr w14:val="tx1"/>
            </w14:solidFill>
          </w14:textFill>
        </w:rPr>
        <w:t>, Zhe Wang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14:textFill>
            <w14:solidFill>
              <w14:schemeClr w14:val="tx1"/>
            </w14:solidFill>
          </w14:textFill>
        </w:rPr>
        <w:t>,c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14:textFill>
            <w14:solidFill>
              <w14:schemeClr w14:val="tx1"/>
            </w14:solidFill>
          </w14:textFill>
        </w:rPr>
        <w:t>, Di Liu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14:textFill>
            <w14:solidFill>
              <w14:schemeClr w14:val="tx1"/>
            </w14:solidFill>
          </w14:textFill>
        </w:rPr>
        <w:t>,c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14:textFill>
            <w14:solidFill>
              <w14:schemeClr w14:val="tx1"/>
            </w14:solidFill>
          </w14:textFill>
        </w:rPr>
        <w:t>, Hao Jiang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14:textFill>
            <w14:solidFill>
              <w14:schemeClr w14:val="tx1"/>
            </w14:solidFill>
          </w14:textFill>
        </w:rPr>
        <w:t>,c*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14:textFill>
            <w14:solidFill>
              <w14:schemeClr w14:val="tx1"/>
            </w14:solidFill>
          </w14:textFill>
        </w:rPr>
        <w:t>, Chao Cai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14:textFill>
            <w14:solidFill>
              <w14:schemeClr w14:val="tx1"/>
            </w14:solidFill>
          </w14:textFill>
        </w:rPr>
        <w:t>,c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14:textFill>
            <w14:solidFill>
              <w14:schemeClr w14:val="tx1"/>
            </w14:solidFill>
          </w14:textFill>
        </w:rPr>
        <w:t>, Guoyun Li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14:textFill>
            <w14:solidFill>
              <w14:schemeClr w14:val="tx1"/>
            </w14:solidFill>
          </w14:textFill>
        </w:rPr>
        <w:t>,c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14:textFill>
            <w14:solidFill>
              <w14:schemeClr w14:val="tx1"/>
            </w14:solidFill>
          </w14:textFill>
        </w:rPr>
        <w:t xml:space="preserve"> and Guangli Yu</w:t>
      </w:r>
      <w:bookmarkStart w:id="5" w:name="OLE_LINK4"/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" w:hAnsi="Times New Roman" w:cs="Times New Roman" w:eastAsiaTheme="minorEastAsia"/>
          <w:color w:val="000000" w:themeColor="text1"/>
          <w:kern w:val="2"/>
          <w:szCs w:val="22"/>
          <w:highlight w:val="none"/>
          <w:vertAlign w:val="superscript"/>
          <w14:textFill>
            <w14:solidFill>
              <w14:schemeClr w14:val="tx1"/>
            </w14:solidFill>
          </w14:textFill>
        </w:rPr>
        <w:t>,c*</w:t>
      </w:r>
      <w:bookmarkEnd w:id="5"/>
    </w:p>
    <w:bookmarkEnd w:id="4"/>
    <w:p>
      <w:pPr>
        <w:pStyle w:val="4"/>
        <w:adjustRightInd w:val="0"/>
        <w:snapToGrid w:val="0"/>
        <w:rPr>
          <w:rFonts w:hint="default" w:ascii="Times New Roman" w:hAnsi="Times New Roman" w:cs="Times New Roman" w:eastAsiaTheme="minorEastAsia"/>
          <w:i/>
          <w:color w:val="000000" w:themeColor="text1"/>
          <w:kern w:val="2"/>
          <w:sz w:val="20"/>
          <w:szCs w:val="20"/>
          <w:highlight w:val="none"/>
          <w14:textFill>
            <w14:solidFill>
              <w14:schemeClr w14:val="tx1"/>
            </w14:solidFill>
          </w14:textFill>
        </w:rPr>
      </w:pPr>
      <w:bookmarkStart w:id="6" w:name="_Hlk17150997"/>
      <w:r>
        <w:rPr>
          <w:rFonts w:hint="default" w:ascii="Times New Roman" w:hAnsi="Times New Roman" w:cs="Times New Roman" w:eastAsiaTheme="minorEastAsia"/>
          <w:iCs/>
          <w:color w:val="000000" w:themeColor="text1"/>
          <w:kern w:val="2"/>
          <w:sz w:val="20"/>
          <w:szCs w:val="20"/>
          <w:highlight w:val="none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" w:hAnsi="Times New Roman" w:cs="Times New Roman" w:eastAsiaTheme="minorEastAsia"/>
          <w:iCs/>
          <w:color w:val="000000" w:themeColor="text1"/>
          <w:kern w:val="2"/>
          <w:sz w:val="20"/>
          <w:szCs w:val="20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i/>
          <w:color w:val="000000" w:themeColor="text1"/>
          <w:kern w:val="2"/>
          <w:sz w:val="20"/>
          <w:szCs w:val="20"/>
          <w:highlight w:val="none"/>
          <w14:textFill>
            <w14:solidFill>
              <w14:schemeClr w14:val="tx1"/>
            </w14:solidFill>
          </w14:textFill>
        </w:rPr>
        <w:t>Key Laboratory of Marine Drugs of Ministry of Education, Shandong Provincial Key Laboratory of Glycoscience and Glycotechnology, School of Medicine and Pharmacy, Ocean University of China, Qingdao, 266003, China;</w:t>
      </w:r>
    </w:p>
    <w:p>
      <w:pPr>
        <w:pStyle w:val="4"/>
        <w:adjustRightInd w:val="0"/>
        <w:snapToGrid w:val="0"/>
        <w:rPr>
          <w:rFonts w:hint="default" w:ascii="Times New Roman" w:hAnsi="Times New Roman" w:cs="Times New Roman" w:eastAsiaTheme="minorEastAsia"/>
          <w:iCs/>
          <w:color w:val="000000" w:themeColor="text1"/>
          <w:kern w:val="2"/>
          <w:sz w:val="20"/>
          <w:szCs w:val="20"/>
          <w:highlight w:val="none"/>
          <w:vertAlign w:val="superscript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iCs/>
          <w:color w:val="000000" w:themeColor="text1"/>
          <w:kern w:val="2"/>
          <w:sz w:val="20"/>
          <w:szCs w:val="20"/>
          <w:highlight w:val="none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rFonts w:hint="default" w:ascii="Times New Roman" w:hAnsi="Times New Roman" w:cs="Times New Roman" w:eastAsiaTheme="minorEastAsia"/>
          <w:iCs/>
          <w:color w:val="000000" w:themeColor="text1"/>
          <w:kern w:val="2"/>
          <w:sz w:val="20"/>
          <w:szCs w:val="20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i/>
          <w:color w:val="000000" w:themeColor="text1"/>
          <w:kern w:val="2"/>
          <w:sz w:val="20"/>
          <w:szCs w:val="20"/>
          <w:highlight w:val="none"/>
          <w14:textFill>
            <w14:solidFill>
              <w14:schemeClr w14:val="tx1"/>
            </w14:solidFill>
          </w14:textFill>
        </w:rPr>
        <w:t>Precision Medicine Institute, The First Affiliated Hospital of Sun Yat-Sen University, Sun Yat-Sen University, Guangzhou, 510080, China;</w:t>
      </w:r>
    </w:p>
    <w:p>
      <w:pPr>
        <w:pStyle w:val="4"/>
        <w:adjustRightInd w:val="0"/>
        <w:snapToGrid w:val="0"/>
        <w:rPr>
          <w:rFonts w:hint="default" w:ascii="Times New Roman" w:hAnsi="Times New Roman" w:cs="Times New Roman"/>
          <w:sz w:val="20"/>
          <w:szCs w:val="20"/>
          <w:highlight w:val="none"/>
        </w:rPr>
      </w:pPr>
      <w:r>
        <w:rPr>
          <w:rFonts w:hint="default" w:ascii="Times New Roman" w:hAnsi="Times New Roman" w:cs="Times New Roman" w:eastAsiaTheme="minorEastAsia"/>
          <w:iCs/>
          <w:color w:val="000000" w:themeColor="text1"/>
          <w:kern w:val="2"/>
          <w:sz w:val="20"/>
          <w:szCs w:val="20"/>
          <w:highlight w:val="none"/>
          <w:vertAlign w:val="superscript"/>
          <w14:textFill>
            <w14:solidFill>
              <w14:schemeClr w14:val="tx1"/>
            </w14:solidFill>
          </w14:textFill>
        </w:rPr>
        <w:t>c</w:t>
      </w:r>
      <w:r>
        <w:rPr>
          <w:rFonts w:hint="default" w:ascii="Times New Roman" w:hAnsi="Times New Roman" w:cs="Times New Roman" w:eastAsiaTheme="minorEastAsia"/>
          <w:i/>
          <w:color w:val="000000" w:themeColor="text1"/>
          <w:kern w:val="2"/>
          <w:sz w:val="20"/>
          <w:szCs w:val="20"/>
          <w:highlight w:val="none"/>
          <w14:textFill>
            <w14:solidFill>
              <w14:schemeClr w14:val="tx1"/>
            </w14:solidFill>
          </w14:textFill>
        </w:rPr>
        <w:t xml:space="preserve"> Laboratory for Marine Drugs and Bioproducts, Pilot National Laboratory for Marine Science and Technology (Qingdao), Qingdao, 266237, China</w:t>
      </w:r>
    </w:p>
    <w:p>
      <w:pPr>
        <w:adjustRightInd w:val="0"/>
        <w:snapToGrid w:val="0"/>
        <w:spacing w:line="480" w:lineRule="auto"/>
        <w:rPr>
          <w:rFonts w:hint="default" w:ascii="Times New Roman" w:hAnsi="Times New Roman" w:cs="Times New Roman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*Corresponding Authors: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Tel./Fax: +86-532-8203-1609.</w:t>
      </w:r>
    </w:p>
    <w:p>
      <w:pPr>
        <w:pStyle w:val="4"/>
        <w:adjustRightInd w:val="0"/>
        <w:snapToGrid w:val="0"/>
        <w:jc w:val="both"/>
        <w:rPr>
          <w:rFonts w:hint="default" w:ascii="Times New Roman" w:hAnsi="Times New Roman" w:eastAsia="宋体" w:cs="Times New Roman"/>
          <w:iCs w:val="0"/>
          <w:color w:val="000000" w:themeColor="text1"/>
          <w:kern w:val="0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Hao Jiang or Guangli Yu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, School of Medicine and Pharmacy, Ocean University of China, Qingdao 266003, China;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 w:eastAsiaTheme="minorEastAsia"/>
          <w:b/>
          <w:color w:val="000000" w:themeColor="text1"/>
          <w:kern w:val="2"/>
          <w:szCs w:val="22"/>
          <w:highlight w:val="none"/>
          <w14:textFill>
            <w14:solidFill>
              <w14:schemeClr w14:val="tx1"/>
            </w14:solidFill>
          </w14:textFill>
        </w:rPr>
        <w:t>Xueliang Wang</w:t>
      </w:r>
      <w:r>
        <w:rPr>
          <w:rFonts w:hint="default" w:ascii="Times New Roman" w:hAnsi="Times New Roman" w:cs="Times New Roman" w:eastAsiaTheme="minorEastAsia"/>
          <w:b w:val="0"/>
          <w:bCs/>
          <w:color w:val="000000" w:themeColor="text1"/>
          <w:kern w:val="2"/>
          <w:szCs w:val="2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eastAsia="宋体" w:cs="Times New Roman"/>
          <w:i w:val="0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Precision Medicine Institute, The First Affiliated Hospital of Sun Yat-Sen University, Sun Yat-Sen University,</w:t>
      </w:r>
      <w:r>
        <w:rPr>
          <w:rFonts w:hint="default" w:ascii="Times New Roman" w:hAnsi="Times New Roman" w:cs="Times New Roman"/>
          <w:i w:val="0"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i w:val="0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Guangzhou, 510080, China</w:t>
      </w:r>
    </w:p>
    <w:p>
      <w:pPr>
        <w:adjustRightInd w:val="0"/>
        <w:snapToGrid w:val="0"/>
        <w:spacing w:line="360" w:lineRule="auto"/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E-mail addresses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Times New Roman" w:hAnsi="Times New Roman" w:cs="Times New Roman"/>
          <w:highlight w:val="none"/>
        </w:rPr>
        <w:fldChar w:fldCharType="begin"/>
      </w:r>
      <w:r>
        <w:rPr>
          <w:rFonts w:hint="default" w:ascii="Times New Roman" w:hAnsi="Times New Roman" w:cs="Times New Roman"/>
          <w:highlight w:val="none"/>
        </w:rPr>
        <w:instrText xml:space="preserve"> HYPERLINK "mailto:haojiang@ouc.edu.cn" </w:instrText>
      </w:r>
      <w:r>
        <w:rPr>
          <w:rFonts w:hint="default" w:ascii="Times New Roman" w:hAnsi="Times New Roman" w:cs="Times New Roman"/>
          <w:highlight w:val="none"/>
        </w:rPr>
        <w:fldChar w:fldCharType="separate"/>
      </w:r>
      <w:r>
        <w:rPr>
          <w:rStyle w:val="8"/>
          <w:rFonts w:hint="default" w:ascii="Times New Roman" w:hAnsi="Times New Roman" w:cs="Times New Roman"/>
          <w:sz w:val="24"/>
          <w:szCs w:val="24"/>
          <w:highlight w:val="none"/>
        </w:rPr>
        <w:t>haojiang@ouc.edu.cn</w:t>
      </w:r>
      <w:r>
        <w:rPr>
          <w:rStyle w:val="8"/>
          <w:rFonts w:hint="default" w:ascii="Times New Roman" w:hAnsi="Times New Roman" w:cs="Times New Roman"/>
          <w:sz w:val="24"/>
          <w:szCs w:val="24"/>
          <w:highlight w:val="none"/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(J. Hao)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highlight w:val="none"/>
        </w:rPr>
        <w:fldChar w:fldCharType="begin"/>
      </w:r>
      <w:r>
        <w:rPr>
          <w:rFonts w:hint="default" w:ascii="Times New Roman" w:hAnsi="Times New Roman" w:cs="Times New Roman"/>
          <w:highlight w:val="none"/>
        </w:rPr>
        <w:instrText xml:space="preserve"> HYPERLINK "mailto:glyu@ouc.edu.cn" </w:instrText>
      </w:r>
      <w:r>
        <w:rPr>
          <w:rFonts w:hint="default" w:ascii="Times New Roman" w:hAnsi="Times New Roman" w:cs="Times New Roman"/>
          <w:highlight w:val="none"/>
        </w:rPr>
        <w:fldChar w:fldCharType="separate"/>
      </w:r>
      <w:r>
        <w:rPr>
          <w:rStyle w:val="8"/>
          <w:rFonts w:hint="default" w:ascii="Times New Roman" w:hAnsi="Times New Roman" w:cs="Times New Roman"/>
          <w:sz w:val="24"/>
          <w:szCs w:val="24"/>
          <w:highlight w:val="none"/>
        </w:rPr>
        <w:t>glyu@ouc.edu.cn</w:t>
      </w:r>
      <w:r>
        <w:rPr>
          <w:rStyle w:val="8"/>
          <w:rFonts w:hint="default" w:ascii="Times New Roman" w:hAnsi="Times New Roman" w:cs="Times New Roman"/>
          <w:sz w:val="24"/>
          <w:szCs w:val="24"/>
          <w:highlight w:val="none"/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(G.L. Yu).or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bookmarkEnd w:id="6"/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"mailto:wangsun13141314@126.com" </w:instrTex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8"/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wangsun13141314@126.com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(X.L. Wang)</w:t>
      </w: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bookmarkEnd w:id="1"/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12" w:name="_GoBack"/>
      <w:bookmarkEnd w:id="12"/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4199890" cy="190627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1" t="2333" r="8516" b="6713"/>
                    <a:stretch>
                      <a:fillRect/>
                    </a:stretch>
                  </pic:blipFill>
                  <pic:spPr>
                    <a:xfrm>
                      <a:off x="0" y="0"/>
                      <a:ext cx="4201490" cy="1907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after="156" w:afterLines="50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szCs w:val="21"/>
        </w:rPr>
        <w:t>F</w:t>
      </w:r>
      <w:r>
        <w:rPr>
          <w:rFonts w:ascii="Times New Roman" w:hAnsi="Times New Roman" w:cs="Times New Roman"/>
          <w:b/>
          <w:bCs/>
          <w:szCs w:val="21"/>
        </w:rPr>
        <w:t>ig. S1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Schematic diagram of the experimental protocol of this study.</w:t>
      </w:r>
      <w:bookmarkStart w:id="7" w:name="OLE_LINK266"/>
      <w:bookmarkStart w:id="8" w:name="OLE_LINK265"/>
      <w:r>
        <w:rPr>
          <w:rFonts w:ascii="Times New Roman" w:hAnsi="Times New Roman" w:cs="Times New Roman"/>
          <w:kern w:val="24"/>
          <w:szCs w:val="21"/>
        </w:rPr>
        <w:t xml:space="preserve"> </w:t>
      </w:r>
      <w:bookmarkStart w:id="9" w:name="OLE_LINK28"/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Control, NCD-fed mice; Model, HFD-fed mice; Metf, HFD with 225 mg/kg/d metformin; Cana: HFD with 50 mg/kg/d </w:t>
      </w:r>
      <w:bookmarkEnd w:id="9"/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Cana.</w:t>
      </w:r>
      <w:r>
        <w:rPr>
          <w:rFonts w:ascii="Times New Roman" w:hAnsi="Times New Roman" w:cs="Times New Roman"/>
          <w:kern w:val="24"/>
          <w:szCs w:val="21"/>
        </w:rPr>
        <w:t xml:space="preserve"> </w:t>
      </w:r>
      <w:bookmarkEnd w:id="7"/>
      <w:bookmarkEnd w:id="8"/>
      <w:r>
        <w:rPr>
          <w:rFonts w:ascii="Times New Roman" w:hAnsi="Times New Roman" w:cs="Times New Roman"/>
          <w:kern w:val="24"/>
          <w:szCs w:val="21"/>
        </w:rPr>
        <w:t xml:space="preserve">BW: body weight; </w:t>
      </w:r>
      <w:r>
        <w:rPr>
          <w:rFonts w:ascii="Times New Roman" w:hAnsi="Times New Roman" w:cs="Times New Roman"/>
          <w:szCs w:val="21"/>
        </w:rPr>
        <w:t>OGTT: oral glucose tolerance test; FBG: fasting blood glucose; IPITT: intraperitoneal insulin tolerance test.</w:t>
      </w:r>
    </w:p>
    <w:p>
      <w:pPr>
        <w:adjustRightInd w:val="0"/>
        <w:snapToGrid w:val="0"/>
        <w:jc w:val="center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10" w:name="_Hlk25431205"/>
      <w:r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Table S1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Diversity of colonic microbiota in different groups.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645"/>
        <w:gridCol w:w="765"/>
        <w:gridCol w:w="1599"/>
        <w:gridCol w:w="159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Groups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Good’s coverage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Chao1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Shannon indices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Simpson indices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Control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0.997981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275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5.63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0.9979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Model</w:t>
            </w:r>
          </w:p>
        </w:tc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0.998111</w:t>
            </w:r>
          </w:p>
        </w:tc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248</w:t>
            </w:r>
          </w:p>
        </w:tc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5.12</w:t>
            </w:r>
          </w:p>
        </w:tc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0.9282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Metf</w:t>
            </w:r>
          </w:p>
        </w:tc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0.997925</w:t>
            </w:r>
          </w:p>
        </w:tc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vertAlign w:val="superscript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4.08</w:t>
            </w: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vertAlign w:val="superscript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0.8663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Cana</w:t>
            </w:r>
          </w:p>
        </w:tc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0.998314</w:t>
            </w:r>
          </w:p>
        </w:tc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5.06</w:t>
            </w:r>
          </w:p>
        </w:tc>
        <w:tc>
          <w:tcPr>
            <w:tcW w:w="0" w:type="auto"/>
            <w:shd w:val="clear" w:color="auto" w:fill="auto"/>
          </w:tcPr>
          <w:p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1"/>
                <w:szCs w:val="20"/>
                <w:lang w:val="en-GB" w:eastAsia="en-US"/>
                <w14:textFill>
                  <w14:solidFill>
                    <w14:schemeClr w14:val="tx1"/>
                  </w14:solidFill>
                </w14:textFill>
              </w:rPr>
              <w:t>0.9291</w:t>
            </w:r>
          </w:p>
        </w:tc>
      </w:tr>
    </w:tbl>
    <w:p>
      <w:pPr>
        <w:adjustRightInd w:val="0"/>
        <w:snapToGrid w:val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Control, NCD-fed mice; Model, HFD-fed mice; Metf, HFD mixed with 225 mg/kg/d of metformin; Cana: HFD mixed with 50 mg/kg/d Cana.</w:t>
      </w:r>
      <w:bookmarkEnd w:id="10"/>
      <w:r>
        <w:rPr>
          <w:rFonts w:ascii="Times New Roman" w:hAnsi="Times New Roman" w:cs="Times New Roman"/>
          <w:szCs w:val="21"/>
        </w:rPr>
        <w:t xml:space="preserve"> *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&lt; 0.05, compared with the Control group; #</w:t>
      </w:r>
      <w:r>
        <w:rPr>
          <w:rFonts w:ascii="Times New Roman" w:hAnsi="Times New Roman" w:cs="Times New Roman"/>
          <w:i/>
          <w:iCs/>
          <w:szCs w:val="21"/>
        </w:rPr>
        <w:t xml:space="preserve"> p</w:t>
      </w:r>
      <w:r>
        <w:rPr>
          <w:rFonts w:ascii="Times New Roman" w:hAnsi="Times New Roman" w:cs="Times New Roman"/>
          <w:szCs w:val="21"/>
        </w:rPr>
        <w:t xml:space="preserve"> &lt; 0.05, compared with the Model group; &amp;</w:t>
      </w:r>
      <w:r>
        <w:rPr>
          <w:rFonts w:ascii="Times New Roman" w:hAnsi="Times New Roman" w:cs="Times New Roman"/>
          <w:i/>
          <w:iCs/>
          <w:szCs w:val="21"/>
        </w:rPr>
        <w:t xml:space="preserve"> p</w:t>
      </w:r>
      <w:r>
        <w:rPr>
          <w:rFonts w:ascii="Times New Roman" w:hAnsi="Times New Roman" w:cs="Times New Roman"/>
          <w:szCs w:val="21"/>
        </w:rPr>
        <w:t xml:space="preserve"> &lt; 0.05, the Cana group compared with the Metf group.</w:t>
      </w:r>
    </w:p>
    <w:p>
      <w:pPr>
        <w:adjustRightInd w:val="0"/>
        <w:snapToGrid w:val="0"/>
        <w:rPr>
          <w:rFonts w:ascii="Times New Roman" w:hAnsi="Times New Roman" w:cs="Times New Roman"/>
          <w:szCs w:val="21"/>
        </w:rPr>
      </w:pPr>
    </w:p>
    <w:p>
      <w:pPr>
        <w:adjustRightInd w:val="0"/>
        <w:snapToGrid w:val="0"/>
        <w:jc w:val="center"/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885055" cy="2082800"/>
            <wp:effectExtent l="0" t="0" r="4445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" t="2671" r="713" b="4321"/>
                    <a:stretch>
                      <a:fillRect/>
                    </a:stretch>
                  </pic:blipFill>
                  <pic:spPr>
                    <a:xfrm>
                      <a:off x="0" y="0"/>
                      <a:ext cx="4910669" cy="2093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ig. S2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β-diversity </w:t>
      </w:r>
      <w:r>
        <w:rPr>
          <w:rFonts w:ascii="Times New Roman" w:hAnsi="Times New Roman" w:cs="Times New Roman"/>
          <w:color w:val="000000" w:themeColor="text1"/>
          <w:szCs w:val="18"/>
          <w14:textFill>
            <w14:solidFill>
              <w14:schemeClr w14:val="tx1"/>
            </w14:solidFill>
          </w14:textFill>
        </w:rPr>
        <w:t xml:space="preserve">of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colonic</w:t>
      </w:r>
      <w:r>
        <w:rPr>
          <w:rFonts w:ascii="Times New Roman" w:hAnsi="Times New Roman" w:cs="Times New Roman"/>
          <w:color w:val="000000" w:themeColor="text1"/>
          <w:szCs w:val="18"/>
          <w14:textFill>
            <w14:solidFill>
              <w14:schemeClr w14:val="tx1"/>
            </w14:solidFill>
          </w14:textFill>
        </w:rPr>
        <w:t xml:space="preserve"> microbiota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among various groups. Non-metric multidimensional scaling (nMDS) </w:t>
      </w:r>
      <w:bookmarkStart w:id="11" w:name="OLE_LINK16"/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ordination plot</w:t>
      </w:r>
      <w:bookmarkEnd w:id="11"/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(A) and weighted UniFrac heatmap (B). </w:t>
      </w:r>
      <w:r>
        <w:rPr>
          <w:rFonts w:ascii="Times New Roman" w:hAnsi="Times New Roman" w:cs="Times New Roman"/>
          <w:color w:val="000000" w:themeColor="text1"/>
          <w:szCs w:val="18"/>
          <w14:textFill>
            <w14:solidFill>
              <w14:schemeClr w14:val="tx1"/>
            </w14:solidFill>
          </w14:textFill>
        </w:rPr>
        <w:t>Control, NCD-fed mice; Model, HFD-fed mice; Metf, HFD with 225 mg/kg/d of metformin; Cana: HFD with 50 mg/kg/d Cana. Data are expressed as the mean ± SEM.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AD0"/>
    <w:rsid w:val="00002A98"/>
    <w:rsid w:val="00017C1D"/>
    <w:rsid w:val="000227EF"/>
    <w:rsid w:val="00027F63"/>
    <w:rsid w:val="00074689"/>
    <w:rsid w:val="00094BC7"/>
    <w:rsid w:val="000A29EF"/>
    <w:rsid w:val="000A432A"/>
    <w:rsid w:val="000C0D41"/>
    <w:rsid w:val="000E7489"/>
    <w:rsid w:val="00123E14"/>
    <w:rsid w:val="00127768"/>
    <w:rsid w:val="001D61F5"/>
    <w:rsid w:val="00233A5F"/>
    <w:rsid w:val="002B7808"/>
    <w:rsid w:val="002F3173"/>
    <w:rsid w:val="002F7147"/>
    <w:rsid w:val="00303BD7"/>
    <w:rsid w:val="00312B98"/>
    <w:rsid w:val="00321CAD"/>
    <w:rsid w:val="00373C0F"/>
    <w:rsid w:val="003811B2"/>
    <w:rsid w:val="003D4BF1"/>
    <w:rsid w:val="003E1AD0"/>
    <w:rsid w:val="00400755"/>
    <w:rsid w:val="0042591A"/>
    <w:rsid w:val="00426A03"/>
    <w:rsid w:val="004C65B7"/>
    <w:rsid w:val="004E4527"/>
    <w:rsid w:val="004E4BC9"/>
    <w:rsid w:val="004F0121"/>
    <w:rsid w:val="00556B23"/>
    <w:rsid w:val="00560786"/>
    <w:rsid w:val="00596958"/>
    <w:rsid w:val="005A0F90"/>
    <w:rsid w:val="005A5CEF"/>
    <w:rsid w:val="005E6347"/>
    <w:rsid w:val="00602C2C"/>
    <w:rsid w:val="006A5C52"/>
    <w:rsid w:val="00726B93"/>
    <w:rsid w:val="00744482"/>
    <w:rsid w:val="00777EBE"/>
    <w:rsid w:val="007F443D"/>
    <w:rsid w:val="008179E5"/>
    <w:rsid w:val="008903B4"/>
    <w:rsid w:val="008B58E5"/>
    <w:rsid w:val="009073EF"/>
    <w:rsid w:val="0096484D"/>
    <w:rsid w:val="00990BF8"/>
    <w:rsid w:val="009A05EE"/>
    <w:rsid w:val="009B0C8D"/>
    <w:rsid w:val="009F2B6F"/>
    <w:rsid w:val="00A01F71"/>
    <w:rsid w:val="00A0531A"/>
    <w:rsid w:val="00A85FED"/>
    <w:rsid w:val="00A96F49"/>
    <w:rsid w:val="00AD44AB"/>
    <w:rsid w:val="00AF27F8"/>
    <w:rsid w:val="00AF5622"/>
    <w:rsid w:val="00B34692"/>
    <w:rsid w:val="00B55076"/>
    <w:rsid w:val="00B85977"/>
    <w:rsid w:val="00BA5B90"/>
    <w:rsid w:val="00BB111F"/>
    <w:rsid w:val="00C22C81"/>
    <w:rsid w:val="00C430C0"/>
    <w:rsid w:val="00C47C4A"/>
    <w:rsid w:val="00C56841"/>
    <w:rsid w:val="00C60442"/>
    <w:rsid w:val="00C8540F"/>
    <w:rsid w:val="00C95BE2"/>
    <w:rsid w:val="00CB450D"/>
    <w:rsid w:val="00D23F52"/>
    <w:rsid w:val="00D40C0D"/>
    <w:rsid w:val="00D47D36"/>
    <w:rsid w:val="00DB3AE8"/>
    <w:rsid w:val="00DC601F"/>
    <w:rsid w:val="00DD2C0B"/>
    <w:rsid w:val="00DE6805"/>
    <w:rsid w:val="00DF2154"/>
    <w:rsid w:val="00E11663"/>
    <w:rsid w:val="00E21DF7"/>
    <w:rsid w:val="00E412D7"/>
    <w:rsid w:val="00E72803"/>
    <w:rsid w:val="00EE34A4"/>
    <w:rsid w:val="00F100C3"/>
    <w:rsid w:val="00F22D35"/>
    <w:rsid w:val="00F4700A"/>
    <w:rsid w:val="00F82930"/>
    <w:rsid w:val="06C31644"/>
    <w:rsid w:val="0AE0261C"/>
    <w:rsid w:val="1F4B0928"/>
    <w:rsid w:val="26745B04"/>
    <w:rsid w:val="2EB86C7C"/>
    <w:rsid w:val="3DC85E2D"/>
    <w:rsid w:val="3FBF43B6"/>
    <w:rsid w:val="401231FE"/>
    <w:rsid w:val="402D1FB9"/>
    <w:rsid w:val="678B3C3D"/>
    <w:rsid w:val="73360501"/>
    <w:rsid w:val="7F07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rPr>
      <w:kern w:val="0"/>
      <w:sz w:val="22"/>
      <w:lang w:val="en-GB"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A86BE0-28A1-4ACB-91F6-A404ABAF98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314</Words>
  <Characters>1791</Characters>
  <Lines>14</Lines>
  <Paragraphs>4</Paragraphs>
  <TotalTime>0</TotalTime>
  <ScaleCrop>false</ScaleCrop>
  <LinksUpToDate>false</LinksUpToDate>
  <CharactersWithSpaces>2101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2019-07-05T13:42:00Z</dcterms:created>
  <dc:creator>Wang Xueliang</dc:creator>
  <cp:lastModifiedBy>王学良</cp:lastModifiedBy>
  <dcterms:modified xsi:type="dcterms:W3CDTF">2021-07-26T12:18:01Z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1FAD1F27FFA14C098C2B744C0A769920</vt:lpwstr>
  </property>
</Properties>
</file>