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3D70" w14:textId="77777777" w:rsidR="007D44A6" w:rsidRDefault="007D44A6" w:rsidP="007D44A6">
      <w:pPr>
        <w:widowControl w:val="0"/>
        <w:rPr>
          <w:rFonts w:cs="Arial"/>
          <w:b/>
          <w:sz w:val="28"/>
        </w:rPr>
      </w:pPr>
      <w:r w:rsidRPr="00301225">
        <w:rPr>
          <w:rFonts w:cs="Arial"/>
          <w:b/>
          <w:sz w:val="28"/>
        </w:rPr>
        <w:t>Energy transition and social justice: Do renewable energy levies have an impact on income distribution</w:t>
      </w:r>
      <w:r>
        <w:rPr>
          <w:rFonts w:cs="Arial"/>
          <w:b/>
          <w:sz w:val="28"/>
        </w:rPr>
        <w:t xml:space="preserve"> and energy poverty</w:t>
      </w:r>
      <w:r w:rsidRPr="00301225">
        <w:rPr>
          <w:rFonts w:cs="Arial"/>
          <w:b/>
          <w:sz w:val="28"/>
        </w:rPr>
        <w:t>?</w:t>
      </w:r>
    </w:p>
    <w:p w14:paraId="26E2B042" w14:textId="77777777" w:rsidR="007D44A6" w:rsidRPr="008D6CA1" w:rsidRDefault="007D44A6" w:rsidP="007D44A6">
      <w:pPr>
        <w:widowControl w:val="0"/>
        <w:rPr>
          <w:rFonts w:cs="Arial"/>
          <w:b/>
          <w:sz w:val="28"/>
        </w:rPr>
      </w:pPr>
      <w:r w:rsidRPr="008D6CA1">
        <w:rPr>
          <w:rFonts w:cs="Arial"/>
          <w:i/>
          <w:sz w:val="20"/>
        </w:rPr>
        <w:t>Jan Priesmann</w:t>
      </w:r>
      <w:r w:rsidRPr="008D6CA1">
        <w:rPr>
          <w:rFonts w:cs="Arial"/>
          <w:i/>
          <w:sz w:val="20"/>
          <w:vertAlign w:val="superscript"/>
        </w:rPr>
        <w:t>a</w:t>
      </w:r>
      <w:r w:rsidRPr="008D6CA1">
        <w:rPr>
          <w:rFonts w:cs="Arial"/>
          <w:i/>
          <w:sz w:val="20"/>
        </w:rPr>
        <w:t>, Saskia Spiegelburg</w:t>
      </w:r>
      <w:r w:rsidRPr="008D6CA1">
        <w:rPr>
          <w:rFonts w:cs="Arial"/>
          <w:i/>
          <w:sz w:val="20"/>
          <w:vertAlign w:val="superscript"/>
        </w:rPr>
        <w:t>a</w:t>
      </w:r>
      <w:r w:rsidRPr="008D6CA1">
        <w:rPr>
          <w:rFonts w:cs="Arial"/>
          <w:i/>
          <w:sz w:val="20"/>
        </w:rPr>
        <w:t>, Reinhard Madlener</w:t>
      </w:r>
      <w:r w:rsidRPr="008D6CA1">
        <w:rPr>
          <w:rFonts w:cs="Arial"/>
          <w:i/>
          <w:sz w:val="20"/>
          <w:vertAlign w:val="superscript"/>
        </w:rPr>
        <w:t>a</w:t>
      </w:r>
      <w:r>
        <w:rPr>
          <w:rFonts w:cs="Arial"/>
          <w:i/>
          <w:sz w:val="20"/>
          <w:vertAlign w:val="superscript"/>
        </w:rPr>
        <w:t>,b</w:t>
      </w:r>
      <w:r w:rsidRPr="008D6CA1">
        <w:rPr>
          <w:rFonts w:cs="Arial"/>
          <w:i/>
          <w:sz w:val="20"/>
        </w:rPr>
        <w:t>, Aaron Praktiknjo</w:t>
      </w:r>
      <w:r>
        <w:rPr>
          <w:rFonts w:cs="Arial"/>
          <w:i/>
          <w:sz w:val="20"/>
          <w:vertAlign w:val="superscript"/>
        </w:rPr>
        <w:t>a</w:t>
      </w:r>
      <w:r w:rsidRPr="008D6CA1">
        <w:rPr>
          <w:rFonts w:cs="Arial"/>
          <w:i/>
          <w:sz w:val="20"/>
          <w:vertAlign w:val="superscript"/>
        </w:rPr>
        <w:t>,</w:t>
      </w:r>
      <w:r>
        <w:t>*</w:t>
      </w:r>
    </w:p>
    <w:p w14:paraId="619091C9" w14:textId="77777777" w:rsidR="007D44A6" w:rsidRDefault="007D44A6" w:rsidP="007D44A6">
      <w:pPr>
        <w:widowControl w:val="0"/>
        <w:rPr>
          <w:rFonts w:cs="Arial"/>
          <w:i/>
          <w:sz w:val="20"/>
        </w:rPr>
      </w:pPr>
      <w:r w:rsidRPr="008D6CA1">
        <w:rPr>
          <w:rFonts w:cs="Arial"/>
          <w:i/>
          <w:sz w:val="20"/>
          <w:vertAlign w:val="superscript"/>
        </w:rPr>
        <w:t xml:space="preserve">a </w:t>
      </w:r>
      <w:r w:rsidRPr="0031255F">
        <w:rPr>
          <w:rFonts w:cs="Arial"/>
          <w:i/>
          <w:sz w:val="20"/>
        </w:rPr>
        <w:t xml:space="preserve">Institute for Future Energy Consumer Needs and Behavior (FCN), </w:t>
      </w:r>
      <w:r w:rsidRPr="008D6CA1">
        <w:rPr>
          <w:rFonts w:cs="Arial"/>
          <w:i/>
          <w:sz w:val="20"/>
        </w:rPr>
        <w:t xml:space="preserve">E.ON Energy Research Center/School of Business and Economics, RWTH Aachen University, </w:t>
      </w:r>
      <w:r w:rsidRPr="00C85B18">
        <w:rPr>
          <w:rFonts w:cs="Arial"/>
          <w:i/>
          <w:sz w:val="20"/>
        </w:rPr>
        <w:t>Mathi</w:t>
      </w:r>
      <w:r w:rsidRPr="00FE2CA4">
        <w:rPr>
          <w:rFonts w:cs="Arial"/>
          <w:i/>
          <w:sz w:val="20"/>
        </w:rPr>
        <w:t>eustr. 10, 52074 Aachen, Germany</w:t>
      </w:r>
      <w:r w:rsidRPr="00C97F5C">
        <w:rPr>
          <w:rFonts w:cs="Arial"/>
          <w:i/>
          <w:sz w:val="20"/>
        </w:rPr>
        <w:t xml:space="preserve"> </w:t>
      </w:r>
    </w:p>
    <w:p w14:paraId="0235B376" w14:textId="77777777" w:rsidR="007D44A6" w:rsidRDefault="007D44A6" w:rsidP="007D44A6">
      <w:pPr>
        <w:widowControl w:val="0"/>
        <w:rPr>
          <w:rFonts w:cs="Arial"/>
          <w:i/>
          <w:sz w:val="20"/>
        </w:rPr>
      </w:pPr>
      <w:r>
        <w:rPr>
          <w:rFonts w:cs="Arial"/>
          <w:i/>
          <w:sz w:val="20"/>
          <w:vertAlign w:val="superscript"/>
        </w:rPr>
        <w:t>b</w:t>
      </w:r>
      <w:r w:rsidRPr="0092654C">
        <w:rPr>
          <w:rFonts w:cs="Arial"/>
          <w:i/>
          <w:sz w:val="20"/>
          <w:vertAlign w:val="superscript"/>
        </w:rPr>
        <w:t xml:space="preserve"> </w:t>
      </w:r>
      <w:r w:rsidRPr="0092654C">
        <w:rPr>
          <w:rFonts w:cs="Arial"/>
          <w:i/>
          <w:sz w:val="20"/>
        </w:rPr>
        <w:t>Department of Industrial Economics and Technology Management, Norwegian University of Science and Technology (NTNU), Sentralbygg I, Gløshaugen, 7491 Trondheim, Norway</w:t>
      </w:r>
    </w:p>
    <w:p w14:paraId="61327328" w14:textId="77777777" w:rsidR="007D44A6" w:rsidRDefault="007D44A6" w:rsidP="007D44A6">
      <w:pPr>
        <w:spacing w:after="0"/>
        <w:jc w:val="left"/>
        <w:rPr>
          <w:rFonts w:cs="Arial"/>
          <w:i/>
          <w:sz w:val="20"/>
        </w:rPr>
      </w:pPr>
      <w:r>
        <w:rPr>
          <w:rFonts w:cs="Arial"/>
          <w:i/>
          <w:sz w:val="20"/>
        </w:rPr>
        <w:t>* Corresponding author</w:t>
      </w:r>
    </w:p>
    <w:p w14:paraId="2E58FA0A" w14:textId="69F871AD" w:rsidR="007D44A6" w:rsidRDefault="007D44A6" w:rsidP="001309DB">
      <w:pPr>
        <w:pStyle w:val="berschrift1"/>
        <w:widowControl w:val="0"/>
        <w:numPr>
          <w:ilvl w:val="0"/>
          <w:numId w:val="0"/>
        </w:numPr>
        <w:rPr>
          <w:lang w:eastAsia="de-DE"/>
        </w:rPr>
      </w:pPr>
      <w:bookmarkStart w:id="0" w:name="_GoBack"/>
      <w:bookmarkEnd w:id="0"/>
    </w:p>
    <w:p w14:paraId="7B2DEDAF" w14:textId="77777777" w:rsidR="007D44A6" w:rsidRDefault="007D44A6" w:rsidP="001309DB">
      <w:pPr>
        <w:pStyle w:val="berschrift1"/>
        <w:widowControl w:val="0"/>
        <w:numPr>
          <w:ilvl w:val="0"/>
          <w:numId w:val="0"/>
        </w:numPr>
        <w:rPr>
          <w:lang w:eastAsia="de-DE"/>
        </w:rPr>
      </w:pPr>
    </w:p>
    <w:p w14:paraId="3C3A8C2D" w14:textId="4E83B8E5" w:rsidR="001309DB" w:rsidRPr="00F477B0" w:rsidRDefault="001309DB" w:rsidP="001309DB">
      <w:pPr>
        <w:pStyle w:val="berschrift1"/>
        <w:widowControl w:val="0"/>
        <w:numPr>
          <w:ilvl w:val="0"/>
          <w:numId w:val="0"/>
        </w:numPr>
      </w:pPr>
      <w:r w:rsidRPr="00FD5947">
        <w:rPr>
          <w:lang w:eastAsia="de-DE"/>
        </w:rPr>
        <w:t>Supplementary Information</w:t>
      </w:r>
    </w:p>
    <w:p w14:paraId="22EB6671" w14:textId="77777777" w:rsidR="00E23231" w:rsidRPr="002B15AE" w:rsidRDefault="00E23231" w:rsidP="002B15AE">
      <w:pPr>
        <w:rPr>
          <w:iCs/>
        </w:rPr>
      </w:pPr>
    </w:p>
    <w:p w14:paraId="51B43FFF" w14:textId="3C4310E3" w:rsidR="001309DB" w:rsidRDefault="001309DB" w:rsidP="001309DB">
      <w:pPr>
        <w:pStyle w:val="Beschriftung"/>
        <w:keepNext/>
      </w:pPr>
      <w:bookmarkStart w:id="1" w:name="_Ref67478372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6D2353">
        <w:t>1</w:t>
      </w:r>
      <w:r>
        <w:fldChar w:fldCharType="end"/>
      </w:r>
      <w:bookmarkEnd w:id="1"/>
      <w:r>
        <w:t>: Development of final electricity price and RES support levy for residential consumers from 2003 to 2018.</w:t>
      </w: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625"/>
        <w:gridCol w:w="1625"/>
      </w:tblGrid>
      <w:tr w:rsidR="001309DB" w:rsidRPr="008A260F" w14:paraId="00CAA96F" w14:textId="77777777" w:rsidTr="009A0D9F">
        <w:trPr>
          <w:trHeight w:val="232"/>
        </w:trPr>
        <w:tc>
          <w:tcPr>
            <w:tcW w:w="1276" w:type="dxa"/>
            <w:tcBorders>
              <w:top w:val="single" w:sz="12" w:space="0" w:color="auto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0B07F68D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bookmarkStart w:id="2" w:name="_Ref65772905"/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noWrap/>
            <w:hideMark/>
          </w:tcPr>
          <w:p w14:paraId="4B8A3BB0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Total final electricity price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noWrap/>
            <w:hideMark/>
          </w:tcPr>
          <w:p w14:paraId="1120BF2F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RES support levy</w:t>
            </w:r>
          </w:p>
        </w:tc>
        <w:tc>
          <w:tcPr>
            <w:tcW w:w="3250" w:type="dxa"/>
            <w:gridSpan w:val="2"/>
            <w:tcBorders>
              <w:top w:val="single" w:sz="12" w:space="0" w:color="auto"/>
              <w:left w:val="single" w:sz="4" w:space="0" w:color="A5A5A5" w:themeColor="accent3"/>
              <w:bottom w:val="nil"/>
            </w:tcBorders>
            <w:noWrap/>
            <w:hideMark/>
          </w:tcPr>
          <w:p w14:paraId="3053254C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Final electricity price</w:t>
            </w:r>
          </w:p>
        </w:tc>
      </w:tr>
      <w:tr w:rsidR="001309DB" w:rsidRPr="008A260F" w14:paraId="19DE19E8" w14:textId="77777777" w:rsidTr="009A0D9F">
        <w:trPr>
          <w:trHeight w:val="232"/>
        </w:trPr>
        <w:tc>
          <w:tcPr>
            <w:tcW w:w="1276" w:type="dxa"/>
            <w:tcBorders>
              <w:top w:val="nil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79D2AC1C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2221B57F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023C89CE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single" w:sz="4" w:space="0" w:color="A5A5A5" w:themeColor="accent3"/>
              <w:bottom w:val="nil"/>
            </w:tcBorders>
            <w:noWrap/>
            <w:vAlign w:val="center"/>
            <w:hideMark/>
          </w:tcPr>
          <w:p w14:paraId="677F4DF2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4323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 xml:space="preserve">(without RES support levy 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incl. VAT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**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)</w:t>
            </w:r>
          </w:p>
        </w:tc>
      </w:tr>
      <w:tr w:rsidR="001309DB" w:rsidRPr="008A260F" w14:paraId="6A0D15FA" w14:textId="77777777" w:rsidTr="009A0D9F">
        <w:trPr>
          <w:trHeight w:val="232"/>
        </w:trPr>
        <w:tc>
          <w:tcPr>
            <w:tcW w:w="1276" w:type="dxa"/>
            <w:tcBorders>
              <w:top w:val="nil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78948D5A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5A5A5" w:themeColor="accent3"/>
              <w:bottom w:val="nil"/>
            </w:tcBorders>
            <w:noWrap/>
            <w:vAlign w:val="center"/>
            <w:hideMark/>
          </w:tcPr>
          <w:p w14:paraId="75FFBF1C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Nominal value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6F539A77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 xml:space="preserve">In 2003 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br/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prices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5A5A5" w:themeColor="accent3"/>
              <w:bottom w:val="nil"/>
            </w:tcBorders>
            <w:noWrap/>
            <w:vAlign w:val="center"/>
            <w:hideMark/>
          </w:tcPr>
          <w:p w14:paraId="7559CCD3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Nominal value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5A5A5" w:themeColor="accent3"/>
            </w:tcBorders>
            <w:noWrap/>
            <w:vAlign w:val="center"/>
            <w:hideMark/>
          </w:tcPr>
          <w:p w14:paraId="1113B5C3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In 2003 prices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625" w:type="dxa"/>
            <w:tcBorders>
              <w:top w:val="nil"/>
              <w:left w:val="single" w:sz="4" w:space="0" w:color="A5A5A5" w:themeColor="accent3"/>
              <w:bottom w:val="nil"/>
            </w:tcBorders>
            <w:noWrap/>
            <w:vAlign w:val="center"/>
            <w:hideMark/>
          </w:tcPr>
          <w:p w14:paraId="3C30BE1A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 xml:space="preserve">Nominal 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br/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value</w:t>
            </w:r>
          </w:p>
        </w:tc>
        <w:tc>
          <w:tcPr>
            <w:tcW w:w="162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F9B121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 xml:space="preserve">In 2003 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br/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prices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*</w:t>
            </w:r>
          </w:p>
        </w:tc>
      </w:tr>
      <w:tr w:rsidR="001309DB" w:rsidRPr="008A260F" w14:paraId="5D24256F" w14:textId="77777777" w:rsidTr="009A0D9F">
        <w:trPr>
          <w:trHeight w:val="232"/>
        </w:trPr>
        <w:tc>
          <w:tcPr>
            <w:tcW w:w="1276" w:type="dxa"/>
            <w:tcBorders>
              <w:top w:val="nil"/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1311139B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1129D77C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[€-ct/kWh]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0D3C700A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[€-ct/kWh]</w:t>
            </w:r>
          </w:p>
        </w:tc>
        <w:tc>
          <w:tcPr>
            <w:tcW w:w="1134" w:type="dxa"/>
            <w:tcBorders>
              <w:top w:val="nil"/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62A2E7C1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[€-ct/kWh]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1EA1B2D4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[€-ct/kWh]</w:t>
            </w:r>
          </w:p>
        </w:tc>
        <w:tc>
          <w:tcPr>
            <w:tcW w:w="1625" w:type="dxa"/>
            <w:tcBorders>
              <w:top w:val="nil"/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3C562F14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[€-ct/kWh]</w:t>
            </w:r>
          </w:p>
        </w:tc>
        <w:tc>
          <w:tcPr>
            <w:tcW w:w="1625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5158F7B8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[€-ct/kWh]</w:t>
            </w:r>
          </w:p>
        </w:tc>
      </w:tr>
      <w:tr w:rsidR="001309DB" w:rsidRPr="008A260F" w14:paraId="2883C3C1" w14:textId="77777777" w:rsidTr="009A0D9F">
        <w:trPr>
          <w:trHeight w:val="232"/>
        </w:trPr>
        <w:tc>
          <w:tcPr>
            <w:tcW w:w="1276" w:type="dxa"/>
            <w:tcBorders>
              <w:top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4EBCFA20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2003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5A5A5" w:themeColor="accent3"/>
            </w:tcBorders>
            <w:noWrap/>
            <w:vAlign w:val="center"/>
            <w:hideMark/>
          </w:tcPr>
          <w:p w14:paraId="42D47F8E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17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6D2E53EF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17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5A5A5" w:themeColor="accent3"/>
            </w:tcBorders>
            <w:noWrap/>
            <w:vAlign w:val="center"/>
            <w:hideMark/>
          </w:tcPr>
          <w:p w14:paraId="2556E080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10EF5EE7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5A5A5" w:themeColor="accent3"/>
            </w:tcBorders>
            <w:noWrap/>
            <w:vAlign w:val="center"/>
            <w:hideMark/>
          </w:tcPr>
          <w:p w14:paraId="4A187392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16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71695F6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16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70</w:t>
            </w:r>
          </w:p>
        </w:tc>
      </w:tr>
      <w:tr w:rsidR="001309DB" w:rsidRPr="008A260F" w14:paraId="41BE66F3" w14:textId="77777777" w:rsidTr="009A0D9F">
        <w:trPr>
          <w:trHeight w:val="232"/>
        </w:trPr>
        <w:tc>
          <w:tcPr>
            <w:tcW w:w="1276" w:type="dxa"/>
            <w:tcBorders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61F97E3B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3B6C8356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29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4CF75548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23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478F793B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662AB09C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5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625" w:type="dxa"/>
            <w:tcBorders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0EC64B42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21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6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841DCBF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17</w:t>
            </w: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.</w:t>
            </w:r>
            <w:r w:rsidRPr="007F0DCB">
              <w:rPr>
                <w:rFonts w:eastAsiaTheme="minorHAnsi" w:cstheme="minorBidi"/>
                <w:sz w:val="16"/>
                <w:szCs w:val="16"/>
                <w:lang w:eastAsia="en-US"/>
              </w:rPr>
              <w:t>21</w:t>
            </w:r>
          </w:p>
        </w:tc>
      </w:tr>
      <w:tr w:rsidR="001309DB" w:rsidRPr="007F0DCB" w14:paraId="53B40340" w14:textId="77777777" w:rsidTr="009A0D9F">
        <w:trPr>
          <w:trHeight w:val="232"/>
        </w:trPr>
        <w:tc>
          <w:tcPr>
            <w:tcW w:w="1276" w:type="dxa"/>
            <w:tcBorders>
              <w:top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noWrap/>
            <w:vAlign w:val="center"/>
            <w:hideMark/>
          </w:tcPr>
          <w:p w14:paraId="408050C5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3D0E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 xml:space="preserve">Total 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change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5A5A5" w:themeColor="accent3"/>
              <w:bottom w:val="single" w:sz="4" w:space="0" w:color="A5A5A5" w:themeColor="accent3"/>
            </w:tcBorders>
            <w:noWrap/>
            <w:vAlign w:val="center"/>
            <w:hideMark/>
          </w:tcPr>
          <w:p w14:paraId="15A75CE7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12.28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noWrap/>
            <w:vAlign w:val="center"/>
            <w:hideMark/>
          </w:tcPr>
          <w:p w14:paraId="50A3BA65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6.53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5A5A5" w:themeColor="accent3"/>
              <w:bottom w:val="single" w:sz="4" w:space="0" w:color="A5A5A5" w:themeColor="accent3"/>
            </w:tcBorders>
            <w:noWrap/>
            <w:vAlign w:val="center"/>
            <w:hideMark/>
          </w:tcPr>
          <w:p w14:paraId="3432A28A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6.37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noWrap/>
            <w:vAlign w:val="center"/>
            <w:hideMark/>
          </w:tcPr>
          <w:p w14:paraId="1592468D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5.05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5A5A5" w:themeColor="accent3"/>
              <w:bottom w:val="single" w:sz="4" w:space="0" w:color="A5A5A5" w:themeColor="accent3"/>
            </w:tcBorders>
            <w:noWrap/>
            <w:vAlign w:val="center"/>
            <w:hideMark/>
          </w:tcPr>
          <w:p w14:paraId="27A94E77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4.68</w:t>
            </w:r>
          </w:p>
        </w:tc>
        <w:tc>
          <w:tcPr>
            <w:tcW w:w="1625" w:type="dxa"/>
            <w:tcBorders>
              <w:top w:val="single" w:sz="12" w:space="0" w:color="auto"/>
              <w:bottom w:val="single" w:sz="4" w:space="0" w:color="A5A5A5" w:themeColor="accent3"/>
            </w:tcBorders>
            <w:noWrap/>
            <w:vAlign w:val="center"/>
            <w:hideMark/>
          </w:tcPr>
          <w:p w14:paraId="2533EA66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0.51</w:t>
            </w:r>
          </w:p>
        </w:tc>
      </w:tr>
      <w:tr w:rsidR="001309DB" w:rsidRPr="007F0DCB" w14:paraId="6525254B" w14:textId="77777777" w:rsidTr="009A0D9F">
        <w:trPr>
          <w:trHeight w:val="232"/>
        </w:trPr>
        <w:tc>
          <w:tcPr>
            <w:tcW w:w="1276" w:type="dxa"/>
            <w:tcBorders>
              <w:top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3BED90EE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3D0E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 xml:space="preserve"> 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change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23DDDCC5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71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.44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116B3109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63A9A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37.98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5844D3FA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1517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.14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noWrap/>
            <w:vAlign w:val="center"/>
            <w:hideMark/>
          </w:tcPr>
          <w:p w14:paraId="6384F004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63A9A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1201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.55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6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7DF8AD41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28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.05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625" w:type="dxa"/>
            <w:tcBorders>
              <w:top w:val="single" w:sz="4" w:space="0" w:color="A5A5A5" w:themeColor="accent3"/>
              <w:bottom w:val="single" w:sz="12" w:space="0" w:color="auto"/>
            </w:tcBorders>
            <w:noWrap/>
            <w:vAlign w:val="center"/>
            <w:hideMark/>
          </w:tcPr>
          <w:p w14:paraId="481B94B8" w14:textId="77777777" w:rsidR="001309DB" w:rsidRPr="007F0DCB" w:rsidRDefault="001309DB" w:rsidP="009A0D9F">
            <w:pPr>
              <w:spacing w:after="0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.06</w:t>
            </w:r>
            <w:r w:rsidRPr="007F0DCB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%</w:t>
            </w:r>
          </w:p>
        </w:tc>
      </w:tr>
    </w:tbl>
    <w:p w14:paraId="5D148EE7" w14:textId="77777777" w:rsidR="001309DB" w:rsidRPr="007F0DCB" w:rsidRDefault="001309DB" w:rsidP="001309DB">
      <w:pPr>
        <w:jc w:val="left"/>
        <w:rPr>
          <w:sz w:val="16"/>
          <w:szCs w:val="16"/>
        </w:rPr>
      </w:pPr>
      <w:r w:rsidRPr="007F0DCB">
        <w:rPr>
          <w:sz w:val="16"/>
          <w:szCs w:val="16"/>
        </w:rPr>
        <w:t>* Based on relative change in consumer price index from  2018 to 2003: 24.25%</w:t>
      </w:r>
      <w:r w:rsidRPr="007F0DCB">
        <w:rPr>
          <w:sz w:val="16"/>
          <w:szCs w:val="16"/>
        </w:rPr>
        <w:br/>
        <w:t>** VAT rate for 2003: 16%; VAT rate for 2018: 19%</w:t>
      </w:r>
    </w:p>
    <w:bookmarkEnd w:id="2"/>
    <w:p w14:paraId="2D08A540" w14:textId="33B9EAAB" w:rsidR="00554AFE" w:rsidRDefault="00554AFE" w:rsidP="002B15AE"/>
    <w:p w14:paraId="7E6C6421" w14:textId="005317FB" w:rsidR="00554AFE" w:rsidRDefault="00554AFE" w:rsidP="002B15AE">
      <w:pPr>
        <w:pStyle w:val="Beschriftung"/>
      </w:pPr>
      <w:bookmarkStart w:id="3" w:name="_Ref77937207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6D2353">
        <w:t>2</w:t>
      </w:r>
      <w:r>
        <w:fldChar w:fldCharType="end"/>
      </w:r>
      <w:bookmarkEnd w:id="3"/>
      <w:r>
        <w:t xml:space="preserve">: </w:t>
      </w:r>
      <w:r w:rsidRPr="00554AFE">
        <w:t>Substitution, income, and total effect of the change in electricity consumption</w:t>
      </w:r>
      <w:r>
        <w:t xml:space="preserve"> of private households from 2003 to 2018.</w:t>
      </w:r>
      <w:r w:rsidR="00911B37">
        <w:t xml:space="preserve"> Absolute values are given in kWh.</w:t>
      </w:r>
    </w:p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741"/>
        <w:gridCol w:w="1550"/>
        <w:gridCol w:w="741"/>
        <w:gridCol w:w="1550"/>
        <w:gridCol w:w="741"/>
        <w:gridCol w:w="1550"/>
        <w:gridCol w:w="910"/>
      </w:tblGrid>
      <w:tr w:rsidR="002C620B" w:rsidRPr="002C620B" w14:paraId="44E033AC" w14:textId="59C1C029" w:rsidTr="002B15AE">
        <w:tc>
          <w:tcPr>
            <w:tcW w:w="0" w:type="auto"/>
            <w:vMerge w:val="restart"/>
            <w:vAlign w:val="bottom"/>
          </w:tcPr>
          <w:p w14:paraId="7277AC44" w14:textId="0721BB6C" w:rsidR="002C620B" w:rsidRPr="002B15AE" w:rsidRDefault="002C620B" w:rsidP="002B15AE">
            <w:pPr>
              <w:widowControl w:val="0"/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Income decile</w:t>
            </w:r>
          </w:p>
        </w:tc>
        <w:tc>
          <w:tcPr>
            <w:tcW w:w="0" w:type="auto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418A33D" w14:textId="494654F3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 xml:space="preserve">Substitution effect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2B15AE">
              <w:rPr>
                <w:rFonts w:cs="Arial"/>
                <w:b/>
                <w:sz w:val="16"/>
                <w:szCs w:val="16"/>
              </w:rPr>
              <w:t>(with constant budget)</w:t>
            </w:r>
          </w:p>
        </w:tc>
        <w:tc>
          <w:tcPr>
            <w:tcW w:w="0" w:type="auto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03B42C9" w14:textId="58AA5D20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 xml:space="preserve">Income effect </w:t>
            </w:r>
            <w:r w:rsidRPr="002B15AE">
              <w:rPr>
                <w:rFonts w:cs="Arial"/>
                <w:b/>
                <w:sz w:val="16"/>
                <w:szCs w:val="16"/>
              </w:rPr>
              <w:br/>
              <w:t>(with constant budget)</w:t>
            </w:r>
          </w:p>
        </w:tc>
        <w:tc>
          <w:tcPr>
            <w:tcW w:w="0" w:type="auto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7DFAF4" w14:textId="1092CC82" w:rsidR="002C620B" w:rsidRPr="002B15AE" w:rsidRDefault="002C620B" w:rsidP="00AB47BD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 xml:space="preserve">Budget and household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2B15AE">
              <w:rPr>
                <w:rFonts w:cs="Arial"/>
                <w:b/>
                <w:sz w:val="16"/>
                <w:szCs w:val="16"/>
              </w:rPr>
              <w:t>composition effect</w:t>
            </w:r>
          </w:p>
        </w:tc>
        <w:tc>
          <w:tcPr>
            <w:tcW w:w="0" w:type="auto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F5C506" w14:textId="4A60CB8F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Total effect</w:t>
            </w:r>
          </w:p>
        </w:tc>
      </w:tr>
      <w:tr w:rsidR="002C620B" w:rsidRPr="002C620B" w14:paraId="63B345AF" w14:textId="0794791C" w:rsidTr="002C620B"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682B19D6" w14:textId="20BCD41A" w:rsidR="002C620B" w:rsidRPr="002B15AE" w:rsidRDefault="002C620B" w:rsidP="002C620B">
            <w:pPr>
              <w:widowControl w:val="0"/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6E2DBF4" w14:textId="72DE466A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Absolute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88B041A" w14:textId="4B4F00CE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Share of total effect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A83192" w14:textId="77777777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Absolute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8293FB8" w14:textId="54458EF4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Share of total effect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3A9DF36" w14:textId="77777777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Absolute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17E73BA" w14:textId="1315290A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Share of total effect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5F6D972" w14:textId="172D81A3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Absolute</w:t>
            </w:r>
          </w:p>
        </w:tc>
      </w:tr>
      <w:tr w:rsidR="002C620B" w:rsidRPr="002C620B" w14:paraId="2D1F0DFB" w14:textId="4A00E60C" w:rsidTr="00727527"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6F85338C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0DA7E70" w14:textId="5E2502D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-201.04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4176E0E" w14:textId="4CEBC90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55.66%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FFF9A50" w14:textId="0C8CDFBA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-25.41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71E5F403" w14:textId="136F9A8B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7.03%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F1404FF" w14:textId="3B889446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-134.77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DCF0AA2" w14:textId="01AD09B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37.31%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F8628F6" w14:textId="58FF1CA3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-361.22</w:t>
            </w:r>
          </w:p>
        </w:tc>
      </w:tr>
      <w:tr w:rsidR="002C620B" w:rsidRPr="002C620B" w14:paraId="17CE589C" w14:textId="78DE2D98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B682995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79FA1C9" w14:textId="4DFA7381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-283.22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60FF2FA" w14:textId="1C2DF0F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77.13%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2B7B650" w14:textId="2982B436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-21.81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CE91CFD" w14:textId="16484C18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5.94%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DF1FB31" w14:textId="6E9BEB57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-62.17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609EA49" w14:textId="6EA05267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16.93%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7E882450" w14:textId="105AFD2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-367.20</w:t>
            </w:r>
          </w:p>
        </w:tc>
      </w:tr>
      <w:tr w:rsidR="002C620B" w:rsidRPr="002C620B" w14:paraId="47497D3B" w14:textId="47E61A42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622A0B8C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7C24623" w14:textId="0DAF32E4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-380.23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209E084" w14:textId="15400742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94.00%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6FFC082" w14:textId="54632BD1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-18.96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FF6D595" w14:textId="7B94DDA5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4.69%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7E391CD" w14:textId="1907F24A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-5.29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B6CA6B9" w14:textId="60E6B15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1.31%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18A1FEE" w14:textId="5FC3897B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-404.48</w:t>
            </w:r>
          </w:p>
        </w:tc>
      </w:tr>
      <w:tr w:rsidR="002C620B" w:rsidRPr="002C620B" w14:paraId="60FEDBB2" w14:textId="0AF7D205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69561327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A042BF4" w14:textId="6B7E1949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-350.76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629AD64" w14:textId="5F9CEB0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99.18%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B69DEA4" w14:textId="21F209FF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-16.68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7ED9039" w14:textId="5D763EE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4.72%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41A9845" w14:textId="1C58C1E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13.78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FC2ABB4" w14:textId="14143A94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-3.90%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040B426" w14:textId="1B76F33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-353.66</w:t>
            </w:r>
          </w:p>
        </w:tc>
      </w:tr>
      <w:tr w:rsidR="002C620B" w:rsidRPr="002C620B" w14:paraId="6DAE8453" w14:textId="2D4C07B2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C3F2A69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721F645" w14:textId="3D5E041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-389.04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E4AC375" w14:textId="5AD092AB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101.72%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AAA6F75" w14:textId="0E978490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-16.88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53913A7" w14:textId="65C54501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4.41%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5B316BE" w14:textId="5BF51625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9B3D7B1" w14:textId="645F8106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-6.13%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8D01519" w14:textId="0EEFDF00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-382.48</w:t>
            </w:r>
          </w:p>
        </w:tc>
      </w:tr>
      <w:tr w:rsidR="002C620B" w:rsidRPr="002C620B" w14:paraId="3104D184" w14:textId="41C64D54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B175CEF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6489353" w14:textId="234ACC82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-450.31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A553589" w14:textId="079451F9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102.07%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0B82B66" w14:textId="60198084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-18.06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1F39426" w14:textId="4D643799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4.09%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C9B083A" w14:textId="18B5B4C9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27.21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887454E" w14:textId="0DE55272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-6.17%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F9162E9" w14:textId="486162CE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-441.17</w:t>
            </w:r>
          </w:p>
        </w:tc>
      </w:tr>
      <w:tr w:rsidR="002C620B" w:rsidRPr="002C620B" w14:paraId="0FA312F8" w14:textId="378C64DA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0E675D8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0F5F7C8" w14:textId="5B185FB6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-522.91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4439E7C" w14:textId="511CB204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110.67%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480C1F6" w14:textId="54E628AE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-21.08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7123CBAB" w14:textId="1CB38443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4.46%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58EBE78" w14:textId="2DE5CB25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71.51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05494A0C" w14:textId="63AF04E2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-15.14%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005E1BA" w14:textId="6499E137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-472.48</w:t>
            </w:r>
          </w:p>
        </w:tc>
      </w:tr>
      <w:tr w:rsidR="002C620B" w:rsidRPr="002C620B" w14:paraId="0CBFE7DB" w14:textId="1CB170F1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7E1B6086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7A1D866" w14:textId="7E61EC0B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-539.50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7B52E9DD" w14:textId="0DA965E0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105.23%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2CCAA448" w14:textId="36B5E9D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-17.79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6E2C6C9" w14:textId="7BD9928E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3.47%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7FC5A919" w14:textId="64D85888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44.62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4F0DE78" w14:textId="5AC9387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-8.70%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5E469541" w14:textId="46E540AF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-512.67</w:t>
            </w:r>
          </w:p>
        </w:tc>
      </w:tr>
      <w:tr w:rsidR="002C620B" w:rsidRPr="002C620B" w14:paraId="3A2D0B6D" w14:textId="54D8D84C" w:rsidTr="00727527"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92E8730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3C8BAE39" w14:textId="63EF6219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-585.46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90512FB" w14:textId="719341D4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110.84%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71D6FB9" w14:textId="39515FAC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-18.59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62B5F927" w14:textId="01D0147E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3.52%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40509586" w14:textId="26AED26F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75.84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7A24426D" w14:textId="1BCBA9B2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-14.36%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  <w:tcMar>
              <w:left w:w="28" w:type="dxa"/>
              <w:right w:w="28" w:type="dxa"/>
            </w:tcMar>
          </w:tcPr>
          <w:p w14:paraId="1DEEB4DA" w14:textId="18636FB3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-528.22</w:t>
            </w:r>
          </w:p>
        </w:tc>
      </w:tr>
      <w:tr w:rsidR="002C620B" w:rsidRPr="002C620B" w14:paraId="53C640C8" w14:textId="699CCF7B" w:rsidTr="00727527"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6D1C38D9" w14:textId="77777777" w:rsidR="002C620B" w:rsidRPr="002B15AE" w:rsidRDefault="002C620B" w:rsidP="002C620B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7D6F149" w14:textId="39C0D9CE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-656.74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EBDDE61" w14:textId="36707B05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97.30%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356B95A" w14:textId="142C37BA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-23.50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50931B1" w14:textId="7F6283ED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3.48%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13C4713" w14:textId="016C257F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CC40FEB" w14:textId="2CE71922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-0.78%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FD09C0B" w14:textId="1DE5FD13" w:rsidR="002C620B" w:rsidRPr="002B15AE" w:rsidRDefault="002C620B" w:rsidP="002C620B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-674.99</w:t>
            </w:r>
          </w:p>
        </w:tc>
      </w:tr>
    </w:tbl>
    <w:p w14:paraId="5D35E680" w14:textId="4323DFBC" w:rsidR="002C620B" w:rsidRPr="00AB47BD" w:rsidRDefault="002C620B" w:rsidP="002B15AE">
      <w:bookmarkStart w:id="4" w:name="_Ref66018625"/>
    </w:p>
    <w:p w14:paraId="10AF517C" w14:textId="260C10A6" w:rsidR="001309DB" w:rsidRDefault="001309DB" w:rsidP="001309DB">
      <w:pPr>
        <w:pStyle w:val="Beschriftung"/>
        <w:keepNext/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6D2353">
        <w:t>3</w:t>
      </w:r>
      <w:r>
        <w:fldChar w:fldCharType="end"/>
      </w:r>
      <w:bookmarkEnd w:id="4"/>
      <w:r>
        <w:t xml:space="preserve">: </w:t>
      </w:r>
      <w:r w:rsidRPr="00981348">
        <w:t>Income classes of the different survey years</w:t>
      </w:r>
      <w:r>
        <w:t>.</w:t>
      </w:r>
    </w:p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AB47BD" w:rsidRPr="00FA3C57" w14:paraId="0FD83DB5" w14:textId="77777777" w:rsidTr="002B15AE">
        <w:tc>
          <w:tcPr>
            <w:tcW w:w="1134" w:type="dxa"/>
            <w:tcBorders>
              <w:bottom w:val="nil"/>
            </w:tcBorders>
          </w:tcPr>
          <w:p w14:paraId="30D5C9D4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4ACA44F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ICS 2003</w:t>
            </w:r>
          </w:p>
        </w:tc>
        <w:tc>
          <w:tcPr>
            <w:tcW w:w="3969" w:type="dxa"/>
            <w:tcBorders>
              <w:bottom w:val="nil"/>
            </w:tcBorders>
          </w:tcPr>
          <w:p w14:paraId="02DA6819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ICS 2018</w:t>
            </w:r>
          </w:p>
        </w:tc>
      </w:tr>
      <w:tr w:rsidR="00AB47BD" w:rsidRPr="00FA3C57" w14:paraId="60F8C746" w14:textId="77777777" w:rsidTr="002B15AE"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75C40C30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Income decile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7D14908F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 xml:space="preserve">Household net  equivalent income </w:t>
            </w:r>
            <w:r w:rsidRPr="002B15AE">
              <w:rPr>
                <w:rFonts w:cs="Arial"/>
                <w:b/>
                <w:sz w:val="16"/>
                <w:szCs w:val="16"/>
              </w:rPr>
              <w:br/>
              <w:t>per year [€]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21980B5E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 xml:space="preserve">Household net equivalent income </w:t>
            </w:r>
            <w:r w:rsidRPr="002B15AE">
              <w:rPr>
                <w:rFonts w:cs="Arial"/>
                <w:b/>
                <w:sz w:val="16"/>
                <w:szCs w:val="16"/>
              </w:rPr>
              <w:br/>
              <w:t>per year [€]</w:t>
            </w:r>
          </w:p>
        </w:tc>
      </w:tr>
      <w:tr w:rsidR="00AB47BD" w:rsidRPr="00FA3C57" w14:paraId="5ACB1D17" w14:textId="77777777" w:rsidTr="002B15AE">
        <w:tc>
          <w:tcPr>
            <w:tcW w:w="1134" w:type="dxa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4301B620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5A5A5" w:themeColor="accent3"/>
            </w:tcBorders>
            <w:vAlign w:val="bottom"/>
          </w:tcPr>
          <w:p w14:paraId="33B4C078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&lt;= 12,016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5A5A5" w:themeColor="accent3"/>
            </w:tcBorders>
            <w:vAlign w:val="bottom"/>
          </w:tcPr>
          <w:p w14:paraId="3C927CD0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&lt;= 13,785</w:t>
            </w:r>
          </w:p>
        </w:tc>
      </w:tr>
      <w:tr w:rsidR="00AB47BD" w:rsidRPr="00FA3C57" w14:paraId="26F66346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D27D9EA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CDFC8B0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12,016 – 15,197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25757AD7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13,785 – 18,308</w:t>
            </w:r>
          </w:p>
        </w:tc>
      </w:tr>
      <w:tr w:rsidR="00AB47BD" w:rsidRPr="00FA3C57" w14:paraId="1C16A991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54B2DC0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026F6DE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15,197 – 17,726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5BFD9E3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18,308 – 22,020</w:t>
            </w:r>
          </w:p>
        </w:tc>
      </w:tr>
      <w:tr w:rsidR="00AB47BD" w:rsidRPr="00FA3C57" w14:paraId="07432A92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C73D9D2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73782554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17,726 – 20,069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7329021E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22,020 – 25,336</w:t>
            </w:r>
          </w:p>
        </w:tc>
      </w:tr>
      <w:tr w:rsidR="00AB47BD" w:rsidRPr="00FA3C57" w14:paraId="64F760B9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6C4C548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5D1355F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20,069 – 22,560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7550D99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25,336 – 28,680</w:t>
            </w:r>
          </w:p>
        </w:tc>
      </w:tr>
      <w:tr w:rsidR="00AB47BD" w:rsidRPr="00FA3C57" w14:paraId="28614FAD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0146979D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C3325EC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22,560 – 25,392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2EF5D7B7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28,680 – 32,376</w:t>
            </w:r>
          </w:p>
        </w:tc>
      </w:tr>
      <w:tr w:rsidR="00AB47BD" w:rsidRPr="00FA3C57" w14:paraId="28C81CA6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83A66EB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38B1702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25,392 – 28,952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69818494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32,376 – 36,896</w:t>
            </w:r>
          </w:p>
        </w:tc>
      </w:tr>
      <w:tr w:rsidR="00AB47BD" w:rsidRPr="00FA3C57" w14:paraId="660E8E7F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FFFE1F3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68BF25B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28,952 – 33,829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11C8F93F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36,896 – 42,533</w:t>
            </w:r>
          </w:p>
        </w:tc>
      </w:tr>
      <w:tr w:rsidR="00AB47BD" w:rsidRPr="00FA3C57" w14:paraId="126BBBEF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77D8935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605A5C0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33,829 – 42,256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69CA56AB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42,533 – 52,181</w:t>
            </w:r>
          </w:p>
        </w:tc>
      </w:tr>
      <w:tr w:rsidR="00AB47BD" w:rsidRPr="00FA3C57" w14:paraId="13E9A775" w14:textId="77777777" w:rsidTr="002B15AE">
        <w:tc>
          <w:tcPr>
            <w:tcW w:w="1134" w:type="dxa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4A15832F" w14:textId="77777777" w:rsidR="00AB47BD" w:rsidRPr="002B15AE" w:rsidRDefault="00AB47BD" w:rsidP="009A0D9F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12" w:space="0" w:color="auto"/>
            </w:tcBorders>
            <w:vAlign w:val="bottom"/>
          </w:tcPr>
          <w:p w14:paraId="3656873A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&gt; 42,256</w:t>
            </w:r>
          </w:p>
        </w:tc>
        <w:tc>
          <w:tcPr>
            <w:tcW w:w="3969" w:type="dxa"/>
            <w:tcBorders>
              <w:top w:val="single" w:sz="4" w:space="0" w:color="A5A5A5" w:themeColor="accent3"/>
              <w:bottom w:val="single" w:sz="12" w:space="0" w:color="auto"/>
            </w:tcBorders>
            <w:vAlign w:val="bottom"/>
          </w:tcPr>
          <w:p w14:paraId="028DC5CB" w14:textId="77777777" w:rsidR="00AB47BD" w:rsidRPr="002B15AE" w:rsidRDefault="00AB47BD" w:rsidP="009A0D9F">
            <w:pPr>
              <w:widowControl w:val="0"/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&gt; 52,181</w:t>
            </w:r>
          </w:p>
        </w:tc>
      </w:tr>
    </w:tbl>
    <w:p w14:paraId="05C9FB84" w14:textId="34AC3B5A" w:rsidR="001309DB" w:rsidRDefault="001309DB" w:rsidP="001309DB">
      <w:pPr>
        <w:widowControl w:val="0"/>
      </w:pPr>
    </w:p>
    <w:p w14:paraId="30C2B06D" w14:textId="08AF0154" w:rsidR="001309DB" w:rsidRDefault="001309DB" w:rsidP="001309DB">
      <w:pPr>
        <w:pStyle w:val="Beschriftung"/>
        <w:keepNext/>
      </w:pPr>
      <w:bookmarkStart w:id="5" w:name="_Ref72418027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6D2353">
        <w:t>4</w:t>
      </w:r>
      <w:r>
        <w:fldChar w:fldCharType="end"/>
      </w:r>
      <w:bookmarkEnd w:id="5"/>
      <w:r>
        <w:t>: Formulas for the 2018 income tax rate in Germany according to the German Income Tax Act in effect in 2018.</w:t>
      </w:r>
    </w:p>
    <w:tbl>
      <w:tblPr>
        <w:tblStyle w:val="Tabellenraster"/>
        <w:tblpPr w:leftFromText="141" w:rightFromText="141" w:vertAnchor="text" w:tblpY="1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2713"/>
        <w:gridCol w:w="3647"/>
      </w:tblGrid>
      <w:tr w:rsidR="001309DB" w:rsidRPr="00FA3C57" w14:paraId="07A38FF9" w14:textId="77777777" w:rsidTr="009A0D9F">
        <w:tc>
          <w:tcPr>
            <w:tcW w:w="2990" w:type="pct"/>
            <w:gridSpan w:val="2"/>
            <w:tcBorders>
              <w:top w:val="single" w:sz="12" w:space="0" w:color="auto"/>
              <w:bottom w:val="nil"/>
            </w:tcBorders>
          </w:tcPr>
          <w:p w14:paraId="37F7054A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Taxable income (TI)</w:t>
            </w:r>
          </w:p>
        </w:tc>
        <w:tc>
          <w:tcPr>
            <w:tcW w:w="2010" w:type="pct"/>
            <w:tcBorders>
              <w:top w:val="single" w:sz="12" w:space="0" w:color="auto"/>
              <w:bottom w:val="nil"/>
            </w:tcBorders>
          </w:tcPr>
          <w:p w14:paraId="1A92AA7F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309DB" w:rsidRPr="00FA3C57" w14:paraId="36662447" w14:textId="77777777" w:rsidTr="009A0D9F">
        <w:tc>
          <w:tcPr>
            <w:tcW w:w="1495" w:type="pct"/>
            <w:tcBorders>
              <w:top w:val="nil"/>
              <w:bottom w:val="single" w:sz="12" w:space="0" w:color="auto"/>
            </w:tcBorders>
          </w:tcPr>
          <w:p w14:paraId="28D70206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From</w:t>
            </w:r>
          </w:p>
        </w:tc>
        <w:tc>
          <w:tcPr>
            <w:tcW w:w="1495" w:type="pct"/>
            <w:tcBorders>
              <w:top w:val="nil"/>
              <w:bottom w:val="single" w:sz="12" w:space="0" w:color="auto"/>
            </w:tcBorders>
          </w:tcPr>
          <w:p w14:paraId="5B756D5B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To</w:t>
            </w:r>
          </w:p>
        </w:tc>
        <w:tc>
          <w:tcPr>
            <w:tcW w:w="2010" w:type="pct"/>
            <w:tcBorders>
              <w:top w:val="nil"/>
              <w:bottom w:val="single" w:sz="12" w:space="0" w:color="auto"/>
            </w:tcBorders>
          </w:tcPr>
          <w:p w14:paraId="42F11958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15AE">
              <w:rPr>
                <w:rFonts w:cs="Arial"/>
                <w:b/>
                <w:sz w:val="16"/>
                <w:szCs w:val="16"/>
              </w:rPr>
              <w:t>Income tax formula (results in €)</w:t>
            </w:r>
          </w:p>
        </w:tc>
      </w:tr>
      <w:tr w:rsidR="001309DB" w:rsidRPr="00FA3C57" w14:paraId="2D5628A2" w14:textId="77777777" w:rsidTr="009A0D9F">
        <w:tc>
          <w:tcPr>
            <w:tcW w:w="1495" w:type="pct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078A936F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495" w:type="pct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6A46C26B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9,000</w:t>
            </w:r>
          </w:p>
        </w:tc>
        <w:tc>
          <w:tcPr>
            <w:tcW w:w="2010" w:type="pct"/>
            <w:tcBorders>
              <w:top w:val="single" w:sz="12" w:space="0" w:color="auto"/>
              <w:bottom w:val="single" w:sz="4" w:space="0" w:color="A5A5A5" w:themeColor="accent3"/>
            </w:tcBorders>
          </w:tcPr>
          <w:p w14:paraId="379D6C72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Income tax = 0.0</m:t>
                </m:r>
              </m:oMath>
            </m:oMathPara>
          </w:p>
        </w:tc>
      </w:tr>
      <w:tr w:rsidR="001309DB" w:rsidRPr="00FA3C57" w14:paraId="07B753DB" w14:textId="77777777" w:rsidTr="009A0D9F">
        <w:tc>
          <w:tcPr>
            <w:tcW w:w="149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D6192CF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9,001</w:t>
            </w:r>
          </w:p>
        </w:tc>
        <w:tc>
          <w:tcPr>
            <w:tcW w:w="149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034A05BD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13,996</w:t>
            </w:r>
          </w:p>
        </w:tc>
        <w:tc>
          <w:tcPr>
            <w:tcW w:w="201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9CAE4C6" w14:textId="77777777" w:rsidR="001309DB" w:rsidRPr="002B15AE" w:rsidRDefault="001309DB" w:rsidP="009A0D9F">
            <w:pPr>
              <w:widowControl w:val="0"/>
              <w:spacing w:after="0"/>
              <w:jc w:val="left"/>
              <w:rPr>
                <w:rFonts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Income tax =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997.8*y+1,400</m:t>
                    </m:r>
                  </m:e>
                </m:d>
                <m:r>
                  <w:rPr>
                    <w:rFonts w:ascii="Cambria Math" w:hAnsi="Cambria Math" w:cs="Arial"/>
                    <w:sz w:val="16"/>
                    <w:szCs w:val="16"/>
                  </w:rPr>
                  <m:t>*y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w:br/>
                </m:r>
              </m:oMath>
            </m:oMathPara>
            <m:oMath>
              <m:r>
                <w:rPr>
                  <w:rFonts w:ascii="Cambria Math" w:hAnsi="Cambria Math" w:cs="Arial"/>
                  <w:sz w:val="16"/>
                  <w:szCs w:val="16"/>
                </w:rPr>
                <m:t>with y=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TI-9,000</m:t>
                  </m:r>
                </m:num>
                <m:den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10,000</m:t>
                  </m:r>
                </m:den>
              </m:f>
            </m:oMath>
            <w:r w:rsidRPr="002B15A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309DB" w:rsidRPr="00FA3C57" w14:paraId="2E2493A1" w14:textId="77777777" w:rsidTr="009A0D9F">
        <w:tc>
          <w:tcPr>
            <w:tcW w:w="149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F18AD76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13,997</w:t>
            </w:r>
          </w:p>
        </w:tc>
        <w:tc>
          <w:tcPr>
            <w:tcW w:w="149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0C3447D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54,949</w:t>
            </w:r>
          </w:p>
        </w:tc>
        <w:tc>
          <w:tcPr>
            <w:tcW w:w="201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E2720DD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Income tax =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220.13*z+2,397</m:t>
                    </m:r>
                  </m:e>
                </m:d>
                <m:r>
                  <w:rPr>
                    <w:rFonts w:ascii="Cambria Math" w:hAnsi="Cambria Math" w:cs="Arial"/>
                    <w:sz w:val="16"/>
                    <w:szCs w:val="16"/>
                  </w:rPr>
                  <m:t>*z+948.49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with z=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TI-13,996</m:t>
                    </m: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10,000</m:t>
                    </m:r>
                  </m:den>
                </m:f>
              </m:oMath>
            </m:oMathPara>
          </w:p>
        </w:tc>
      </w:tr>
      <w:tr w:rsidR="001309DB" w:rsidRPr="00FA3C57" w14:paraId="0BB6E6B0" w14:textId="77777777" w:rsidTr="009A0D9F">
        <w:tc>
          <w:tcPr>
            <w:tcW w:w="149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C405D0E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54,950</w:t>
            </w:r>
          </w:p>
        </w:tc>
        <w:tc>
          <w:tcPr>
            <w:tcW w:w="149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C3ECC8F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260,532</w:t>
            </w:r>
          </w:p>
        </w:tc>
        <w:tc>
          <w:tcPr>
            <w:tcW w:w="201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703A680E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Income tax =0.42*TI-8,621.75</m:t>
                </m:r>
              </m:oMath>
            </m:oMathPara>
          </w:p>
        </w:tc>
      </w:tr>
      <w:tr w:rsidR="001309DB" w:rsidRPr="00FA3C57" w14:paraId="640FFBE2" w14:textId="77777777" w:rsidTr="009A0D9F">
        <w:tc>
          <w:tcPr>
            <w:tcW w:w="1495" w:type="pct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02BC9C52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260,533</w:t>
            </w:r>
          </w:p>
        </w:tc>
        <w:tc>
          <w:tcPr>
            <w:tcW w:w="1495" w:type="pct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18C5B9FA" w14:textId="77777777" w:rsidR="001309DB" w:rsidRPr="002B15AE" w:rsidRDefault="001309DB" w:rsidP="009A0D9F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unlimited</w:t>
            </w:r>
          </w:p>
        </w:tc>
        <w:tc>
          <w:tcPr>
            <w:tcW w:w="2010" w:type="pct"/>
            <w:tcBorders>
              <w:top w:val="single" w:sz="4" w:space="0" w:color="A5A5A5" w:themeColor="accent3"/>
              <w:bottom w:val="single" w:sz="12" w:space="0" w:color="auto"/>
            </w:tcBorders>
          </w:tcPr>
          <w:p w14:paraId="747C6A89" w14:textId="77777777" w:rsidR="001309DB" w:rsidRPr="002B15AE" w:rsidRDefault="001309DB" w:rsidP="009A0D9F">
            <w:pPr>
              <w:widowControl w:val="0"/>
              <w:spacing w:after="0"/>
              <w:jc w:val="left"/>
              <w:rPr>
                <w:rFonts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Income tax =0.45*TI-16,437.7</m:t>
                </m:r>
              </m:oMath>
            </m:oMathPara>
          </w:p>
        </w:tc>
      </w:tr>
    </w:tbl>
    <w:p w14:paraId="543EFF84" w14:textId="77777777" w:rsidR="001309DB" w:rsidRDefault="001309DB" w:rsidP="001309DB">
      <w:pPr>
        <w:tabs>
          <w:tab w:val="left" w:pos="9903"/>
        </w:tabs>
      </w:pPr>
    </w:p>
    <w:p w14:paraId="0FDD52CF" w14:textId="2BE4174E" w:rsidR="001309DB" w:rsidRDefault="001309DB" w:rsidP="001309DB">
      <w:pPr>
        <w:pStyle w:val="Beschriftung"/>
        <w:keepNext/>
      </w:pPr>
      <w:bookmarkStart w:id="6" w:name="_Ref72418092"/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6D2353">
        <w:t>5</w:t>
      </w:r>
      <w:r>
        <w:fldChar w:fldCharType="end"/>
      </w:r>
      <w:bookmarkEnd w:id="6"/>
      <w:r>
        <w:t xml:space="preserve">: Difference in equivalent electricity consumption and </w:t>
      </w:r>
      <w:r w:rsidRPr="006D2390">
        <w:t xml:space="preserve">electricity expenditure </w:t>
      </w:r>
      <w:r>
        <w:t>compared to the real RES support levy in 2018 for (1) the case that the RES support levy</w:t>
      </w:r>
      <w:r w:rsidRPr="006D2390">
        <w:t xml:space="preserve"> had been abolished</w:t>
      </w:r>
      <w:r>
        <w:t>, (2) the case of an income-progressive levy, and (3) the case of a (high) flat levy with an income-degressive compensation payment.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0"/>
        <w:gridCol w:w="1394"/>
        <w:gridCol w:w="1394"/>
        <w:gridCol w:w="1393"/>
        <w:gridCol w:w="1393"/>
        <w:gridCol w:w="1393"/>
        <w:gridCol w:w="1395"/>
      </w:tblGrid>
      <w:tr w:rsidR="001309DB" w:rsidRPr="00FA3C57" w14:paraId="3B697850" w14:textId="77777777" w:rsidTr="009A0D9F">
        <w:trPr>
          <w:trHeight w:val="20"/>
        </w:trPr>
        <w:tc>
          <w:tcPr>
            <w:tcW w:w="391" w:type="pct"/>
            <w:tcBorders>
              <w:top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</w:tcPr>
          <w:p w14:paraId="38BE793C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36" w:type="pct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7E3DC8D0" w14:textId="77777777" w:rsidR="001309DB" w:rsidRPr="005C33BC" w:rsidRDefault="001309DB" w:rsidP="009A0D9F">
            <w:pPr>
              <w:spacing w:after="0"/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5C33BC">
              <w:rPr>
                <w:rFonts w:eastAsia="Arial" w:cs="Arial"/>
                <w:b/>
                <w:bCs/>
                <w:sz w:val="16"/>
                <w:szCs w:val="16"/>
              </w:rPr>
              <w:t>No levy</w:t>
            </w:r>
          </w:p>
        </w:tc>
        <w:tc>
          <w:tcPr>
            <w:tcW w:w="1536" w:type="pct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4DC17C" w14:textId="77777777" w:rsidR="001309DB" w:rsidRPr="00FA3C57" w:rsidRDefault="001309DB" w:rsidP="009A0D9F">
            <w:pPr>
              <w:spacing w:after="0"/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FA3C57">
              <w:rPr>
                <w:rFonts w:eastAsia="Arial" w:cs="Arial"/>
                <w:b/>
                <w:bCs/>
                <w:sz w:val="16"/>
                <w:szCs w:val="16"/>
              </w:rPr>
              <w:t>Income-progressive levy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</w:tcBorders>
          </w:tcPr>
          <w:p w14:paraId="79047781" w14:textId="77777777" w:rsidR="001309DB" w:rsidRPr="00FA3C57" w:rsidRDefault="001309DB" w:rsidP="009A0D9F">
            <w:pPr>
              <w:spacing w:after="0"/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FA3C57">
              <w:rPr>
                <w:rFonts w:eastAsia="Arial" w:cs="Arial"/>
                <w:b/>
                <w:bCs/>
                <w:sz w:val="16"/>
                <w:szCs w:val="16"/>
              </w:rPr>
              <w:t>Flat (high) levy with income-degressive compensation payment</w:t>
            </w:r>
          </w:p>
        </w:tc>
      </w:tr>
      <w:tr w:rsidR="001309DB" w:rsidRPr="00FA3C57" w14:paraId="2E3C5DDE" w14:textId="77777777" w:rsidTr="009A0D9F">
        <w:trPr>
          <w:trHeight w:val="20"/>
        </w:trPr>
        <w:tc>
          <w:tcPr>
            <w:tcW w:w="391" w:type="pct"/>
            <w:tcBorders>
              <w:top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583976FE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Income decile 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</w:tcBorders>
          </w:tcPr>
          <w:p w14:paraId="2F96D7A0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∆</m:t>
              </m:r>
            </m:oMath>
            <w:r w:rsidRPr="002B15AE">
              <w:rPr>
                <w:rFonts w:cs="Arial"/>
                <w:b/>
                <w:bCs/>
                <w:sz w:val="16"/>
                <w:szCs w:val="16"/>
              </w:rPr>
              <w:t xml:space="preserve">El. consumption </w:t>
            </w:r>
            <w:r w:rsidRPr="002B15AE">
              <w:rPr>
                <w:rFonts w:cs="Arial"/>
                <w:b/>
                <w:bCs/>
                <w:sz w:val="16"/>
                <w:szCs w:val="16"/>
              </w:rPr>
              <w:br/>
            </w: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kWh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household∙a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768" w:type="pct"/>
            <w:tcBorders>
              <w:top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48DAD770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∆</m:t>
              </m:r>
            </m:oMath>
            <w:r w:rsidRPr="002B15AE">
              <w:rPr>
                <w:rFonts w:eastAsiaTheme="minorEastAsia" w:cs="Arial"/>
                <w:b/>
                <w:bCs/>
                <w:sz w:val="16"/>
                <w:szCs w:val="16"/>
              </w:rPr>
              <w:t>E</w:t>
            </w:r>
            <w:r w:rsidRPr="002B15AE">
              <w:rPr>
                <w:rFonts w:cs="Arial"/>
                <w:b/>
                <w:bCs/>
                <w:sz w:val="16"/>
                <w:szCs w:val="16"/>
              </w:rPr>
              <w:t>l. expenditure</w:t>
            </w:r>
          </w:p>
          <w:p w14:paraId="0E87B404" w14:textId="77777777" w:rsidR="001309DB" w:rsidRPr="002B15AE" w:rsidRDefault="00D7725D" w:rsidP="009A0D9F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€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household∙a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0711A625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∆</m:t>
              </m:r>
            </m:oMath>
            <w:r w:rsidRPr="002B15AE">
              <w:rPr>
                <w:rFonts w:cs="Arial"/>
                <w:b/>
                <w:bCs/>
                <w:sz w:val="16"/>
                <w:szCs w:val="16"/>
              </w:rPr>
              <w:t xml:space="preserve">El. consumption </w:t>
            </w:r>
            <w:r w:rsidRPr="002B15AE">
              <w:rPr>
                <w:rFonts w:cs="Arial"/>
                <w:b/>
                <w:bCs/>
                <w:sz w:val="16"/>
                <w:szCs w:val="16"/>
              </w:rPr>
              <w:br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kWh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household∙a</m:t>
                      </m:r>
                    </m:den>
                  </m:f>
                </m:e>
              </m:d>
            </m:oMath>
            <w:r w:rsidRPr="002B15AE" w:rsidDel="00E12EC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4B1F7EC1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∆</m:t>
              </m:r>
            </m:oMath>
            <w:r w:rsidRPr="002B15AE">
              <w:rPr>
                <w:rFonts w:cs="Arial"/>
                <w:b/>
                <w:bCs/>
                <w:sz w:val="16"/>
                <w:szCs w:val="16"/>
              </w:rPr>
              <w:t>El. expenditure</w:t>
            </w:r>
            <w:r w:rsidRPr="002B15AE">
              <w:rPr>
                <w:rFonts w:cs="Arial"/>
                <w:b/>
                <w:bCs/>
                <w:sz w:val="16"/>
                <w:szCs w:val="16"/>
              </w:rPr>
              <w:br/>
            </w: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€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household∙a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</w:tcBorders>
          </w:tcPr>
          <w:p w14:paraId="124E9D7D" w14:textId="77777777" w:rsidR="001309DB" w:rsidRPr="005C33BC" w:rsidRDefault="001309DB" w:rsidP="009A0D9F">
            <w:pPr>
              <w:spacing w:after="0"/>
              <w:jc w:val="center"/>
              <w:rPr>
                <w:rFonts w:eastAsia="Arial" w:cs="Arial"/>
                <w:b/>
                <w:i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∆</m:t>
              </m:r>
            </m:oMath>
            <w:r w:rsidRPr="002B15AE">
              <w:rPr>
                <w:rFonts w:cs="Arial"/>
                <w:b/>
                <w:bCs/>
                <w:sz w:val="16"/>
                <w:szCs w:val="16"/>
              </w:rPr>
              <w:t xml:space="preserve">El. consumption </w:t>
            </w:r>
            <w:r w:rsidRPr="002B15AE">
              <w:rPr>
                <w:rFonts w:cs="Arial"/>
                <w:b/>
                <w:bCs/>
                <w:sz w:val="16"/>
                <w:szCs w:val="16"/>
              </w:rPr>
              <w:br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kWh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household∙a</m:t>
                      </m:r>
                    </m:den>
                  </m:f>
                </m:e>
              </m:d>
            </m:oMath>
            <w:r w:rsidRPr="002B15AE" w:rsidDel="00E12EC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  <w:bottom w:val="single" w:sz="12" w:space="0" w:color="auto"/>
            </w:tcBorders>
          </w:tcPr>
          <w:p w14:paraId="6CFC830C" w14:textId="77777777" w:rsidR="001309DB" w:rsidRPr="005C33BC" w:rsidRDefault="001309DB" w:rsidP="009A0D9F">
            <w:pPr>
              <w:spacing w:after="0"/>
              <w:jc w:val="center"/>
              <w:rPr>
                <w:rFonts w:eastAsia="Arial" w:cs="Arial"/>
                <w:b/>
                <w:i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∆</m:t>
              </m:r>
            </m:oMath>
            <w:r w:rsidRPr="002B15AE">
              <w:rPr>
                <w:rFonts w:cs="Arial"/>
                <w:b/>
                <w:bCs/>
                <w:sz w:val="16"/>
                <w:szCs w:val="16"/>
              </w:rPr>
              <w:t>El. expenditure</w:t>
            </w:r>
            <w:r w:rsidRPr="002B15AE">
              <w:rPr>
                <w:rFonts w:cs="Arial"/>
                <w:b/>
                <w:bCs/>
                <w:sz w:val="16"/>
                <w:szCs w:val="16"/>
              </w:rPr>
              <w:br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€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household∙a</m:t>
                      </m:r>
                    </m:den>
                  </m:f>
                </m:e>
              </m:d>
            </m:oMath>
            <w:r w:rsidRPr="002B15AE">
              <w:rPr>
                <w:rFonts w:eastAsiaTheme="minorEastAsia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309DB" w:rsidRPr="00FA3C57" w14:paraId="00D8C052" w14:textId="77777777" w:rsidTr="009A0D9F">
        <w:trPr>
          <w:trHeight w:val="20"/>
        </w:trPr>
        <w:tc>
          <w:tcPr>
            <w:tcW w:w="391" w:type="pct"/>
            <w:tcBorders>
              <w:top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E6E3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</w:tcBorders>
            <w:vAlign w:val="center"/>
          </w:tcPr>
          <w:p w14:paraId="144B791F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228.00</w:t>
            </w:r>
          </w:p>
        </w:tc>
        <w:tc>
          <w:tcPr>
            <w:tcW w:w="768" w:type="pct"/>
            <w:tcBorders>
              <w:top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2E7247E5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-95.64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E76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216.29</w:t>
            </w:r>
          </w:p>
        </w:tc>
        <w:tc>
          <w:tcPr>
            <w:tcW w:w="768" w:type="pct"/>
            <w:tcBorders>
              <w:top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86DBCC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-91.18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</w:tcBorders>
            <w:vAlign w:val="center"/>
          </w:tcPr>
          <w:p w14:paraId="78AAF88C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-336.29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BFBFBF" w:themeColor="background1" w:themeShade="BF"/>
            </w:tcBorders>
            <w:vAlign w:val="center"/>
          </w:tcPr>
          <w:p w14:paraId="520E1216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285.18</w:t>
            </w:r>
          </w:p>
        </w:tc>
      </w:tr>
      <w:tr w:rsidR="001309DB" w:rsidRPr="00FA3C57" w14:paraId="5186D325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6B39A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1734DC10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365.38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1EB0AD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-101.66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CDFEC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279.67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F726D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-80.04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659AED16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-518.32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386480D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294.13</w:t>
            </w:r>
          </w:p>
        </w:tc>
      </w:tr>
      <w:tr w:rsidR="001309DB" w:rsidRPr="00FA3C57" w14:paraId="19C8095C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3AA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41C66B4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516.68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09CC7FA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-91.09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0B1B0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307.70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9D8E1F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-56.07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962054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-702.11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071D368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255.03</w:t>
            </w:r>
          </w:p>
        </w:tc>
      </w:tr>
      <w:tr w:rsidR="001309DB" w:rsidRPr="00FA3C57" w14:paraId="449BE49C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BDA53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9937C12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496.67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A0B70D0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-114.12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3D732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214.26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9367EA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-50.21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1E06522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-691.78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738B5DD7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325.58</w:t>
            </w:r>
          </w:p>
        </w:tc>
      </w:tr>
      <w:tr w:rsidR="001309DB" w:rsidRPr="00FA3C57" w14:paraId="4E5E49E8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E16E8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6AE17AC6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565.18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72FFC7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-112.33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5F2F2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75F5D9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-28.13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C6547B3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-776.54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47C448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317.16</w:t>
            </w:r>
          </w:p>
        </w:tc>
      </w:tr>
      <w:tr w:rsidR="001309DB" w:rsidRPr="00FA3C57" w14:paraId="7144DA9E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3914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sz w:val="16"/>
                <w:szCs w:val="16"/>
                <w:lang w:val="de-DE"/>
              </w:rPr>
              <w:t>6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B08680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668.75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C8C352D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-106.54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0EE9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78.57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2EF333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-5.59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6534B029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-900.55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156FD6C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296.25</w:t>
            </w:r>
          </w:p>
        </w:tc>
      </w:tr>
      <w:tr w:rsidR="001309DB" w:rsidRPr="00FA3C57" w14:paraId="462816B7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3DD0D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sz w:val="16"/>
                <w:szCs w:val="16"/>
                <w:lang w:val="de-DE"/>
              </w:rPr>
              <w:t>7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52C42D17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784.37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B029E73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-89.24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58C7A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-27.28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6AF0F9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5AB5354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-1026.87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8A89350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242.91</w:t>
            </w:r>
          </w:p>
        </w:tc>
      </w:tr>
      <w:tr w:rsidR="001309DB" w:rsidRPr="00FA3C57" w14:paraId="3A1A2271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C3C3B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sz w:val="16"/>
                <w:szCs w:val="16"/>
                <w:lang w:val="de-DE"/>
              </w:rPr>
              <w:t>8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99F5D6F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790.62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1D00F11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-95.98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CB4D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-173.40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2A37C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44.35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AB3307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-1040.41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1FD14393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262.27</w:t>
            </w:r>
          </w:p>
        </w:tc>
      </w:tr>
      <w:tr w:rsidR="001309DB" w:rsidRPr="00FA3C57" w14:paraId="564A6F6C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10D6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sz w:val="16"/>
                <w:szCs w:val="16"/>
                <w:lang w:val="de-DE"/>
              </w:rPr>
              <w:lastRenderedPageBreak/>
              <w:t>9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59A95A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853.53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366C963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-91.66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C892F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-347.77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B7C6EA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75.21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056B5C8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-1112.43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9888B08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248.67</w:t>
            </w:r>
          </w:p>
        </w:tc>
      </w:tr>
      <w:tr w:rsidR="001309DB" w:rsidRPr="00FA3C57" w14:paraId="4C32376C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160F3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sz w:val="16"/>
                <w:szCs w:val="16"/>
                <w:lang w:val="de-DE"/>
              </w:rPr>
              <w:t>10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4A10EE2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900.19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68DC1B1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-94.48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C489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-690.51</w:t>
            </w:r>
          </w:p>
        </w:tc>
        <w:tc>
          <w:tcPr>
            <w:tcW w:w="768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8A9A69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4526CC9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-1171.19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9242F2B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255.96</w:t>
            </w:r>
          </w:p>
        </w:tc>
      </w:tr>
      <w:tr w:rsidR="001309DB" w:rsidRPr="00FA3C57" w14:paraId="65620FF7" w14:textId="77777777" w:rsidTr="009A0D9F">
        <w:trPr>
          <w:trHeight w:val="20"/>
        </w:trPr>
        <w:tc>
          <w:tcPr>
            <w:tcW w:w="391" w:type="pct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509EB" w14:textId="77777777" w:rsidR="001309DB" w:rsidRPr="002B15AE" w:rsidRDefault="001309DB" w:rsidP="009A0D9F">
            <w:pPr>
              <w:spacing w:after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2B15AE">
              <w:rPr>
                <w:rFonts w:cs="Arial"/>
                <w:sz w:val="16"/>
                <w:szCs w:val="16"/>
                <w:lang w:val="de-DE"/>
              </w:rPr>
              <w:t>Average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33DA547D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618.38</w:t>
            </w:r>
          </w:p>
        </w:tc>
        <w:tc>
          <w:tcPr>
            <w:tcW w:w="768" w:type="pct"/>
            <w:tcBorders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14:paraId="59E80A43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-99.28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E97CA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68" w:type="pct"/>
            <w:tcBorders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1E5FE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791114C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-829.46</w:t>
            </w:r>
          </w:p>
        </w:tc>
        <w:tc>
          <w:tcPr>
            <w:tcW w:w="768" w:type="pct"/>
            <w:tcBorders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3516A27" w14:textId="77777777" w:rsidR="001309DB" w:rsidRPr="002B15AE" w:rsidRDefault="001309DB" w:rsidP="009A0D9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2B15AE">
              <w:rPr>
                <w:rFonts w:cs="Arial"/>
                <w:color w:val="000000"/>
                <w:sz w:val="16"/>
                <w:szCs w:val="16"/>
              </w:rPr>
              <w:t>278.27</w:t>
            </w:r>
          </w:p>
        </w:tc>
      </w:tr>
    </w:tbl>
    <w:p w14:paraId="7E0B609A" w14:textId="77777777" w:rsidR="001309DB" w:rsidRDefault="001309DB" w:rsidP="001309DB">
      <w:pPr>
        <w:tabs>
          <w:tab w:val="left" w:pos="9903"/>
        </w:tabs>
      </w:pPr>
    </w:p>
    <w:p w14:paraId="1585FE0B" w14:textId="77777777" w:rsidR="001309DB" w:rsidRDefault="001309DB" w:rsidP="001309DB">
      <w:pPr>
        <w:keepNext/>
        <w:tabs>
          <w:tab w:val="left" w:pos="9903"/>
        </w:tabs>
      </w:pPr>
      <w:r w:rsidRPr="00076E86">
        <w:rPr>
          <w:lang w:val="de-DE" w:eastAsia="de-DE"/>
        </w:rPr>
        <w:t xml:space="preserve"> </w:t>
      </w:r>
      <w:r w:rsidRPr="00076E86">
        <w:rPr>
          <w:lang w:val="de-DE" w:eastAsia="de-DE"/>
        </w:rPr>
        <w:drawing>
          <wp:inline distT="0" distB="0" distL="0" distR="0" wp14:anchorId="4390FA9B" wp14:editId="2BEADDAF">
            <wp:extent cx="5760720" cy="2258695"/>
            <wp:effectExtent l="0" t="0" r="0" b="8255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F967B" w14:textId="6E4A466A" w:rsidR="001309DB" w:rsidRDefault="001309DB" w:rsidP="001309DB">
      <w:pPr>
        <w:pStyle w:val="Beschriftung"/>
      </w:pPr>
      <w:bookmarkStart w:id="7" w:name="_Ref67480331"/>
      <w:r>
        <w:t xml:space="preserve">Supplementary Figure </w:t>
      </w:r>
      <w:r>
        <w:fldChar w:fldCharType="begin"/>
      </w:r>
      <w:r>
        <w:instrText xml:space="preserve"> SEQ Supplementary_Figure \* ARABIC </w:instrText>
      </w:r>
      <w:r>
        <w:fldChar w:fldCharType="separate"/>
      </w:r>
      <w:r w:rsidR="006D2353">
        <w:t>1</w:t>
      </w:r>
      <w:r>
        <w:fldChar w:fldCharType="end"/>
      </w:r>
      <w:bookmarkEnd w:id="7"/>
      <w:r>
        <w:t xml:space="preserve">: </w:t>
      </w:r>
      <w:r w:rsidRPr="00DA3B5E">
        <w:rPr>
          <w:rFonts w:cs="Arial"/>
          <w:b/>
        </w:rPr>
        <w:t xml:space="preserve">Development of the </w:t>
      </w:r>
      <w:r w:rsidRPr="00DA3B5E">
        <w:rPr>
          <w:b/>
        </w:rPr>
        <w:t xml:space="preserve">private </w:t>
      </w:r>
      <w:r w:rsidRPr="00DA3B5E">
        <w:rPr>
          <w:rFonts w:cs="Arial"/>
          <w:b/>
        </w:rPr>
        <w:t>household average cost of electricity.</w:t>
      </w:r>
      <w:r>
        <w:rPr>
          <w:rFonts w:cs="Arial"/>
        </w:rPr>
        <w:t xml:space="preserve"> Average costs are given in €-ct per kWh and stated separately for different price</w:t>
      </w:r>
      <w:r w:rsidRPr="00B06048">
        <w:rPr>
          <w:rFonts w:cs="Arial"/>
        </w:rPr>
        <w:t xml:space="preserve"> component</w:t>
      </w:r>
      <w:r>
        <w:rPr>
          <w:rFonts w:cs="Arial"/>
        </w:rPr>
        <w:t xml:space="preserve">s. </w:t>
      </w:r>
      <w:r w:rsidRPr="00DA3B5E">
        <w:rPr>
          <w:rFonts w:cs="Arial"/>
        </w:rPr>
        <w:t>Average cost represents the annual e</w:t>
      </w:r>
      <w:r>
        <w:rPr>
          <w:rFonts w:cs="Arial"/>
        </w:rPr>
        <w:t>lectricity expenditure (including base</w:t>
      </w:r>
      <w:r w:rsidRPr="00DA3B5E">
        <w:rPr>
          <w:rFonts w:cs="Arial"/>
        </w:rPr>
        <w:t xml:space="preserve"> and </w:t>
      </w:r>
      <w:r>
        <w:rPr>
          <w:rFonts w:cs="Arial"/>
        </w:rPr>
        <w:t>operating price)</w:t>
      </w:r>
      <w:r w:rsidRPr="00DA3B5E">
        <w:rPr>
          <w:rFonts w:cs="Arial"/>
        </w:rPr>
        <w:t xml:space="preserve"> divided by the annual consumption. </w:t>
      </w:r>
      <w:r>
        <w:rPr>
          <w:rFonts w:cs="Arial"/>
        </w:rPr>
        <w:t xml:space="preserve">The data is shown for the </w:t>
      </w:r>
      <w:r w:rsidRPr="00E04F51">
        <w:rPr>
          <w:rFonts w:cs="Arial"/>
        </w:rPr>
        <w:t>annual consumption</w:t>
      </w:r>
      <w:r>
        <w:rPr>
          <w:rFonts w:cs="Arial"/>
        </w:rPr>
        <w:t xml:space="preserve"> of</w:t>
      </w:r>
      <w:r w:rsidRPr="00E04F51">
        <w:rPr>
          <w:rFonts w:cs="Arial"/>
        </w:rPr>
        <w:t xml:space="preserve"> 3500</w:t>
      </w:r>
      <w:r>
        <w:rPr>
          <w:rFonts w:cs="Arial"/>
        </w:rPr>
        <w:t xml:space="preserve"> </w:t>
      </w:r>
      <w:r w:rsidRPr="00E04F51">
        <w:rPr>
          <w:rFonts w:cs="Arial"/>
        </w:rPr>
        <w:t>kWh</w:t>
      </w:r>
      <w:r>
        <w:rPr>
          <w:rFonts w:cs="Arial"/>
        </w:rPr>
        <w:t>.</w:t>
      </w:r>
    </w:p>
    <w:p w14:paraId="63ECC625" w14:textId="77777777" w:rsidR="001309DB" w:rsidRDefault="001309DB" w:rsidP="001309DB">
      <w:pPr>
        <w:pStyle w:val="Beschriftung"/>
        <w:keepNext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  <w:gridCol w:w="4606"/>
      </w:tblGrid>
      <w:tr w:rsidR="001309DB" w14:paraId="1CDA3B35" w14:textId="77777777" w:rsidTr="009A0D9F">
        <w:tc>
          <w:tcPr>
            <w:tcW w:w="4524" w:type="dxa"/>
            <w:tcMar>
              <w:left w:w="0" w:type="dxa"/>
              <w:right w:w="0" w:type="dxa"/>
            </w:tcMar>
          </w:tcPr>
          <w:p w14:paraId="0D7A7500" w14:textId="77777777" w:rsidR="001309DB" w:rsidRDefault="001309DB" w:rsidP="009A0D9F">
            <w:pPr>
              <w:widowControl w:val="0"/>
            </w:pPr>
            <w:r w:rsidRPr="00E173C3">
              <w:rPr>
                <w:lang w:val="de-DE"/>
              </w:rPr>
              <w:drawing>
                <wp:inline distT="0" distB="0" distL="0" distR="0" wp14:anchorId="6C474017" wp14:editId="04729112">
                  <wp:extent cx="2844000" cy="2199040"/>
                  <wp:effectExtent l="0" t="0" r="0" b="0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0" cy="219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  <w:tcMar>
              <w:left w:w="0" w:type="dxa"/>
              <w:right w:w="0" w:type="dxa"/>
            </w:tcMar>
          </w:tcPr>
          <w:p w14:paraId="2DE748A2" w14:textId="77777777" w:rsidR="001309DB" w:rsidRDefault="001309DB" w:rsidP="009A0D9F">
            <w:pPr>
              <w:widowControl w:val="0"/>
            </w:pPr>
            <w:r w:rsidRPr="00E173C3">
              <w:rPr>
                <w:lang w:val="de-DE"/>
              </w:rPr>
              <w:drawing>
                <wp:inline distT="0" distB="0" distL="0" distR="0" wp14:anchorId="3A34036E" wp14:editId="78746D06">
                  <wp:extent cx="2844000" cy="2199040"/>
                  <wp:effectExtent l="0" t="0" r="0" b="0"/>
                  <wp:docPr id="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0" cy="219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DB" w14:paraId="53758AA2" w14:textId="77777777" w:rsidTr="009A0D9F">
        <w:tc>
          <w:tcPr>
            <w:tcW w:w="4524" w:type="dxa"/>
            <w:tcMar>
              <w:left w:w="0" w:type="dxa"/>
              <w:right w:w="0" w:type="dxa"/>
            </w:tcMar>
          </w:tcPr>
          <w:p w14:paraId="7B1E173F" w14:textId="77777777" w:rsidR="001309DB" w:rsidRDefault="001309DB" w:rsidP="009A0D9F">
            <w:pPr>
              <w:widowControl w:val="0"/>
              <w:jc w:val="left"/>
            </w:pPr>
            <w:r w:rsidRPr="00E173C3">
              <w:rPr>
                <w:lang w:val="de-DE"/>
              </w:rPr>
              <w:lastRenderedPageBreak/>
              <w:drawing>
                <wp:inline distT="0" distB="0" distL="0" distR="0" wp14:anchorId="258765C2" wp14:editId="56579094">
                  <wp:extent cx="2844000" cy="2199040"/>
                  <wp:effectExtent l="0" t="0" r="0" b="0"/>
                  <wp:docPr id="2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0" cy="219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</w:tcPr>
          <w:p w14:paraId="4C6ED887" w14:textId="77777777" w:rsidR="001309DB" w:rsidRDefault="001309DB" w:rsidP="009A0D9F">
            <w:pPr>
              <w:keepNext/>
              <w:widowControl w:val="0"/>
            </w:pPr>
            <w:r>
              <w:rPr>
                <w:lang w:val="de-DE"/>
              </w:rPr>
              <w:drawing>
                <wp:inline distT="0" distB="0" distL="0" distR="0" wp14:anchorId="78525414" wp14:editId="09708D10">
                  <wp:extent cx="2844000" cy="2196257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0" cy="2196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44FA7" w14:textId="0162EFB6" w:rsidR="001309DB" w:rsidRDefault="001309DB" w:rsidP="001309DB">
      <w:pPr>
        <w:pStyle w:val="Beschriftung"/>
      </w:pPr>
      <w:bookmarkStart w:id="8" w:name="_Ref65771813"/>
      <w:r>
        <w:t xml:space="preserve">Supplementary Figure </w:t>
      </w:r>
      <w:r>
        <w:fldChar w:fldCharType="begin"/>
      </w:r>
      <w:r>
        <w:instrText xml:space="preserve"> SEQ Supplementary_Figure \* ARABIC </w:instrText>
      </w:r>
      <w:r>
        <w:fldChar w:fldCharType="separate"/>
      </w:r>
      <w:r w:rsidR="006D2353">
        <w:t>2</w:t>
      </w:r>
      <w:r>
        <w:fldChar w:fldCharType="end"/>
      </w:r>
      <w:bookmarkEnd w:id="8"/>
      <w:r w:rsidRPr="007952EF">
        <w:rPr>
          <w:b/>
        </w:rPr>
        <w:t>: Indicators for expenditures on energy efficiency measures and revenues from own generation.</w:t>
      </w:r>
      <w:r>
        <w:t xml:space="preserve"> Expenditures and revenues are given in inflation-adjusted 2003 prices. </w:t>
      </w:r>
      <w:r>
        <w:rPr>
          <w:rFonts w:cs="Arial"/>
        </w:rPr>
        <w:t>Private households are grouped</w:t>
      </w:r>
      <w:r w:rsidRPr="00CB6ACC">
        <w:rPr>
          <w:rFonts w:cs="Arial"/>
        </w:rPr>
        <w:t xml:space="preserve"> </w:t>
      </w:r>
      <w:r>
        <w:rPr>
          <w:rFonts w:cs="Arial"/>
        </w:rPr>
        <w:t>into income decile</w:t>
      </w:r>
      <w:r w:rsidR="00911B37">
        <w:rPr>
          <w:rFonts w:cs="Arial"/>
        </w:rPr>
        <w:t>s</w:t>
      </w:r>
      <w:r>
        <w:rPr>
          <w:rFonts w:cs="Arial"/>
        </w:rPr>
        <w:t xml:space="preserve"> according to the OECD equivalence scale.</w:t>
      </w:r>
      <w:r>
        <w:t xml:space="preserve"> *Data for 2003 on revenues from solar PV is not available in the ICS data set.</w:t>
      </w:r>
    </w:p>
    <w:p w14:paraId="40809B99" w14:textId="77777777" w:rsidR="001309DB" w:rsidRDefault="001309DB" w:rsidP="001309DB">
      <w:pPr>
        <w:pStyle w:val="Beschriftung"/>
        <w:keepNext/>
        <w:rPr>
          <w:i/>
          <w:iCs w:val="0"/>
          <w:color w:val="auto"/>
          <w:sz w:val="22"/>
          <w:szCs w:val="22"/>
        </w:rPr>
      </w:pPr>
    </w:p>
    <w:p w14:paraId="20DE25EF" w14:textId="56C5AB36" w:rsidR="001309DB" w:rsidRDefault="001309DB" w:rsidP="001309DB">
      <w:pPr>
        <w:pStyle w:val="Beschriftung"/>
        <w:keepNext/>
      </w:pPr>
      <w:bookmarkStart w:id="9" w:name="_Ref77947396"/>
      <w:r>
        <w:t xml:space="preserve">Supplementary Equation </w:t>
      </w:r>
      <w:r>
        <w:fldChar w:fldCharType="begin"/>
      </w:r>
      <w:r>
        <w:instrText xml:space="preserve"> SEQ Supplementary_Equation \* ARABIC </w:instrText>
      </w:r>
      <w:r>
        <w:fldChar w:fldCharType="separate"/>
      </w:r>
      <w:r w:rsidR="006D2353">
        <w:t>1</w:t>
      </w:r>
      <w:r>
        <w:fldChar w:fldCharType="end"/>
      </w:r>
      <w:bookmarkEnd w:id="9"/>
      <w:r>
        <w:t>:</w:t>
      </w:r>
      <w:r w:rsidRPr="00F477B0">
        <w:t xml:space="preserve"> </w:t>
      </w:r>
      <w:r>
        <w:t>Average cost</w:t>
      </w:r>
      <w:r w:rsidRPr="00CF0FF8">
        <w:t xml:space="preserve">-expenditures function </w:t>
      </w:r>
      <w:r>
        <w:t>2003.</w:t>
      </w:r>
    </w:p>
    <w:p w14:paraId="05620424" w14:textId="77777777" w:rsidR="001309DB" w:rsidRPr="00181FFC" w:rsidRDefault="00D7725D" w:rsidP="001309DB">
      <w:pPr>
        <w:widowControl w:val="0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el</m:t>
              </m:r>
            </m:sub>
            <m:sup>
              <m:r>
                <w:rPr>
                  <w:rFonts w:ascii="Cambria Math" w:hAnsi="Cambria Math"/>
                </w:rPr>
                <m:t>2003S1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-0.000547154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+0.35126465,      &amp;0≤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&lt;254.45</m:t>
                  </m:r>
                </m:e>
                <m:e>
                  <m:r>
                    <w:rPr>
                      <w:rFonts w:ascii="Cambria Math" w:hAnsi="Cambria Math"/>
                    </w:rPr>
                    <m:t>-0.000120115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+0.242604652,      &amp;254.45≤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&lt;597.8</m:t>
                  </m:r>
                </m:e>
                <m:e>
                  <m:r>
                    <w:rPr>
                      <w:rFonts w:ascii="Cambria Math" w:hAnsi="Cambria Math"/>
                    </w:rPr>
                    <m:t>-0.0000221478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+0.184039969,      &amp;597.8≤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&lt;1,183.68</m:t>
                  </m:r>
                </m:e>
                <m:e>
                  <m:r>
                    <w:rPr>
                      <w:rFonts w:ascii="Cambria Math" w:hAnsi="Cambria Math"/>
                    </w:rPr>
                    <m:t>-0.0000812312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+0.25397577,      &amp;1,183.68≤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&lt;1,935.33</m:t>
                  </m:r>
                </m:e>
                <m:e>
                  <m:r>
                    <w:rPr>
                      <w:rFonts w:ascii="Cambria Math" w:hAnsi="Cambria Math"/>
                    </w:rPr>
                    <m:t>0.096766549,      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≥1,935.33</m:t>
                  </m:r>
                </m:e>
              </m:eqArr>
            </m:e>
          </m:d>
        </m:oMath>
      </m:oMathPara>
    </w:p>
    <w:p w14:paraId="1C45830A" w14:textId="77777777" w:rsidR="001309DB" w:rsidRDefault="001309DB" w:rsidP="001309DB">
      <w:pPr>
        <w:widowControl w:val="0"/>
        <w:rPr>
          <w:rFonts w:eastAsiaTheme="minorEastAsia"/>
        </w:rPr>
      </w:pPr>
    </w:p>
    <w:p w14:paraId="6A3DBDD1" w14:textId="55FB6144" w:rsidR="001309DB" w:rsidRPr="00A67B9D" w:rsidRDefault="00D7725D" w:rsidP="002B15AE">
      <w:pPr>
        <w:widowControl w:val="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el</m:t>
              </m:r>
            </m:sub>
            <m:sup>
              <m:r>
                <w:rPr>
                  <w:rFonts w:ascii="Cambria Math" w:hAnsi="Cambria Math"/>
                </w:rPr>
                <m:t>2003S2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-0.000547154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+0.347974115,      &amp;0≤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&lt;252.07 </m:t>
                  </m:r>
                </m:e>
                <m:e>
                  <m:r>
                    <w:rPr>
                      <w:rFonts w:ascii="Cambria Math" w:hAnsi="Cambria Math"/>
                    </w:rPr>
                    <m:t>-0.000120115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+0.240332009,      &amp;252.07≤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&lt;592.2    </m:t>
                  </m:r>
                </m:e>
                <m:e>
                  <m:r>
                    <w:rPr>
                      <w:rFonts w:ascii="Cambria Math" w:hAnsi="Cambria Math"/>
                    </w:rPr>
                    <m:t>-0.0000221478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+0.182315941,      &amp;592.2≤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&lt;1,172.59 </m:t>
                  </m:r>
                </m:e>
                <m:e>
                  <m:r>
                    <w:rPr>
                      <w:rFonts w:ascii="Cambria Math" w:hAnsi="Cambria Math"/>
                    </w:rPr>
                    <m:t>-0.0000812312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+0.251596606,      &amp;1,172.59≤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&lt;1,917.2    </m:t>
                  </m:r>
                </m:e>
                <m:e>
                  <m:r>
                    <w:rPr>
                      <w:rFonts w:ascii="Cambria Math" w:hAnsi="Cambria Math"/>
                    </w:rPr>
                    <m:t>0.095860071,      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≥1,917.2</m:t>
                  </m:r>
                </m:e>
              </m:eqArr>
            </m:e>
          </m:d>
        </m:oMath>
      </m:oMathPara>
    </w:p>
    <w:p w14:paraId="5DA7F967" w14:textId="271D67FF" w:rsidR="001309DB" w:rsidRDefault="001309DB" w:rsidP="001309DB">
      <w:pPr>
        <w:pStyle w:val="Beschriftung"/>
        <w:keepNext/>
      </w:pPr>
      <w:bookmarkStart w:id="10" w:name="_Ref77947405"/>
      <w:r>
        <w:t xml:space="preserve">Supplementary Equation </w:t>
      </w:r>
      <w:r>
        <w:fldChar w:fldCharType="begin"/>
      </w:r>
      <w:r>
        <w:instrText xml:space="preserve"> SEQ Supplementary_Equation \* ARABIC </w:instrText>
      </w:r>
      <w:r>
        <w:fldChar w:fldCharType="separate"/>
      </w:r>
      <w:r w:rsidR="006D2353">
        <w:t>2</w:t>
      </w:r>
      <w:r>
        <w:fldChar w:fldCharType="end"/>
      </w:r>
      <w:bookmarkEnd w:id="10"/>
      <w:r>
        <w:t>:</w:t>
      </w:r>
      <w:r w:rsidRPr="00F477B0">
        <w:t xml:space="preserve"> </w:t>
      </w:r>
      <w:r>
        <w:t>Average cost</w:t>
      </w:r>
      <w:r w:rsidRPr="00CF0FF8">
        <w:t xml:space="preserve">-expenditures function </w:t>
      </w:r>
      <w:r>
        <w:t>2018.</w:t>
      </w:r>
    </w:p>
    <w:p w14:paraId="1017D5A3" w14:textId="77777777" w:rsidR="001309DB" w:rsidRPr="004B0301" w:rsidRDefault="00D7725D" w:rsidP="001309DB">
      <w:pPr>
        <w:tabs>
          <w:tab w:val="left" w:pos="9903"/>
        </w:tabs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el</m:t>
              </m:r>
            </m:sub>
            <m:sup>
              <m:r>
                <w:rPr>
                  <w:rFonts w:ascii="Cambria Math" w:hAnsi="Cambria Math"/>
                </w:rPr>
                <m:t>2018S1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-0.00040864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+0.569764429,      &amp;0≤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&lt;581.35 </m:t>
                  </m:r>
                </m:e>
                <m:e>
                  <m:r>
                    <w:rPr>
                      <w:rFonts w:ascii="Cambria Math" w:hAnsi="Cambria Math"/>
                    </w:rPr>
                    <m:t>-0.00006218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+0.368347232,      &amp;581.35≤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&lt;1,120.13    </m:t>
                  </m:r>
                </m:e>
                <m:e>
                  <m:r>
                    <w:rPr>
                      <w:rFonts w:ascii="Cambria Math" w:hAnsi="Cambria Math"/>
                    </w:rPr>
                    <m:t>-0.00001146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+0.311540600,      &amp;1,120.13≤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&lt;2,795 </m:t>
                  </m:r>
                </m:e>
                <m:e>
                  <m:r>
                    <w:rPr>
                      <w:rFonts w:ascii="Cambria Math" w:hAnsi="Cambria Math"/>
                    </w:rPr>
                    <m:t>-0.00001062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+0.309177312,      &amp;2,795≤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&lt;4,000.5    </m:t>
                  </m:r>
                </m:e>
                <m:e>
                  <m:r>
                    <w:rPr>
                      <w:rFonts w:ascii="Cambria Math" w:hAnsi="Cambria Math"/>
                    </w:rPr>
                    <m:t>0.2667,      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≥4,000.5</m:t>
                  </m:r>
                </m:e>
              </m:eqArr>
            </m:e>
          </m:d>
        </m:oMath>
      </m:oMathPara>
    </w:p>
    <w:p w14:paraId="7E8C8B93" w14:textId="5AD9F303" w:rsidR="000A4ECF" w:rsidRPr="00151DD7" w:rsidRDefault="00D7725D" w:rsidP="00151DD7">
      <w:pPr>
        <w:tabs>
          <w:tab w:val="left" w:pos="9903"/>
        </w:tabs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el</m:t>
              </m:r>
            </m:sub>
            <m:sup>
              <m:r>
                <w:rPr>
                  <w:rFonts w:ascii="Cambria Math" w:hAnsi="Cambria Math"/>
                </w:rPr>
                <m:t>2018S2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-0.00040813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+0.572893645,      &amp;0≤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&lt;584.85 </m:t>
                  </m:r>
                </m:e>
                <m:e>
                  <m:r>
                    <w:rPr>
                      <w:rFonts w:ascii="Cambria Math" w:hAnsi="Cambria Math"/>
                    </w:rPr>
                    <m:t>-0.00006332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+0.371230214,      &amp;584.85≤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&lt;1,125    </m:t>
                  </m:r>
                </m:e>
                <m:e>
                  <m:r>
                    <w:rPr>
                      <w:rFonts w:ascii="Cambria Math" w:hAnsi="Cambria Math"/>
                    </w:rPr>
                    <m:t>-0.00001161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+0.313058036,      &amp;1,125≤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&lt;2,805 </m:t>
                  </m:r>
                </m:e>
                <m:e>
                  <m:r>
                    <w:rPr>
                      <w:rFonts w:ascii="Cambria Math" w:hAnsi="Cambria Math"/>
                    </w:rPr>
                    <m:t>-0.00001943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+0.334998619,      &amp;2,805≤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&lt;3,891    </m:t>
                  </m:r>
                </m:e>
                <m:e>
                  <m:r>
                    <w:rPr>
                      <w:rFonts w:ascii="Cambria Math" w:hAnsi="Cambria Math"/>
                    </w:rPr>
                    <m:t>0.2594,      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≥3,891</m:t>
                  </m:r>
                </m:e>
              </m:eqArr>
            </m:e>
          </m:d>
        </m:oMath>
      </m:oMathPara>
    </w:p>
    <w:sectPr w:rsidR="000A4ECF" w:rsidRPr="00151DD7" w:rsidSect="009A0D9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466F3" w14:textId="77777777" w:rsidR="00D7725D" w:rsidRDefault="00D7725D">
      <w:pPr>
        <w:spacing w:after="0" w:line="240" w:lineRule="auto"/>
      </w:pPr>
      <w:r>
        <w:separator/>
      </w:r>
    </w:p>
  </w:endnote>
  <w:endnote w:type="continuationSeparator" w:id="0">
    <w:p w14:paraId="1D5BEDEA" w14:textId="77777777" w:rsidR="00D7725D" w:rsidRDefault="00D7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763C0" w14:textId="77777777" w:rsidR="00D7725D" w:rsidRDefault="00D7725D">
      <w:pPr>
        <w:spacing w:after="0" w:line="240" w:lineRule="auto"/>
      </w:pPr>
      <w:r>
        <w:separator/>
      </w:r>
    </w:p>
  </w:footnote>
  <w:footnote w:type="continuationSeparator" w:id="0">
    <w:p w14:paraId="704FEC46" w14:textId="77777777" w:rsidR="00D7725D" w:rsidRDefault="00D7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39164"/>
      <w:docPartObj>
        <w:docPartGallery w:val="Page Numbers (Top of Page)"/>
        <w:docPartUnique/>
      </w:docPartObj>
    </w:sdtPr>
    <w:sdtEndPr/>
    <w:sdtContent>
      <w:p w14:paraId="03588367" w14:textId="65074FAB" w:rsidR="00727527" w:rsidRDefault="00727527" w:rsidP="009A0D9F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353" w:rsidRPr="006D2353">
          <w:rPr>
            <w:lang w:val="de-DE"/>
          </w:rPr>
          <w:t>4</w:t>
        </w:r>
        <w:r>
          <w:fldChar w:fldCharType="end"/>
        </w:r>
      </w:p>
    </w:sdtContent>
  </w:sdt>
  <w:p w14:paraId="75B5B804" w14:textId="77777777" w:rsidR="00727527" w:rsidRDefault="00727527" w:rsidP="009A0D9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BC4"/>
    <w:multiLevelType w:val="hybridMultilevel"/>
    <w:tmpl w:val="BC361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B2"/>
    <w:multiLevelType w:val="hybridMultilevel"/>
    <w:tmpl w:val="BF76A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8BA"/>
    <w:multiLevelType w:val="hybridMultilevel"/>
    <w:tmpl w:val="90C080F6"/>
    <w:lvl w:ilvl="0" w:tplc="F56602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575C"/>
    <w:multiLevelType w:val="hybridMultilevel"/>
    <w:tmpl w:val="3EE66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CC2"/>
    <w:multiLevelType w:val="hybridMultilevel"/>
    <w:tmpl w:val="F41E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B90"/>
    <w:multiLevelType w:val="hybridMultilevel"/>
    <w:tmpl w:val="DA4E72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96FE0"/>
    <w:multiLevelType w:val="multilevel"/>
    <w:tmpl w:val="E1DC3C3C"/>
    <w:styleLink w:val="Formatvorlage1"/>
    <w:lvl w:ilvl="0">
      <w:start w:val="1"/>
      <w:numFmt w:val="decimal"/>
      <w:lvlText w:val="Option %1:"/>
      <w:lvlJc w:val="left"/>
      <w:pPr>
        <w:tabs>
          <w:tab w:val="num" w:pos="284"/>
        </w:tabs>
        <w:ind w:left="1418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C108F8"/>
    <w:multiLevelType w:val="hybridMultilevel"/>
    <w:tmpl w:val="BF14FB6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266F"/>
    <w:multiLevelType w:val="hybridMultilevel"/>
    <w:tmpl w:val="63C05470"/>
    <w:lvl w:ilvl="0" w:tplc="7988D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40907"/>
    <w:multiLevelType w:val="hybridMultilevel"/>
    <w:tmpl w:val="E916829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C25F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7C0571"/>
    <w:multiLevelType w:val="multilevel"/>
    <w:tmpl w:val="E1DC3C3C"/>
    <w:numStyleLink w:val="Formatvorlage1"/>
  </w:abstractNum>
  <w:abstractNum w:abstractNumId="12" w15:restartNumberingAfterBreak="0">
    <w:nsid w:val="54AE6C80"/>
    <w:multiLevelType w:val="hybridMultilevel"/>
    <w:tmpl w:val="D09A578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950E8"/>
    <w:multiLevelType w:val="hybridMultilevel"/>
    <w:tmpl w:val="7E4A5AF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B3911"/>
    <w:multiLevelType w:val="hybridMultilevel"/>
    <w:tmpl w:val="EF3C9694"/>
    <w:lvl w:ilvl="0" w:tplc="956E41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02653"/>
    <w:multiLevelType w:val="hybridMultilevel"/>
    <w:tmpl w:val="D2CC6F72"/>
    <w:lvl w:ilvl="0" w:tplc="385C7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7AF"/>
    <w:multiLevelType w:val="hybridMultilevel"/>
    <w:tmpl w:val="E9342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25656"/>
    <w:multiLevelType w:val="hybridMultilevel"/>
    <w:tmpl w:val="EF3A086C"/>
    <w:lvl w:ilvl="0" w:tplc="072EE25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D57E82"/>
    <w:multiLevelType w:val="hybridMultilevel"/>
    <w:tmpl w:val="74542202"/>
    <w:lvl w:ilvl="0" w:tplc="FAECF56E">
      <w:start w:val="7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954D0"/>
    <w:multiLevelType w:val="hybridMultilevel"/>
    <w:tmpl w:val="D940028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01154"/>
    <w:multiLevelType w:val="hybridMultilevel"/>
    <w:tmpl w:val="397E12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75C3A"/>
    <w:multiLevelType w:val="hybridMultilevel"/>
    <w:tmpl w:val="98E4065E"/>
    <w:lvl w:ilvl="0" w:tplc="072EE2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34547"/>
    <w:multiLevelType w:val="hybridMultilevel"/>
    <w:tmpl w:val="6896A812"/>
    <w:lvl w:ilvl="0" w:tplc="452E8ACE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11CD2"/>
    <w:multiLevelType w:val="hybridMultilevel"/>
    <w:tmpl w:val="C23E723E"/>
    <w:lvl w:ilvl="0" w:tplc="38740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0F1D4">
      <w:start w:val="14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8F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82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C8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227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80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E4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CC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377B7D"/>
    <w:multiLevelType w:val="hybridMultilevel"/>
    <w:tmpl w:val="7B504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16B59"/>
    <w:multiLevelType w:val="multilevel"/>
    <w:tmpl w:val="E1DC3C3C"/>
    <w:numStyleLink w:val="Formatvorlage1"/>
  </w:abstractNum>
  <w:num w:numId="1">
    <w:abstractNumId w:val="10"/>
  </w:num>
  <w:num w:numId="2">
    <w:abstractNumId w:val="0"/>
  </w:num>
  <w:num w:numId="3">
    <w:abstractNumId w:val="13"/>
  </w:num>
  <w:num w:numId="4">
    <w:abstractNumId w:val="21"/>
  </w:num>
  <w:num w:numId="5">
    <w:abstractNumId w:val="5"/>
  </w:num>
  <w:num w:numId="6">
    <w:abstractNumId w:val="1"/>
  </w:num>
  <w:num w:numId="7">
    <w:abstractNumId w:val="3"/>
  </w:num>
  <w:num w:numId="8">
    <w:abstractNumId w:val="17"/>
  </w:num>
  <w:num w:numId="9">
    <w:abstractNumId w:val="18"/>
  </w:num>
  <w:num w:numId="10">
    <w:abstractNumId w:val="8"/>
  </w:num>
  <w:num w:numId="11">
    <w:abstractNumId w:val="15"/>
  </w:num>
  <w:num w:numId="12">
    <w:abstractNumId w:val="23"/>
  </w:num>
  <w:num w:numId="13">
    <w:abstractNumId w:val="16"/>
  </w:num>
  <w:num w:numId="14">
    <w:abstractNumId w:val="24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9"/>
  </w:num>
  <w:num w:numId="20">
    <w:abstractNumId w:val="12"/>
  </w:num>
  <w:num w:numId="21">
    <w:abstractNumId w:val="19"/>
  </w:num>
  <w:num w:numId="22">
    <w:abstractNumId w:val="22"/>
  </w:num>
  <w:num w:numId="23">
    <w:abstractNumId w:val="7"/>
  </w:num>
  <w:num w:numId="24">
    <w:abstractNumId w:val="6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TEysDAyNTG3NDZV0lEKTi0uzszPAykwNK4FAN3Ywe8tAAAA"/>
  </w:docVars>
  <w:rsids>
    <w:rsidRoot w:val="00474EB3"/>
    <w:rsid w:val="00001D92"/>
    <w:rsid w:val="00034D3A"/>
    <w:rsid w:val="00041961"/>
    <w:rsid w:val="0005765F"/>
    <w:rsid w:val="000620D7"/>
    <w:rsid w:val="000635C5"/>
    <w:rsid w:val="00066151"/>
    <w:rsid w:val="00067D9F"/>
    <w:rsid w:val="00097539"/>
    <w:rsid w:val="000A4ECF"/>
    <w:rsid w:val="00116A5A"/>
    <w:rsid w:val="00120613"/>
    <w:rsid w:val="00121C2D"/>
    <w:rsid w:val="001309DB"/>
    <w:rsid w:val="00142BC3"/>
    <w:rsid w:val="00147FE3"/>
    <w:rsid w:val="00151DD7"/>
    <w:rsid w:val="001B5FFF"/>
    <w:rsid w:val="001F49DD"/>
    <w:rsid w:val="00224D9A"/>
    <w:rsid w:val="00250303"/>
    <w:rsid w:val="002565A1"/>
    <w:rsid w:val="00263232"/>
    <w:rsid w:val="00274EC7"/>
    <w:rsid w:val="00292979"/>
    <w:rsid w:val="002B15AE"/>
    <w:rsid w:val="002C620B"/>
    <w:rsid w:val="002C65BF"/>
    <w:rsid w:val="003022FB"/>
    <w:rsid w:val="00305670"/>
    <w:rsid w:val="003220CF"/>
    <w:rsid w:val="00342EC8"/>
    <w:rsid w:val="003B5162"/>
    <w:rsid w:val="003C0119"/>
    <w:rsid w:val="003C6116"/>
    <w:rsid w:val="003D02F5"/>
    <w:rsid w:val="004151F3"/>
    <w:rsid w:val="00416C6D"/>
    <w:rsid w:val="00437D34"/>
    <w:rsid w:val="00444FFE"/>
    <w:rsid w:val="00456729"/>
    <w:rsid w:val="004714C5"/>
    <w:rsid w:val="00474EB3"/>
    <w:rsid w:val="00483551"/>
    <w:rsid w:val="004A04CD"/>
    <w:rsid w:val="004B1A6B"/>
    <w:rsid w:val="004C665D"/>
    <w:rsid w:val="004E658A"/>
    <w:rsid w:val="004F0A4F"/>
    <w:rsid w:val="004F3790"/>
    <w:rsid w:val="005111EE"/>
    <w:rsid w:val="00527F2B"/>
    <w:rsid w:val="00534AFE"/>
    <w:rsid w:val="005417C7"/>
    <w:rsid w:val="00554AFE"/>
    <w:rsid w:val="0056397B"/>
    <w:rsid w:val="005674F3"/>
    <w:rsid w:val="00582F39"/>
    <w:rsid w:val="00587C5B"/>
    <w:rsid w:val="005977AB"/>
    <w:rsid w:val="005A7D5F"/>
    <w:rsid w:val="005B19D1"/>
    <w:rsid w:val="005B5609"/>
    <w:rsid w:val="005C33BC"/>
    <w:rsid w:val="005C6414"/>
    <w:rsid w:val="005D4A12"/>
    <w:rsid w:val="005D5591"/>
    <w:rsid w:val="00627877"/>
    <w:rsid w:val="00630F29"/>
    <w:rsid w:val="00670EE9"/>
    <w:rsid w:val="00673991"/>
    <w:rsid w:val="00690B69"/>
    <w:rsid w:val="006B4BA1"/>
    <w:rsid w:val="006B741B"/>
    <w:rsid w:val="006C520E"/>
    <w:rsid w:val="006C5547"/>
    <w:rsid w:val="006D2353"/>
    <w:rsid w:val="00713069"/>
    <w:rsid w:val="00727527"/>
    <w:rsid w:val="00735D4F"/>
    <w:rsid w:val="0077585C"/>
    <w:rsid w:val="007818B3"/>
    <w:rsid w:val="007D3A9B"/>
    <w:rsid w:val="007D44A6"/>
    <w:rsid w:val="007E11D7"/>
    <w:rsid w:val="007F3653"/>
    <w:rsid w:val="00825E8E"/>
    <w:rsid w:val="0083050B"/>
    <w:rsid w:val="00865F2D"/>
    <w:rsid w:val="00877DFA"/>
    <w:rsid w:val="008A4FAE"/>
    <w:rsid w:val="008B1625"/>
    <w:rsid w:val="008B5BAB"/>
    <w:rsid w:val="008B70F0"/>
    <w:rsid w:val="008F0B73"/>
    <w:rsid w:val="00902EA6"/>
    <w:rsid w:val="00911B37"/>
    <w:rsid w:val="009165D8"/>
    <w:rsid w:val="00917EED"/>
    <w:rsid w:val="009217F5"/>
    <w:rsid w:val="00926362"/>
    <w:rsid w:val="0097536A"/>
    <w:rsid w:val="00982AFF"/>
    <w:rsid w:val="00986FAB"/>
    <w:rsid w:val="00995980"/>
    <w:rsid w:val="009A0D9F"/>
    <w:rsid w:val="009A18AC"/>
    <w:rsid w:val="009E6484"/>
    <w:rsid w:val="009F195E"/>
    <w:rsid w:val="009F5AA4"/>
    <w:rsid w:val="00A044FB"/>
    <w:rsid w:val="00A11C8D"/>
    <w:rsid w:val="00A16C94"/>
    <w:rsid w:val="00A434B8"/>
    <w:rsid w:val="00A60F70"/>
    <w:rsid w:val="00A6495A"/>
    <w:rsid w:val="00A74AFA"/>
    <w:rsid w:val="00A74E70"/>
    <w:rsid w:val="00AB2BE6"/>
    <w:rsid w:val="00AB47BD"/>
    <w:rsid w:val="00AB48AB"/>
    <w:rsid w:val="00AB776B"/>
    <w:rsid w:val="00AD0F1E"/>
    <w:rsid w:val="00AD58DC"/>
    <w:rsid w:val="00AE78FD"/>
    <w:rsid w:val="00AF3C14"/>
    <w:rsid w:val="00B35F96"/>
    <w:rsid w:val="00B36C53"/>
    <w:rsid w:val="00B424BB"/>
    <w:rsid w:val="00B71FE8"/>
    <w:rsid w:val="00B741FB"/>
    <w:rsid w:val="00BB4A28"/>
    <w:rsid w:val="00C06A11"/>
    <w:rsid w:val="00C20EBC"/>
    <w:rsid w:val="00C23E58"/>
    <w:rsid w:val="00C2437A"/>
    <w:rsid w:val="00C30BA3"/>
    <w:rsid w:val="00C35BB4"/>
    <w:rsid w:val="00C46100"/>
    <w:rsid w:val="00C57B80"/>
    <w:rsid w:val="00C74AA8"/>
    <w:rsid w:val="00CA45FF"/>
    <w:rsid w:val="00CA7C85"/>
    <w:rsid w:val="00CB07BB"/>
    <w:rsid w:val="00D15C83"/>
    <w:rsid w:val="00D22163"/>
    <w:rsid w:val="00D22234"/>
    <w:rsid w:val="00D2243D"/>
    <w:rsid w:val="00D26C85"/>
    <w:rsid w:val="00D320E6"/>
    <w:rsid w:val="00D36B2E"/>
    <w:rsid w:val="00D53496"/>
    <w:rsid w:val="00D53668"/>
    <w:rsid w:val="00D7725D"/>
    <w:rsid w:val="00DB6080"/>
    <w:rsid w:val="00DC2895"/>
    <w:rsid w:val="00DD1B25"/>
    <w:rsid w:val="00DE010D"/>
    <w:rsid w:val="00DE0BAB"/>
    <w:rsid w:val="00E22EF6"/>
    <w:rsid w:val="00E23231"/>
    <w:rsid w:val="00E56514"/>
    <w:rsid w:val="00E74E97"/>
    <w:rsid w:val="00E853B9"/>
    <w:rsid w:val="00E8619A"/>
    <w:rsid w:val="00EC7AC4"/>
    <w:rsid w:val="00ED53A8"/>
    <w:rsid w:val="00EF6D37"/>
    <w:rsid w:val="00F0255D"/>
    <w:rsid w:val="00F03262"/>
    <w:rsid w:val="00F12BF6"/>
    <w:rsid w:val="00F20938"/>
    <w:rsid w:val="00F26448"/>
    <w:rsid w:val="00F304BA"/>
    <w:rsid w:val="00F515BF"/>
    <w:rsid w:val="00F51C3B"/>
    <w:rsid w:val="00F85331"/>
    <w:rsid w:val="00F93489"/>
    <w:rsid w:val="00FA3C57"/>
    <w:rsid w:val="00FC061D"/>
    <w:rsid w:val="00FC2574"/>
    <w:rsid w:val="00FC3E2D"/>
    <w:rsid w:val="00FC798B"/>
    <w:rsid w:val="00FD3999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4953"/>
  <w15:chartTrackingRefBased/>
  <w15:docId w15:val="{0C4BA812-095B-4B5C-BE7C-0175FEDA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09DB"/>
    <w:pPr>
      <w:spacing w:after="120" w:line="360" w:lineRule="auto"/>
      <w:jc w:val="both"/>
    </w:pPr>
    <w:rPr>
      <w:rFonts w:ascii="Arial" w:hAnsi="Arial"/>
      <w:noProof/>
      <w:lang w:val="en-US"/>
    </w:rPr>
  </w:style>
  <w:style w:type="paragraph" w:styleId="berschrift1">
    <w:name w:val="heading 1"/>
    <w:basedOn w:val="Standard"/>
    <w:link w:val="berschrift1Zchn"/>
    <w:uiPriority w:val="9"/>
    <w:qFormat/>
    <w:rsid w:val="001309DB"/>
    <w:pPr>
      <w:numPr>
        <w:numId w:val="1"/>
      </w:numPr>
      <w:spacing w:line="240" w:lineRule="auto"/>
      <w:ind w:left="431" w:hanging="431"/>
      <w:outlineLvl w:val="0"/>
    </w:pPr>
    <w:rPr>
      <w:rFonts w:eastAsia="Times New Roman" w:cs="Times New Roman"/>
      <w:b/>
      <w:bCs/>
      <w:kern w:val="36"/>
      <w:sz w:val="26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09DB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09DB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09D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309D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309D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309D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309D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309D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9DB"/>
    <w:rPr>
      <w:rFonts w:ascii="Arial" w:eastAsia="Times New Roman" w:hAnsi="Arial" w:cs="Times New Roman"/>
      <w:b/>
      <w:bCs/>
      <w:noProof/>
      <w:kern w:val="36"/>
      <w:sz w:val="26"/>
      <w:szCs w:val="4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09DB"/>
    <w:rPr>
      <w:rFonts w:ascii="Arial" w:eastAsiaTheme="majorEastAsia" w:hAnsi="Arial" w:cstheme="majorBidi"/>
      <w:b/>
      <w:noProof/>
      <w:sz w:val="24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09DB"/>
    <w:rPr>
      <w:rFonts w:ascii="Arial" w:eastAsiaTheme="majorEastAsia" w:hAnsi="Arial" w:cstheme="majorBidi"/>
      <w:b/>
      <w:noProof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09DB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09DB"/>
    <w:rPr>
      <w:rFonts w:asciiTheme="majorHAnsi" w:eastAsiaTheme="majorEastAsia" w:hAnsiTheme="majorHAnsi" w:cstheme="majorBidi"/>
      <w:noProof/>
      <w:color w:val="2E74B5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309DB"/>
    <w:rPr>
      <w:rFonts w:asciiTheme="majorHAnsi" w:eastAsiaTheme="majorEastAsia" w:hAnsiTheme="majorHAnsi" w:cstheme="majorBidi"/>
      <w:noProof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309DB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309DB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309DB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US"/>
    </w:rPr>
  </w:style>
  <w:style w:type="paragraph" w:styleId="Listenabsatz">
    <w:name w:val="List Paragraph"/>
    <w:basedOn w:val="Standard"/>
    <w:uiPriority w:val="34"/>
    <w:qFormat/>
    <w:rsid w:val="001309DB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1309D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309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309DB"/>
    <w:rPr>
      <w:rFonts w:ascii="Arial" w:hAnsi="Arial"/>
      <w:noProof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309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309DB"/>
    <w:rPr>
      <w:rFonts w:ascii="Arial" w:hAnsi="Arial"/>
      <w:b/>
      <w:bCs/>
      <w:noProof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semiHidden/>
    <w:unhideWhenUsed/>
    <w:rsid w:val="0013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309DB"/>
    <w:rPr>
      <w:rFonts w:ascii="Segoe UI" w:hAnsi="Segoe UI" w:cs="Segoe UI"/>
      <w:noProof/>
      <w:sz w:val="18"/>
      <w:szCs w:val="18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1309DB"/>
    <w:pPr>
      <w:spacing w:after="200" w:line="240" w:lineRule="auto"/>
    </w:pPr>
    <w:rPr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rsid w:val="00130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09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09DB"/>
    <w:rPr>
      <w:rFonts w:ascii="Arial" w:hAnsi="Arial"/>
      <w:noProof/>
      <w:lang w:val="en-US"/>
    </w:rPr>
  </w:style>
  <w:style w:type="paragraph" w:styleId="Fuzeile">
    <w:name w:val="footer"/>
    <w:basedOn w:val="Standard"/>
    <w:link w:val="FuzeileZchn"/>
    <w:unhideWhenUsed/>
    <w:rsid w:val="001309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309DB"/>
    <w:rPr>
      <w:rFonts w:ascii="Arial" w:hAnsi="Arial"/>
      <w:noProof/>
      <w:lang w:val="en-US"/>
    </w:rPr>
  </w:style>
  <w:style w:type="paragraph" w:styleId="Literaturverzeichnis">
    <w:name w:val="Bibliography"/>
    <w:basedOn w:val="Standard"/>
    <w:next w:val="Standard"/>
    <w:uiPriority w:val="37"/>
    <w:unhideWhenUsed/>
    <w:rsid w:val="001309DB"/>
    <w:pPr>
      <w:tabs>
        <w:tab w:val="left" w:pos="384"/>
      </w:tabs>
      <w:spacing w:after="0" w:line="480" w:lineRule="auto"/>
      <w:ind w:left="384" w:hanging="384"/>
    </w:pPr>
  </w:style>
  <w:style w:type="paragraph" w:styleId="Titel">
    <w:name w:val="Title"/>
    <w:basedOn w:val="Standard"/>
    <w:next w:val="Standard"/>
    <w:link w:val="TitelZchn"/>
    <w:uiPriority w:val="10"/>
    <w:qFormat/>
    <w:rsid w:val="00130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09D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character" w:customStyle="1" w:styleId="title-text">
    <w:name w:val="title-text"/>
    <w:basedOn w:val="Absatz-Standardschriftart"/>
    <w:rsid w:val="001309DB"/>
  </w:style>
  <w:style w:type="paragraph" w:styleId="Funotentext">
    <w:name w:val="footnote text"/>
    <w:basedOn w:val="Standard"/>
    <w:link w:val="FunotentextZchn"/>
    <w:semiHidden/>
    <w:unhideWhenUsed/>
    <w:rsid w:val="001309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309DB"/>
    <w:rPr>
      <w:rFonts w:ascii="Arial" w:hAnsi="Arial"/>
      <w:noProof/>
      <w:sz w:val="20"/>
      <w:szCs w:val="20"/>
      <w:lang w:val="en-US"/>
    </w:rPr>
  </w:style>
  <w:style w:type="character" w:styleId="Funotenzeichen">
    <w:name w:val="footnote reference"/>
    <w:basedOn w:val="Absatz-Standardschriftart"/>
    <w:semiHidden/>
    <w:unhideWhenUsed/>
    <w:rsid w:val="001309DB"/>
    <w:rPr>
      <w:vertAlign w:val="superscript"/>
    </w:rPr>
  </w:style>
  <w:style w:type="paragraph" w:styleId="KeinLeerraum">
    <w:name w:val="No Spacing"/>
    <w:uiPriority w:val="1"/>
    <w:qFormat/>
    <w:rsid w:val="001309DB"/>
    <w:pPr>
      <w:spacing w:after="0" w:line="240" w:lineRule="auto"/>
    </w:pPr>
    <w:rPr>
      <w:rFonts w:ascii="Arial" w:hAnsi="Arial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1309DB"/>
    <w:rPr>
      <w:color w:val="808080"/>
    </w:rPr>
  </w:style>
  <w:style w:type="paragraph" w:styleId="berarbeitung">
    <w:name w:val="Revision"/>
    <w:hidden/>
    <w:uiPriority w:val="99"/>
    <w:semiHidden/>
    <w:rsid w:val="001309DB"/>
    <w:pPr>
      <w:spacing w:after="0" w:line="240" w:lineRule="auto"/>
    </w:pPr>
    <w:rPr>
      <w:rFonts w:ascii="Arial" w:hAnsi="Arial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1309D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309DB"/>
    <w:rPr>
      <w:color w:val="0000FF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309DB"/>
    <w:pPr>
      <w:spacing w:after="0" w:line="240" w:lineRule="auto"/>
      <w:ind w:left="220" w:hanging="220"/>
    </w:pPr>
  </w:style>
  <w:style w:type="table" w:styleId="EinfacheTabelle2">
    <w:name w:val="Plain Table 2"/>
    <w:basedOn w:val="NormaleTabelle"/>
    <w:uiPriority w:val="42"/>
    <w:rsid w:val="001309DB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Verzeichnis1">
    <w:name w:val="toc 1"/>
    <w:basedOn w:val="Standard"/>
    <w:next w:val="Standard"/>
    <w:autoRedefine/>
    <w:uiPriority w:val="39"/>
    <w:rsid w:val="001309DB"/>
    <w:pPr>
      <w:tabs>
        <w:tab w:val="left" w:pos="567"/>
        <w:tab w:val="right" w:leader="dot" w:pos="9071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rsid w:val="001309DB"/>
    <w:pPr>
      <w:tabs>
        <w:tab w:val="left" w:pos="1134"/>
        <w:tab w:val="right" w:leader="dot" w:pos="9071"/>
      </w:tabs>
      <w:spacing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rsid w:val="001309DB"/>
    <w:pPr>
      <w:tabs>
        <w:tab w:val="left" w:pos="1440"/>
        <w:tab w:val="right" w:leader="dot" w:pos="9061"/>
      </w:tabs>
      <w:spacing w:line="240" w:lineRule="auto"/>
      <w:ind w:left="1843" w:hanging="709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1309DB"/>
  </w:style>
  <w:style w:type="character" w:styleId="BesuchterLink">
    <w:name w:val="FollowedHyperlink"/>
    <w:rsid w:val="001309DB"/>
    <w:rPr>
      <w:color w:val="800080"/>
      <w:u w:val="single"/>
    </w:rPr>
  </w:style>
  <w:style w:type="character" w:styleId="Hervorhebung">
    <w:name w:val="Emphasis"/>
    <w:uiPriority w:val="20"/>
    <w:qFormat/>
    <w:rsid w:val="001309DB"/>
    <w:rPr>
      <w:i/>
      <w:iCs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309DB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1309DB"/>
    <w:pPr>
      <w:shd w:val="clear" w:color="auto" w:fill="000080"/>
      <w:spacing w:line="240" w:lineRule="auto"/>
    </w:pPr>
    <w:rPr>
      <w:rFonts w:ascii="Tahoma" w:eastAsia="Times New Roman" w:hAnsi="Tahoma" w:cs="Tahoma"/>
      <w:noProof w:val="0"/>
      <w:sz w:val="20"/>
      <w:szCs w:val="20"/>
      <w:lang w:val="de-DE" w:eastAsia="de-DE"/>
    </w:rPr>
  </w:style>
  <w:style w:type="character" w:customStyle="1" w:styleId="DokumentstrukturZchn1">
    <w:name w:val="Dokumentstruktur Zchn1"/>
    <w:basedOn w:val="Absatz-Standardschriftart"/>
    <w:uiPriority w:val="99"/>
    <w:semiHidden/>
    <w:rsid w:val="001309DB"/>
    <w:rPr>
      <w:rFonts w:ascii="Segoe UI" w:hAnsi="Segoe UI" w:cs="Segoe UI"/>
      <w:noProof/>
      <w:sz w:val="16"/>
      <w:szCs w:val="16"/>
      <w:lang w:val="en-US"/>
    </w:rPr>
  </w:style>
  <w:style w:type="paragraph" w:styleId="Abbildungsverzeichnis">
    <w:name w:val="table of figures"/>
    <w:basedOn w:val="Standard"/>
    <w:next w:val="Standard"/>
    <w:uiPriority w:val="99"/>
    <w:rsid w:val="001309DB"/>
    <w:pPr>
      <w:spacing w:line="240" w:lineRule="auto"/>
      <w:ind w:left="964" w:hanging="964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rsid w:val="0013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TitelseiteTypderArbeit">
    <w:name w:val="Titelseite Typ der Arbeit"/>
    <w:basedOn w:val="Standard"/>
    <w:rsid w:val="001309DB"/>
    <w:pPr>
      <w:spacing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de-DE" w:eastAsia="de-DE"/>
    </w:rPr>
  </w:style>
  <w:style w:type="paragraph" w:customStyle="1" w:styleId="TitelseiteLehrstuhlname">
    <w:name w:val="Titelseite Lehrstuhlname"/>
    <w:basedOn w:val="Standard"/>
    <w:rsid w:val="001309DB"/>
    <w:pPr>
      <w:spacing w:line="240" w:lineRule="auto"/>
      <w:jc w:val="center"/>
    </w:pPr>
    <w:rPr>
      <w:rFonts w:ascii="Times New Roman" w:eastAsia="Times New Roman" w:hAnsi="Times New Roman" w:cs="Times New Roman"/>
      <w:sz w:val="40"/>
      <w:szCs w:val="20"/>
      <w:lang w:val="de-DE" w:eastAsia="de-DE"/>
    </w:rPr>
  </w:style>
  <w:style w:type="paragraph" w:customStyle="1" w:styleId="TitelseiteUniname">
    <w:name w:val="Titelseite Uniname"/>
    <w:basedOn w:val="Standard"/>
    <w:rsid w:val="001309DB"/>
    <w:pPr>
      <w:spacing w:line="240" w:lineRule="auto"/>
      <w:jc w:val="center"/>
    </w:pPr>
    <w:rPr>
      <w:rFonts w:ascii="Times New Roman" w:eastAsia="Times New Roman" w:hAnsi="Times New Roman" w:cs="Times New Roman"/>
      <w:sz w:val="52"/>
      <w:szCs w:val="20"/>
      <w:lang w:val="de-DE" w:eastAsia="de-DE"/>
    </w:rPr>
  </w:style>
  <w:style w:type="paragraph" w:customStyle="1" w:styleId="TitelseiteTitelderArbeit">
    <w:name w:val="Titelseite Titel der Arbeit"/>
    <w:basedOn w:val="Standard"/>
    <w:rsid w:val="001309DB"/>
    <w:pPr>
      <w:spacing w:line="240" w:lineRule="auto"/>
      <w:jc w:val="center"/>
    </w:pPr>
    <w:rPr>
      <w:rFonts w:ascii="Times New Roman" w:eastAsia="Times New Roman" w:hAnsi="Times New Roman" w:cs="Times New Roman"/>
      <w:sz w:val="56"/>
      <w:szCs w:val="20"/>
      <w:lang w:val="de-DE" w:eastAsia="de-DE"/>
    </w:rPr>
  </w:style>
  <w:style w:type="paragraph" w:customStyle="1" w:styleId="TitelseiteNamedesProfessors">
    <w:name w:val="Titelseite Name des Professors"/>
    <w:basedOn w:val="Standard"/>
    <w:rsid w:val="001309DB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erschrift1KeineNummer">
    <w:name w:val="Überschrift 1 Keine Nummer"/>
    <w:basedOn w:val="berschrift1"/>
    <w:rsid w:val="001309DB"/>
    <w:pPr>
      <w:keepNext/>
      <w:numPr>
        <w:numId w:val="0"/>
      </w:numPr>
      <w:spacing w:before="120"/>
    </w:pPr>
    <w:rPr>
      <w:rFonts w:ascii="Times New Roman" w:hAnsi="Times New Roman"/>
      <w:kern w:val="28"/>
      <w:sz w:val="28"/>
      <w:szCs w:val="20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1309DB"/>
    <w:pPr>
      <w:widowControl w:val="0"/>
      <w:autoSpaceDE w:val="0"/>
      <w:autoSpaceDN w:val="0"/>
      <w:spacing w:line="240" w:lineRule="auto"/>
    </w:pPr>
    <w:rPr>
      <w:rFonts w:eastAsia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1309DB"/>
    <w:rPr>
      <w:rFonts w:ascii="Arial" w:eastAsia="Arial" w:hAnsi="Arial" w:cs="Arial"/>
      <w:noProof/>
      <w:lang w:val="en-US"/>
    </w:rPr>
  </w:style>
  <w:style w:type="character" w:customStyle="1" w:styleId="apple-converted-space">
    <w:name w:val="apple-converted-space"/>
    <w:basedOn w:val="Absatz-Standardschriftart"/>
    <w:rsid w:val="001309DB"/>
  </w:style>
  <w:style w:type="paragraph" w:customStyle="1" w:styleId="Literaturverzeichnis1">
    <w:name w:val="Literaturverzeichnis1"/>
    <w:basedOn w:val="Standard"/>
    <w:rsid w:val="001309DB"/>
    <w:pPr>
      <w:spacing w:line="48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EinfacheTabelle1">
    <w:name w:val="Plain Table 1"/>
    <w:basedOn w:val="NormaleTabelle"/>
    <w:uiPriority w:val="41"/>
    <w:rsid w:val="001309DB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1309DB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1309DB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1309DB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1309DB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309DB"/>
    <w:rPr>
      <w:color w:val="605E5C"/>
      <w:shd w:val="clear" w:color="auto" w:fill="E1DFDD"/>
    </w:rPr>
  </w:style>
  <w:style w:type="numbering" w:customStyle="1" w:styleId="Formatvorlage1">
    <w:name w:val="Formatvorlage1"/>
    <w:uiPriority w:val="99"/>
    <w:rsid w:val="0092636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979F-4CE8-4697-B485-F25A35C0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Energy Research Center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Priesmann, Jan</dc:creator>
  <cp:keywords/>
  <dc:description/>
  <cp:lastModifiedBy>Priesmann, Jan</cp:lastModifiedBy>
  <cp:revision>8</cp:revision>
  <cp:lastPrinted>2021-07-27T09:54:00Z</cp:lastPrinted>
  <dcterms:created xsi:type="dcterms:W3CDTF">2021-07-27T09:24:00Z</dcterms:created>
  <dcterms:modified xsi:type="dcterms:W3CDTF">2021-07-27T10:10:00Z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id="hZtmCQ1g"/&gt;&lt;style id="http://www.zotero.org/styles/nature" hasBibliography="1" bibliographyStyleHasBeenSet="1"/&gt;&lt;prefs&gt;&lt;pref name="fieldType" value="Field"/&gt;&lt;/prefs&gt;&lt;/data&gt;</vt:lpwstr>
  </property>
</Properties>
</file>