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6291B" w14:textId="77777777" w:rsidR="00351451" w:rsidRDefault="00351451" w:rsidP="00351451">
      <w:pPr>
        <w:spacing w:line="276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Graphical abstract: </w:t>
      </w:r>
      <w:r>
        <w:rPr>
          <w:rFonts w:ascii="Times New Roman" w:hAnsi="Times New Roman"/>
          <w:sz w:val="20"/>
          <w:szCs w:val="20"/>
        </w:rPr>
        <w:t>Study of 12,029 participants links SHR to mortality via nonlinear associations, validated by Cox regression and machine learning models.</w:t>
      </w:r>
    </w:p>
    <w:p w14:paraId="2772765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51"/>
    <w:rsid w:val="00030D59"/>
    <w:rsid w:val="00351451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C6F3"/>
  <w15:chartTrackingRefBased/>
  <w15:docId w15:val="{9CE29F58-BF5F-44EC-A3D1-BC29D8E03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451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45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145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45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45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45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45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45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45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45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4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14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4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4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4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4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4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4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4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45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4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45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4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45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4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45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4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45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4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4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2025-10-06T03:25:00Z</dcterms:created>
  <dcterms:modified xsi:type="dcterms:W3CDTF">2025-10-06T03:25:00Z</dcterms:modified>
</cp:coreProperties>
</file>