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B61ED6" w14:textId="77777777" w:rsidR="00415D42" w:rsidRDefault="00B34F05" w:rsidP="00D71832">
      <w:pPr>
        <w:spacing w:line="480" w:lineRule="auto"/>
        <w:rPr>
          <w:rFonts w:ascii="Arial" w:hAnsi="Arial" w:cs="Arial"/>
          <w:b/>
          <w:bCs/>
          <w:color w:val="000000" w:themeColor="text1"/>
          <w:kern w:val="24"/>
        </w:rPr>
      </w:pPr>
      <w:r>
        <w:rPr>
          <w:rFonts w:ascii="Arial" w:hAnsi="Arial" w:cs="Arial"/>
          <w:b/>
          <w:bCs/>
          <w:noProof/>
          <w:color w:val="000000" w:themeColor="text1"/>
          <w:kern w:val="24"/>
        </w:rPr>
        <w:drawing>
          <wp:inline distT="0" distB="0" distL="0" distR="0" wp14:anchorId="618C4363" wp14:editId="7A59E51F">
            <wp:extent cx="4857750" cy="83502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835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913D47" w14:textId="77777777" w:rsidR="00415D42" w:rsidRDefault="00415D42" w:rsidP="00D71832">
      <w:pPr>
        <w:spacing w:line="480" w:lineRule="auto"/>
        <w:rPr>
          <w:rFonts w:ascii="Arial" w:hAnsi="Arial" w:cs="Arial"/>
          <w:b/>
          <w:bCs/>
          <w:color w:val="000000" w:themeColor="text1"/>
          <w:kern w:val="24"/>
        </w:rPr>
      </w:pPr>
    </w:p>
    <w:p w14:paraId="730D52F0" w14:textId="1BC9CB84" w:rsidR="00D71832" w:rsidRPr="00B403BE" w:rsidRDefault="00D71832" w:rsidP="00D71832">
      <w:pPr>
        <w:spacing w:line="480" w:lineRule="auto"/>
      </w:pPr>
      <w:r w:rsidRPr="00FD170D">
        <w:rPr>
          <w:rFonts w:ascii="Arial" w:hAnsi="Arial" w:cs="Arial"/>
          <w:b/>
          <w:bCs/>
          <w:color w:val="000000" w:themeColor="text1"/>
          <w:kern w:val="24"/>
        </w:rPr>
        <w:lastRenderedPageBreak/>
        <w:t xml:space="preserve">Additional file </w:t>
      </w:r>
      <w:r>
        <w:rPr>
          <w:rFonts w:ascii="Arial" w:hAnsi="Arial" w:cs="Arial"/>
          <w:b/>
          <w:bCs/>
          <w:color w:val="000000" w:themeColor="text1"/>
          <w:kern w:val="24"/>
        </w:rPr>
        <w:t>3</w:t>
      </w:r>
      <w:r w:rsidRPr="00FD170D">
        <w:rPr>
          <w:rFonts w:ascii="Arial" w:hAnsi="Arial" w:cs="Arial"/>
          <w:b/>
          <w:bCs/>
          <w:color w:val="000000" w:themeColor="text1"/>
          <w:kern w:val="24"/>
        </w:rPr>
        <w:t>:</w:t>
      </w:r>
      <w:r>
        <w:rPr>
          <w:rFonts w:ascii="Arial" w:hAnsi="Arial" w:cs="Arial"/>
          <w:b/>
          <w:bCs/>
          <w:color w:val="000000" w:themeColor="text1"/>
          <w:kern w:val="24"/>
        </w:rPr>
        <w:t xml:space="preserve"> </w:t>
      </w:r>
      <w:r w:rsidRPr="00422E0E">
        <w:rPr>
          <w:rFonts w:ascii="Arial" w:hAnsi="Arial" w:cs="Arial"/>
          <w:b/>
          <w:bCs/>
          <w:color w:val="000000" w:themeColor="text1"/>
          <w:kern w:val="24"/>
        </w:rPr>
        <w:t>Overexpression of HN1 promoted HCC proliferation and metastasis in vitro</w:t>
      </w:r>
      <w:r>
        <w:rPr>
          <w:rFonts w:ascii="Arial" w:hAnsi="Arial" w:cs="Arial"/>
          <w:b/>
          <w:bCs/>
          <w:color w:val="000000" w:themeColor="text1"/>
          <w:kern w:val="24"/>
        </w:rPr>
        <w:t xml:space="preserve">. </w:t>
      </w:r>
      <w:r w:rsidRPr="004369CD">
        <w:rPr>
          <w:rFonts w:ascii="Arial" w:hAnsi="Arial" w:cs="Arial"/>
          <w:color w:val="000000" w:themeColor="text1"/>
          <w:kern w:val="24"/>
          <w:sz w:val="20"/>
          <w:szCs w:val="20"/>
        </w:rPr>
        <w:t>(a,</w:t>
      </w:r>
      <w:r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 </w:t>
      </w:r>
      <w:r w:rsidRPr="004369CD"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b) </w:t>
      </w:r>
      <w:proofErr w:type="spellStart"/>
      <w:r w:rsidRPr="004369CD">
        <w:rPr>
          <w:rFonts w:ascii="Arial" w:hAnsi="Arial" w:cs="Arial"/>
          <w:color w:val="000000" w:themeColor="text1"/>
          <w:kern w:val="24"/>
          <w:sz w:val="20"/>
          <w:szCs w:val="20"/>
        </w:rPr>
        <w:t>qRT</w:t>
      </w:r>
      <w:proofErr w:type="spellEnd"/>
      <w:r w:rsidRPr="004369CD"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-PCR and western blot analysis of HN1 expression </w:t>
      </w:r>
      <w:r>
        <w:rPr>
          <w:rFonts w:ascii="Arial" w:hAnsi="Arial" w:cs="Arial"/>
          <w:color w:val="000000" w:themeColor="text1"/>
          <w:kern w:val="24"/>
          <w:sz w:val="20"/>
          <w:szCs w:val="20"/>
        </w:rPr>
        <w:t>following HN1 overexpression.</w:t>
      </w:r>
      <w:r w:rsidRPr="004369CD"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 *p</w:t>
      </w:r>
      <w:r>
        <w:rPr>
          <w:rFonts w:ascii="Arial" w:hAnsi="Arial" w:cs="Arial" w:hint="eastAsia"/>
          <w:color w:val="000000" w:themeColor="text1"/>
          <w:kern w:val="24"/>
          <w:sz w:val="20"/>
          <w:szCs w:val="20"/>
        </w:rPr>
        <w:t>&lt;</w:t>
      </w:r>
      <w:r w:rsidRPr="004369CD">
        <w:rPr>
          <w:rFonts w:ascii="Arial" w:hAnsi="Arial" w:cs="Arial"/>
          <w:color w:val="000000" w:themeColor="text1"/>
          <w:kern w:val="24"/>
          <w:sz w:val="20"/>
          <w:szCs w:val="20"/>
        </w:rPr>
        <w:t>0.05</w:t>
      </w:r>
      <w:r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. (c, d) Cell proliferation potency after HN1 overexpression was tested by MTT assay and </w:t>
      </w:r>
      <w:r w:rsidRPr="007D731B">
        <w:rPr>
          <w:rFonts w:ascii="Arial" w:hAnsi="Arial" w:cs="Arial" w:hint="eastAsia"/>
          <w:color w:val="000000" w:themeColor="text1"/>
          <w:kern w:val="24"/>
          <w:sz w:val="20"/>
          <w:szCs w:val="20"/>
        </w:rPr>
        <w:t>clone formation assay</w:t>
      </w:r>
      <w:r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. </w:t>
      </w:r>
      <w:r w:rsidRPr="004369CD">
        <w:rPr>
          <w:rFonts w:ascii="Arial" w:hAnsi="Arial" w:cs="Arial"/>
          <w:color w:val="000000" w:themeColor="text1"/>
          <w:kern w:val="24"/>
          <w:sz w:val="20"/>
          <w:szCs w:val="20"/>
        </w:rPr>
        <w:t>*p</w:t>
      </w:r>
      <w:r>
        <w:rPr>
          <w:rFonts w:ascii="Arial" w:hAnsi="Arial" w:cs="Arial" w:hint="eastAsia"/>
          <w:color w:val="000000" w:themeColor="text1"/>
          <w:kern w:val="24"/>
          <w:sz w:val="20"/>
          <w:szCs w:val="20"/>
        </w:rPr>
        <w:t>&lt;</w:t>
      </w:r>
      <w:r w:rsidRPr="004369CD"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 </w:t>
      </w:r>
      <w:r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0.05, </w:t>
      </w:r>
      <w:r w:rsidRPr="00753A84"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****p </w:t>
      </w:r>
      <w:r>
        <w:rPr>
          <w:rFonts w:ascii="Arial" w:hAnsi="Arial" w:cs="Arial" w:hint="eastAsia"/>
          <w:color w:val="000000" w:themeColor="text1"/>
          <w:kern w:val="24"/>
          <w:sz w:val="20"/>
          <w:szCs w:val="20"/>
        </w:rPr>
        <w:t>&lt;</w:t>
      </w:r>
      <w:r w:rsidRPr="00753A84">
        <w:rPr>
          <w:rFonts w:ascii="Arial" w:hAnsi="Arial" w:cs="Arial"/>
          <w:color w:val="000000" w:themeColor="text1"/>
          <w:kern w:val="24"/>
          <w:sz w:val="20"/>
          <w:szCs w:val="20"/>
        </w:rPr>
        <w:t>0.000</w:t>
      </w:r>
      <w:r>
        <w:rPr>
          <w:rFonts w:ascii="Arial" w:hAnsi="Arial" w:cs="Arial"/>
          <w:color w:val="000000" w:themeColor="text1"/>
          <w:kern w:val="24"/>
          <w:sz w:val="20"/>
          <w:szCs w:val="20"/>
        </w:rPr>
        <w:t>1. (e</w:t>
      </w:r>
      <w:r>
        <w:rPr>
          <w:rFonts w:ascii="Arial" w:hAnsi="Arial" w:cs="Arial" w:hint="eastAsia"/>
          <w:color w:val="000000" w:themeColor="text1"/>
          <w:kern w:val="24"/>
          <w:sz w:val="20"/>
          <w:szCs w:val="20"/>
        </w:rPr>
        <w:t>)</w:t>
      </w:r>
      <w:r w:rsidRPr="0016672C"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 </w:t>
      </w:r>
      <w:r>
        <w:rPr>
          <w:rFonts w:ascii="Arial" w:hAnsi="Arial" w:cs="Arial"/>
          <w:color w:val="000000" w:themeColor="text1"/>
          <w:kern w:val="24"/>
          <w:sz w:val="20"/>
          <w:szCs w:val="20"/>
        </w:rPr>
        <w:t>T</w:t>
      </w:r>
      <w:r w:rsidRPr="00942796"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he migration and invasion </w:t>
      </w:r>
      <w:r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potency </w:t>
      </w:r>
      <w:r w:rsidRPr="00942796">
        <w:rPr>
          <w:rFonts w:ascii="Arial" w:hAnsi="Arial" w:cs="Arial"/>
          <w:color w:val="000000" w:themeColor="text1"/>
          <w:kern w:val="24"/>
          <w:sz w:val="20"/>
          <w:szCs w:val="20"/>
        </w:rPr>
        <w:t>of HCC cells</w:t>
      </w:r>
      <w:r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 after HN1 overexpression was tested by </w:t>
      </w:r>
      <w:proofErr w:type="spellStart"/>
      <w:r w:rsidRPr="00942796">
        <w:rPr>
          <w:rFonts w:ascii="Arial" w:hAnsi="Arial" w:cs="Arial"/>
          <w:color w:val="000000" w:themeColor="text1"/>
          <w:kern w:val="24"/>
          <w:sz w:val="20"/>
          <w:szCs w:val="20"/>
        </w:rPr>
        <w:t>Transwell</w:t>
      </w:r>
      <w:proofErr w:type="spellEnd"/>
      <w:r w:rsidRPr="00942796"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 assay</w:t>
      </w:r>
      <w:r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 </w:t>
      </w:r>
      <w:r w:rsidRPr="00942796">
        <w:rPr>
          <w:rFonts w:ascii="Arial" w:hAnsi="Arial" w:cs="Arial"/>
          <w:color w:val="000000" w:themeColor="text1"/>
          <w:kern w:val="24"/>
          <w:sz w:val="20"/>
          <w:szCs w:val="20"/>
        </w:rPr>
        <w:t>(400×</w:t>
      </w:r>
      <w:r w:rsidRPr="00942796">
        <w:rPr>
          <w:rFonts w:ascii="Arial" w:hAnsi="Arial" w:cs="Arial"/>
          <w:color w:val="3C3C3C"/>
          <w:sz w:val="20"/>
          <w:szCs w:val="20"/>
          <w:shd w:val="clear" w:color="auto" w:fill="FFFFFF"/>
        </w:rPr>
        <w:t xml:space="preserve"> </w:t>
      </w:r>
      <w:r w:rsidRPr="00942796">
        <w:rPr>
          <w:rFonts w:ascii="Arial" w:hAnsi="Arial" w:cs="Arial"/>
          <w:color w:val="000000" w:themeColor="text1"/>
          <w:kern w:val="24"/>
          <w:sz w:val="20"/>
          <w:szCs w:val="20"/>
        </w:rPr>
        <w:t>magnification</w:t>
      </w:r>
      <w:r w:rsidRPr="00942796">
        <w:rPr>
          <w:rFonts w:ascii="Arial" w:hAnsi="Arial" w:cs="Arial"/>
          <w:color w:val="3C3C3C"/>
          <w:sz w:val="20"/>
          <w:szCs w:val="20"/>
          <w:shd w:val="clear" w:color="auto" w:fill="FFFFFF"/>
        </w:rPr>
        <w:t>)</w:t>
      </w:r>
      <w:r>
        <w:rPr>
          <w:rFonts w:ascii="Arial" w:hAnsi="Arial" w:cs="Arial"/>
          <w:color w:val="000000" w:themeColor="text1"/>
          <w:kern w:val="24"/>
          <w:sz w:val="20"/>
          <w:szCs w:val="20"/>
        </w:rPr>
        <w:t>.</w:t>
      </w:r>
      <w:r w:rsidRPr="00942796"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 </w:t>
      </w:r>
      <w:r w:rsidRPr="004369CD">
        <w:rPr>
          <w:rFonts w:ascii="Arial" w:hAnsi="Arial" w:cs="Arial"/>
          <w:color w:val="000000" w:themeColor="text1"/>
          <w:kern w:val="24"/>
          <w:sz w:val="20"/>
          <w:szCs w:val="20"/>
        </w:rPr>
        <w:t>*p</w:t>
      </w:r>
      <w:r>
        <w:rPr>
          <w:rFonts w:ascii="Arial" w:hAnsi="Arial" w:cs="Arial" w:hint="eastAsia"/>
          <w:color w:val="000000" w:themeColor="text1"/>
          <w:kern w:val="24"/>
          <w:sz w:val="20"/>
          <w:szCs w:val="20"/>
        </w:rPr>
        <w:t>&lt;</w:t>
      </w:r>
      <w:r w:rsidRPr="004369CD"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 </w:t>
      </w:r>
      <w:r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0.05, </w:t>
      </w:r>
      <w:r w:rsidRPr="00942796">
        <w:rPr>
          <w:rFonts w:ascii="Arial" w:hAnsi="Arial" w:cs="Arial"/>
          <w:color w:val="000000" w:themeColor="text1"/>
          <w:kern w:val="24"/>
          <w:sz w:val="20"/>
          <w:szCs w:val="20"/>
        </w:rPr>
        <w:t>**p</w:t>
      </w:r>
      <w:r w:rsidRPr="00DD4C1E">
        <w:rPr>
          <w:rFonts w:ascii="Arial" w:hAnsi="Arial" w:cs="Arial" w:hint="eastAsia"/>
          <w:color w:val="000000" w:themeColor="text1"/>
          <w:kern w:val="24"/>
          <w:sz w:val="20"/>
          <w:szCs w:val="20"/>
        </w:rPr>
        <w:t>&lt;</w:t>
      </w:r>
      <w:r w:rsidRPr="008E3758">
        <w:rPr>
          <w:rFonts w:ascii="Arial" w:hAnsi="Arial" w:cs="Arial"/>
          <w:color w:val="000000" w:themeColor="text1"/>
          <w:kern w:val="24"/>
          <w:sz w:val="20"/>
          <w:szCs w:val="20"/>
        </w:rPr>
        <w:t>0.01</w:t>
      </w:r>
      <w:r>
        <w:rPr>
          <w:rFonts w:ascii="Arial" w:hAnsi="Arial" w:cs="Arial"/>
          <w:color w:val="000000" w:themeColor="text1"/>
          <w:kern w:val="24"/>
          <w:sz w:val="20"/>
          <w:szCs w:val="20"/>
        </w:rPr>
        <w:t>, ***p</w:t>
      </w:r>
      <w:r w:rsidRPr="00DD4C1E">
        <w:rPr>
          <w:rFonts w:ascii="Arial" w:hAnsi="Arial" w:cs="Arial" w:hint="eastAsia"/>
          <w:color w:val="000000" w:themeColor="text1"/>
          <w:kern w:val="24"/>
          <w:sz w:val="20"/>
          <w:szCs w:val="20"/>
        </w:rPr>
        <w:t>&lt;</w:t>
      </w:r>
      <w:r>
        <w:rPr>
          <w:rFonts w:ascii="Arial" w:hAnsi="Arial" w:cs="Arial"/>
          <w:color w:val="000000" w:themeColor="text1"/>
          <w:kern w:val="24"/>
          <w:sz w:val="20"/>
          <w:szCs w:val="20"/>
        </w:rPr>
        <w:t>0.001.</w:t>
      </w:r>
      <w:r>
        <w:rPr>
          <w:rFonts w:ascii="Arial" w:hAnsi="Arial" w:cs="Arial" w:hint="eastAsia"/>
          <w:color w:val="000000" w:themeColor="text1"/>
          <w:kern w:val="24"/>
          <w:sz w:val="20"/>
          <w:szCs w:val="20"/>
        </w:rPr>
        <w:t xml:space="preserve"> </w:t>
      </w:r>
      <w:r w:rsidRPr="004369CD">
        <w:rPr>
          <w:rFonts w:ascii="Arial" w:hAnsi="Arial" w:cs="Arial"/>
          <w:color w:val="000000" w:themeColor="text1"/>
          <w:kern w:val="24"/>
          <w:sz w:val="20"/>
          <w:szCs w:val="20"/>
        </w:rPr>
        <w:t>(f)</w:t>
      </w:r>
      <w:r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 P</w:t>
      </w:r>
      <w:r>
        <w:rPr>
          <w:rFonts w:ascii="Arial" w:hAnsi="Arial" w:cs="Arial" w:hint="eastAsia"/>
          <w:color w:val="000000" w:themeColor="text1"/>
          <w:kern w:val="24"/>
          <w:sz w:val="20"/>
          <w:szCs w:val="20"/>
        </w:rPr>
        <w:t>rotein</w:t>
      </w:r>
      <w:r w:rsidRPr="004369CD"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 level</w:t>
      </w:r>
      <w:r>
        <w:rPr>
          <w:rFonts w:ascii="Arial" w:hAnsi="Arial" w:cs="Arial" w:hint="eastAsia"/>
          <w:color w:val="000000" w:themeColor="text1"/>
          <w:kern w:val="24"/>
          <w:sz w:val="20"/>
          <w:szCs w:val="20"/>
        </w:rPr>
        <w:t>s</w:t>
      </w:r>
      <w:r w:rsidRPr="004369CD"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 of representative proliferation and metastasis </w:t>
      </w:r>
      <w:r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biomarkers </w:t>
      </w:r>
      <w:r w:rsidRPr="004369CD"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after HN1 </w:t>
      </w:r>
      <w:r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overexpression </w:t>
      </w:r>
      <w:r w:rsidRPr="004369CD">
        <w:rPr>
          <w:rFonts w:ascii="Arial" w:hAnsi="Arial" w:cs="Arial"/>
          <w:color w:val="000000" w:themeColor="text1"/>
          <w:kern w:val="24"/>
          <w:sz w:val="20"/>
          <w:szCs w:val="20"/>
        </w:rPr>
        <w:t>were analy</w:t>
      </w:r>
      <w:r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zed </w:t>
      </w:r>
      <w:r w:rsidRPr="004369CD">
        <w:rPr>
          <w:rFonts w:ascii="Arial" w:hAnsi="Arial" w:cs="Arial"/>
          <w:color w:val="000000" w:themeColor="text1"/>
          <w:kern w:val="24"/>
          <w:sz w:val="20"/>
          <w:szCs w:val="20"/>
        </w:rPr>
        <w:t>by western blot.</w:t>
      </w:r>
    </w:p>
    <w:p w14:paraId="638D400A" w14:textId="77777777" w:rsidR="00182DEE" w:rsidRPr="00D71832" w:rsidRDefault="00182DEE"/>
    <w:sectPr w:rsidR="00182DEE" w:rsidRPr="00D718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87214F" w14:textId="77777777" w:rsidR="00A950B5" w:rsidRDefault="00A950B5" w:rsidP="00B34F05">
      <w:r>
        <w:separator/>
      </w:r>
    </w:p>
  </w:endnote>
  <w:endnote w:type="continuationSeparator" w:id="0">
    <w:p w14:paraId="4CDB506A" w14:textId="77777777" w:rsidR="00A950B5" w:rsidRDefault="00A950B5" w:rsidP="00B34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359581" w14:textId="77777777" w:rsidR="00A950B5" w:rsidRDefault="00A950B5" w:rsidP="00B34F05">
      <w:r>
        <w:separator/>
      </w:r>
    </w:p>
  </w:footnote>
  <w:footnote w:type="continuationSeparator" w:id="0">
    <w:p w14:paraId="60938673" w14:textId="77777777" w:rsidR="00A950B5" w:rsidRDefault="00A950B5" w:rsidP="00B34F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832"/>
    <w:rsid w:val="00182DEE"/>
    <w:rsid w:val="00415D42"/>
    <w:rsid w:val="004465A8"/>
    <w:rsid w:val="006D63F8"/>
    <w:rsid w:val="00A950B5"/>
    <w:rsid w:val="00AB67E7"/>
    <w:rsid w:val="00B34F05"/>
    <w:rsid w:val="00D71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83DCA8"/>
  <w15:chartTrackingRefBased/>
  <w15:docId w15:val="{70DFBF07-9AF0-4A0B-B4AA-25C6EE542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18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4F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4F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4F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如画</dc:creator>
  <cp:keywords/>
  <dc:description/>
  <cp:lastModifiedBy>王 如画</cp:lastModifiedBy>
  <cp:revision>5</cp:revision>
  <dcterms:created xsi:type="dcterms:W3CDTF">2021-07-28T08:13:00Z</dcterms:created>
  <dcterms:modified xsi:type="dcterms:W3CDTF">2021-07-28T08:45:00Z</dcterms:modified>
</cp:coreProperties>
</file>