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9BC48" w14:textId="77777777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bCs/>
          <w:lang w:val="en-US"/>
        </w:rPr>
        <w:t xml:space="preserve">Supplementary Figure 1. Regional expression pattern of </w:t>
      </w:r>
      <w:proofErr w:type="spellStart"/>
      <w:r w:rsidRPr="00D816AA">
        <w:rPr>
          <w:b/>
          <w:bCs/>
          <w:lang w:val="en-US"/>
        </w:rPr>
        <w:t>AldoC</w:t>
      </w:r>
      <w:proofErr w:type="spellEnd"/>
      <w:r w:rsidRPr="00D816AA">
        <w:rPr>
          <w:b/>
          <w:bCs/>
          <w:lang w:val="en-US"/>
        </w:rPr>
        <w:t xml:space="preserve"> compared to canonical astrocytic markers.</w:t>
      </w:r>
    </w:p>
    <w:p w14:paraId="7508E26E" w14:textId="77777777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t xml:space="preserve">(A) Western blot analysis showing protein levels of </w:t>
      </w:r>
      <w:proofErr w:type="spellStart"/>
      <w:r w:rsidRPr="00D816AA">
        <w:rPr>
          <w:lang w:val="en-US"/>
        </w:rPr>
        <w:t>AldoC</w:t>
      </w:r>
      <w:proofErr w:type="spellEnd"/>
      <w:r w:rsidRPr="00D816AA">
        <w:rPr>
          <w:lang w:val="en-US"/>
        </w:rPr>
        <w:t>, GFAP, and GLT-1 in the cortex, striatum, and hippocampus. β-tubulin was used as a loading control. (B) Quantification of protein expression levels normalized to β-tubulin (n</w:t>
      </w:r>
      <w:r w:rsidRPr="00D816AA">
        <w:rPr>
          <w:rFonts w:ascii="Arial" w:hAnsi="Arial" w:cs="Arial"/>
          <w:lang w:val="en-US"/>
        </w:rPr>
        <w:t> </w:t>
      </w:r>
      <w:r w:rsidRPr="00D816AA">
        <w:rPr>
          <w:lang w:val="en-US"/>
        </w:rPr>
        <w:t>=</w:t>
      </w:r>
      <w:r w:rsidRPr="00D816AA">
        <w:rPr>
          <w:rFonts w:ascii="Arial" w:hAnsi="Arial" w:cs="Arial"/>
          <w:lang w:val="en-US"/>
        </w:rPr>
        <w:t> </w:t>
      </w:r>
      <w:r w:rsidRPr="00D816AA">
        <w:rPr>
          <w:lang w:val="en-US"/>
        </w:rPr>
        <w:t xml:space="preserve">4 per group). </w:t>
      </w:r>
      <w:proofErr w:type="spellStart"/>
      <w:r w:rsidRPr="00D816AA">
        <w:rPr>
          <w:lang w:val="en-US"/>
        </w:rPr>
        <w:t>AldoC</w:t>
      </w:r>
      <w:proofErr w:type="spellEnd"/>
      <w:r w:rsidRPr="00D816AA">
        <w:rPr>
          <w:lang w:val="en-US"/>
        </w:rPr>
        <w:t xml:space="preserve"> exhibited relatively uniform </w:t>
      </w:r>
      <w:proofErr w:type="gramStart"/>
      <w:r w:rsidRPr="00D816AA">
        <w:rPr>
          <w:lang w:val="en-US"/>
        </w:rPr>
        <w:t>expression</w:t>
      </w:r>
      <w:proofErr w:type="gramEnd"/>
      <w:r w:rsidRPr="00D816AA">
        <w:rPr>
          <w:lang w:val="en-US"/>
        </w:rPr>
        <w:t xml:space="preserve"> across regions, while GFAP and GLT-1 showed greater variability. Data are presented as mean </w:t>
      </w:r>
      <w:r w:rsidRPr="00D816AA">
        <w:rPr>
          <w:rFonts w:ascii="Aptos" w:hAnsi="Aptos" w:cs="Aptos"/>
          <w:lang w:val="en-US"/>
        </w:rPr>
        <w:t>±</w:t>
      </w:r>
      <w:r w:rsidRPr="00D816AA">
        <w:rPr>
          <w:lang w:val="en-US"/>
        </w:rPr>
        <w:t xml:space="preserve"> SEM. (C) Representative low-magnification immunofluorescence image of a sagittal brain section stained with anti-</w:t>
      </w:r>
      <w:proofErr w:type="spellStart"/>
      <w:r w:rsidRPr="00D816AA">
        <w:rPr>
          <w:lang w:val="en-US"/>
        </w:rPr>
        <w:t>AldoC</w:t>
      </w:r>
      <w:proofErr w:type="spellEnd"/>
      <w:r w:rsidRPr="00D816AA">
        <w:rPr>
          <w:lang w:val="en-US"/>
        </w:rPr>
        <w:t xml:space="preserve"> antibody, showing broad expression throughout the brain. Insets (</w:t>
      </w:r>
      <w:proofErr w:type="spellStart"/>
      <w:r w:rsidRPr="00D816AA">
        <w:rPr>
          <w:lang w:val="en-US"/>
        </w:rPr>
        <w:t>i</w:t>
      </w:r>
      <w:proofErr w:type="spellEnd"/>
      <w:r w:rsidRPr="00D816AA">
        <w:rPr>
          <w:lang w:val="en-US"/>
        </w:rPr>
        <w:t>–iii) correspond to magnified views of boxed regions in cortex, hippocampus, and cerebellum, respectively. Scale bars: main panel, 1000</w:t>
      </w:r>
      <w:r w:rsidRPr="00D816AA">
        <w:rPr>
          <w:rFonts w:ascii="Arial" w:hAnsi="Arial" w:cs="Arial"/>
          <w:lang w:val="en-US"/>
        </w:rPr>
        <w:t> </w:t>
      </w:r>
      <w:proofErr w:type="spellStart"/>
      <w:r w:rsidRPr="00D816AA">
        <w:rPr>
          <w:rFonts w:ascii="Aptos" w:hAnsi="Aptos" w:cs="Aptos"/>
          <w:lang w:val="en-US"/>
        </w:rPr>
        <w:t>μ</w:t>
      </w:r>
      <w:r w:rsidRPr="00D816AA">
        <w:rPr>
          <w:lang w:val="en-US"/>
        </w:rPr>
        <w:t>m</w:t>
      </w:r>
      <w:proofErr w:type="spellEnd"/>
      <w:r w:rsidRPr="00D816AA">
        <w:rPr>
          <w:lang w:val="en-US"/>
        </w:rPr>
        <w:t xml:space="preserve">; </w:t>
      </w:r>
      <w:proofErr w:type="gramStart"/>
      <w:r w:rsidRPr="00D816AA">
        <w:rPr>
          <w:lang w:val="en-US"/>
        </w:rPr>
        <w:t>insets</w:t>
      </w:r>
      <w:proofErr w:type="gramEnd"/>
      <w:r w:rsidRPr="00D816AA">
        <w:rPr>
          <w:lang w:val="en-US"/>
        </w:rPr>
        <w:t>, 200</w:t>
      </w:r>
      <w:r w:rsidRPr="00D816AA">
        <w:rPr>
          <w:rFonts w:ascii="Arial" w:hAnsi="Arial" w:cs="Arial"/>
          <w:lang w:val="en-US"/>
        </w:rPr>
        <w:t> </w:t>
      </w:r>
      <w:proofErr w:type="spellStart"/>
      <w:r w:rsidRPr="00D816AA">
        <w:rPr>
          <w:rFonts w:ascii="Aptos" w:hAnsi="Aptos" w:cs="Aptos"/>
          <w:lang w:val="en-US"/>
        </w:rPr>
        <w:t>μ</w:t>
      </w:r>
      <w:r w:rsidRPr="00D816AA">
        <w:rPr>
          <w:lang w:val="en-US"/>
        </w:rPr>
        <w:t>m</w:t>
      </w:r>
      <w:proofErr w:type="spellEnd"/>
      <w:r w:rsidRPr="00D816AA">
        <w:rPr>
          <w:lang w:val="en-US"/>
        </w:rPr>
        <w:t>.</w:t>
      </w:r>
    </w:p>
    <w:p w14:paraId="70E392B7" w14:textId="77777777" w:rsidR="00D816AA" w:rsidRPr="00D816AA" w:rsidRDefault="00D816AA" w:rsidP="00D816AA">
      <w:pPr>
        <w:rPr>
          <w:b/>
          <w:bCs/>
          <w:lang w:val="en-US"/>
        </w:rPr>
      </w:pPr>
    </w:p>
    <w:p w14:paraId="658060F4" w14:textId="77777777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bCs/>
          <w:lang w:val="en-US"/>
        </w:rPr>
        <w:t xml:space="preserve">Supplementary Figure 2. Co-localization of GFP with </w:t>
      </w:r>
      <w:proofErr w:type="spellStart"/>
      <w:r w:rsidRPr="00D816AA">
        <w:rPr>
          <w:b/>
          <w:bCs/>
          <w:lang w:val="en-US"/>
        </w:rPr>
        <w:t>AldoC</w:t>
      </w:r>
      <w:proofErr w:type="spellEnd"/>
      <w:r w:rsidRPr="00D816AA">
        <w:rPr>
          <w:b/>
          <w:bCs/>
          <w:lang w:val="en-US"/>
        </w:rPr>
        <w:t xml:space="preserve"> and calbindin in the cerebellum of </w:t>
      </w:r>
      <w:proofErr w:type="spellStart"/>
      <w:r w:rsidRPr="00D816AA">
        <w:rPr>
          <w:b/>
          <w:bCs/>
          <w:lang w:val="en-US"/>
        </w:rPr>
        <w:t>AldoC</w:t>
      </w:r>
      <w:proofErr w:type="spellEnd"/>
      <w:r w:rsidRPr="00D816AA">
        <w:rPr>
          <w:b/>
          <w:bCs/>
          <w:lang w:val="en-US"/>
        </w:rPr>
        <w:t xml:space="preserve"> BAC-GFP transgenic mice.</w:t>
      </w:r>
    </w:p>
    <w:p w14:paraId="09144ED4" w14:textId="77777777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t xml:space="preserve">(A) Low-magnification image showing GFP (green) and </w:t>
      </w:r>
      <w:proofErr w:type="spellStart"/>
      <w:r w:rsidRPr="00D816AA">
        <w:rPr>
          <w:lang w:val="en-US"/>
        </w:rPr>
        <w:t>AldoC</w:t>
      </w:r>
      <w:proofErr w:type="spellEnd"/>
      <w:r w:rsidRPr="00D816AA">
        <w:rPr>
          <w:lang w:val="en-US"/>
        </w:rPr>
        <w:t xml:space="preserve"> (red) expression in the cerebellum. (B) High-magnification images (boxed region in A) show strong colocalization of GFP and </w:t>
      </w:r>
      <w:proofErr w:type="spellStart"/>
      <w:r w:rsidRPr="00D816AA">
        <w:rPr>
          <w:lang w:val="en-US"/>
        </w:rPr>
        <w:t>AldoC</w:t>
      </w:r>
      <w:proofErr w:type="spellEnd"/>
      <w:r w:rsidRPr="00D816AA">
        <w:rPr>
          <w:lang w:val="en-US"/>
        </w:rPr>
        <w:t xml:space="preserve"> in cerebellar lobules, including Purkinje cell layers. Left to right: GFP channel, </w:t>
      </w:r>
      <w:proofErr w:type="spellStart"/>
      <w:r w:rsidRPr="00D816AA">
        <w:rPr>
          <w:lang w:val="en-US"/>
        </w:rPr>
        <w:t>AldoC</w:t>
      </w:r>
      <w:proofErr w:type="spellEnd"/>
      <w:r w:rsidRPr="00D816AA">
        <w:rPr>
          <w:lang w:val="en-US"/>
        </w:rPr>
        <w:t xml:space="preserve"> channel, merged image. Scale bars: A, 200</w:t>
      </w:r>
      <w:r w:rsidRPr="00D816AA">
        <w:rPr>
          <w:rFonts w:ascii="Arial" w:hAnsi="Arial" w:cs="Arial"/>
          <w:lang w:val="en-US"/>
        </w:rPr>
        <w:t> </w:t>
      </w:r>
      <w:proofErr w:type="spellStart"/>
      <w:r w:rsidRPr="00D816AA">
        <w:rPr>
          <w:rFonts w:ascii="Aptos" w:hAnsi="Aptos" w:cs="Aptos"/>
          <w:lang w:val="en-US"/>
        </w:rPr>
        <w:t>μ</w:t>
      </w:r>
      <w:r w:rsidRPr="00D816AA">
        <w:rPr>
          <w:lang w:val="en-US"/>
        </w:rPr>
        <w:t>m</w:t>
      </w:r>
      <w:proofErr w:type="spellEnd"/>
      <w:r w:rsidRPr="00D816AA">
        <w:rPr>
          <w:lang w:val="en-US"/>
        </w:rPr>
        <w:t>; B, 100</w:t>
      </w:r>
      <w:r w:rsidRPr="00D816AA">
        <w:rPr>
          <w:rFonts w:ascii="Arial" w:hAnsi="Arial" w:cs="Arial"/>
          <w:lang w:val="en-US"/>
        </w:rPr>
        <w:t> </w:t>
      </w:r>
      <w:proofErr w:type="spellStart"/>
      <w:r w:rsidRPr="00D816AA">
        <w:rPr>
          <w:rFonts w:ascii="Aptos" w:hAnsi="Aptos" w:cs="Aptos"/>
          <w:lang w:val="en-US"/>
        </w:rPr>
        <w:t>μ</w:t>
      </w:r>
      <w:r w:rsidRPr="00D816AA">
        <w:rPr>
          <w:lang w:val="en-US"/>
        </w:rPr>
        <w:t>m</w:t>
      </w:r>
      <w:proofErr w:type="spellEnd"/>
      <w:r w:rsidRPr="00D816AA">
        <w:rPr>
          <w:lang w:val="en-US"/>
        </w:rPr>
        <w:t>. (C) Low-magnification image showing GFP (green) and calbindin (red) expression in the cerebellum. (D) High-magnification images (boxed region in C) demonstrate colocalization of GFP and calbindin in Purkinje cells. Left to right: GFP channel, calbindin channel, merged image. Scale bars: C, 200</w:t>
      </w:r>
      <w:r w:rsidRPr="00D816AA">
        <w:rPr>
          <w:rFonts w:ascii="Arial" w:hAnsi="Arial" w:cs="Arial"/>
          <w:lang w:val="en-US"/>
        </w:rPr>
        <w:t> </w:t>
      </w:r>
      <w:proofErr w:type="spellStart"/>
      <w:r w:rsidRPr="00D816AA">
        <w:rPr>
          <w:rFonts w:ascii="Aptos" w:hAnsi="Aptos" w:cs="Aptos"/>
          <w:lang w:val="en-US"/>
        </w:rPr>
        <w:t>μ</w:t>
      </w:r>
      <w:r w:rsidRPr="00D816AA">
        <w:rPr>
          <w:lang w:val="en-US"/>
        </w:rPr>
        <w:t>m</w:t>
      </w:r>
      <w:proofErr w:type="spellEnd"/>
      <w:r w:rsidRPr="00D816AA">
        <w:rPr>
          <w:lang w:val="en-US"/>
        </w:rPr>
        <w:t>; D, 100</w:t>
      </w:r>
      <w:r w:rsidRPr="00D816AA">
        <w:rPr>
          <w:rFonts w:ascii="Arial" w:hAnsi="Arial" w:cs="Arial"/>
          <w:lang w:val="en-US"/>
        </w:rPr>
        <w:t> </w:t>
      </w:r>
      <w:proofErr w:type="spellStart"/>
      <w:r w:rsidRPr="00D816AA">
        <w:rPr>
          <w:rFonts w:ascii="Aptos" w:hAnsi="Aptos" w:cs="Aptos"/>
          <w:lang w:val="en-US"/>
        </w:rPr>
        <w:t>μ</w:t>
      </w:r>
      <w:r w:rsidRPr="00D816AA">
        <w:rPr>
          <w:lang w:val="en-US"/>
        </w:rPr>
        <w:t>m</w:t>
      </w:r>
      <w:proofErr w:type="spellEnd"/>
      <w:r w:rsidRPr="00D816AA">
        <w:rPr>
          <w:lang w:val="en-US"/>
        </w:rPr>
        <w:t>.</w:t>
      </w:r>
    </w:p>
    <w:p w14:paraId="6B20DADA" w14:textId="77777777" w:rsidR="00D816AA" w:rsidRPr="00D816AA" w:rsidRDefault="00D816AA" w:rsidP="00D816AA">
      <w:pPr>
        <w:rPr>
          <w:b/>
          <w:bCs/>
          <w:lang w:val="en-US"/>
        </w:rPr>
      </w:pPr>
    </w:p>
    <w:p w14:paraId="6678D41B" w14:textId="77777777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bCs/>
          <w:lang w:val="en-US"/>
        </w:rPr>
        <w:t xml:space="preserve">Supplementary Figure 3. Region-specific distribution and morphological diversity of GFP-positive astrocytes in </w:t>
      </w:r>
      <w:proofErr w:type="spellStart"/>
      <w:r w:rsidRPr="00D816AA">
        <w:rPr>
          <w:b/>
          <w:bCs/>
          <w:lang w:val="en-US"/>
        </w:rPr>
        <w:t>AldoC</w:t>
      </w:r>
      <w:proofErr w:type="spellEnd"/>
      <w:r w:rsidRPr="00D816AA">
        <w:rPr>
          <w:b/>
          <w:bCs/>
          <w:lang w:val="en-US"/>
        </w:rPr>
        <w:t xml:space="preserve"> BAC-GFP transgenic mice.</w:t>
      </w:r>
    </w:p>
    <w:p w14:paraId="446DF3D7" w14:textId="77777777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t xml:space="preserve">Representative fluorescence images showing GFP-expressing cells in various brain regions of </w:t>
      </w:r>
      <w:proofErr w:type="spellStart"/>
      <w:r w:rsidRPr="00D816AA">
        <w:rPr>
          <w:lang w:val="en-US"/>
        </w:rPr>
        <w:t>AldoC</w:t>
      </w:r>
      <w:proofErr w:type="spellEnd"/>
      <w:r w:rsidRPr="00D816AA">
        <w:rPr>
          <w:lang w:val="en-US"/>
        </w:rPr>
        <w:t xml:space="preserve"> BAC-GFP mice. Central sagittal brain overview highlights widespread GFP signal. Magnified views display region-specific astrocyte density and morphology in the cortex, corpus callosum, zona layer (zo) of the superior colliculus, olfactory bulb, hippocampal region, pons, and cerebellum. GFP-positive astrocytes exhibited radial morphologies in the cortex and olfactory </w:t>
      </w:r>
      <w:proofErr w:type="gramStart"/>
      <w:r w:rsidRPr="00D816AA">
        <w:rPr>
          <w:lang w:val="en-US"/>
        </w:rPr>
        <w:t>bulb</w:t>
      </w:r>
      <w:proofErr w:type="gramEnd"/>
      <w:r w:rsidRPr="00D816AA">
        <w:rPr>
          <w:lang w:val="en-US"/>
        </w:rPr>
        <w:t xml:space="preserve">, while linear morphologies were more apparent in the cerebellum and pons. Astrocyte density was notably lower in white matter regions such as the corpus callosum. </w:t>
      </w:r>
      <w:r w:rsidRPr="00D816AA">
        <w:rPr>
          <w:bCs/>
          <w:lang w:val="en-US"/>
        </w:rPr>
        <w:t>Scale bar: 50</w:t>
      </w:r>
      <w:r w:rsidRPr="00D816AA">
        <w:rPr>
          <w:rFonts w:ascii="Arial" w:hAnsi="Arial" w:cs="Arial"/>
          <w:bCs/>
          <w:lang w:val="en-US"/>
        </w:rPr>
        <w:t> </w:t>
      </w:r>
      <w:proofErr w:type="spellStart"/>
      <w:r w:rsidRPr="00D816AA">
        <w:rPr>
          <w:rFonts w:ascii="Aptos" w:hAnsi="Aptos" w:cs="Aptos"/>
          <w:bCs/>
          <w:lang w:val="en-US"/>
        </w:rPr>
        <w:t>μ</w:t>
      </w:r>
      <w:r w:rsidRPr="00D816AA">
        <w:rPr>
          <w:bCs/>
          <w:lang w:val="en-US"/>
        </w:rPr>
        <w:t>m</w:t>
      </w:r>
      <w:proofErr w:type="spellEnd"/>
      <w:r w:rsidRPr="00D816AA">
        <w:rPr>
          <w:bCs/>
          <w:lang w:val="en-US"/>
        </w:rPr>
        <w:t>.</w:t>
      </w:r>
    </w:p>
    <w:p w14:paraId="49304563" w14:textId="77777777" w:rsidR="00D816AA" w:rsidRPr="00D816AA" w:rsidRDefault="00D816AA" w:rsidP="00D816AA">
      <w:pPr>
        <w:rPr>
          <w:b/>
          <w:bCs/>
          <w:lang w:val="en-US"/>
        </w:rPr>
      </w:pPr>
    </w:p>
    <w:p w14:paraId="5BE2CF57" w14:textId="77777777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bCs/>
          <w:lang w:val="en-US"/>
        </w:rPr>
        <w:t>Supplementary Figure 4. Co-localization of NG2 with astrocytic markers in the hippocampus.</w:t>
      </w:r>
    </w:p>
    <w:p w14:paraId="2739176C" w14:textId="77777777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lastRenderedPageBreak/>
        <w:t>(A) Representative immunofluorescence images showing co-staining of NG2 (green) and glutamine synthetase (GS, red) in the hippocampus. Merged image and enlarged view demonstrate partial overlap (arrowheads) between NG2-positive cells and GS. (B) Co-staining of NG2 (green) and GLT-1 (red) in the hippocampus. Merged image and enlarged region reveal co-localization (arrowheads), indicating potential expression of astrocytic markers in NG2-positive cells. Scale bars: 100</w:t>
      </w:r>
      <w:r w:rsidRPr="00D816AA">
        <w:rPr>
          <w:rFonts w:ascii="Arial" w:hAnsi="Arial" w:cs="Arial"/>
          <w:lang w:val="en-US"/>
        </w:rPr>
        <w:t> </w:t>
      </w:r>
      <w:proofErr w:type="spellStart"/>
      <w:r w:rsidRPr="00D816AA">
        <w:rPr>
          <w:rFonts w:ascii="Aptos" w:hAnsi="Aptos" w:cs="Aptos"/>
          <w:lang w:val="en-US"/>
        </w:rPr>
        <w:t>μ</w:t>
      </w:r>
      <w:r w:rsidRPr="00D816AA">
        <w:rPr>
          <w:lang w:val="en-US"/>
        </w:rPr>
        <w:t>m</w:t>
      </w:r>
      <w:proofErr w:type="spellEnd"/>
      <w:r w:rsidRPr="00D816AA">
        <w:rPr>
          <w:lang w:val="en-US"/>
        </w:rPr>
        <w:t xml:space="preserve"> (left three panels), 50</w:t>
      </w:r>
      <w:r w:rsidRPr="00D816AA">
        <w:rPr>
          <w:rFonts w:ascii="Arial" w:hAnsi="Arial" w:cs="Arial"/>
          <w:lang w:val="en-US"/>
        </w:rPr>
        <w:t> </w:t>
      </w:r>
      <w:proofErr w:type="spellStart"/>
      <w:r w:rsidRPr="00D816AA">
        <w:rPr>
          <w:rFonts w:ascii="Aptos" w:hAnsi="Aptos" w:cs="Aptos"/>
          <w:lang w:val="en-US"/>
        </w:rPr>
        <w:t>μ</w:t>
      </w:r>
      <w:r w:rsidRPr="00D816AA">
        <w:rPr>
          <w:lang w:val="en-US"/>
        </w:rPr>
        <w:t>m</w:t>
      </w:r>
      <w:proofErr w:type="spellEnd"/>
      <w:r w:rsidRPr="00D816AA">
        <w:rPr>
          <w:lang w:val="en-US"/>
        </w:rPr>
        <w:t xml:space="preserve"> (rightmost panels).</w:t>
      </w:r>
    </w:p>
    <w:p w14:paraId="54444367" w14:textId="77777777" w:rsidR="00D816AA" w:rsidRPr="00D816AA" w:rsidRDefault="00D816AA" w:rsidP="00D816AA">
      <w:pPr>
        <w:rPr>
          <w:lang w:val="en-US"/>
        </w:rPr>
      </w:pPr>
    </w:p>
    <w:p w14:paraId="59DAB6F6" w14:textId="77777777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bCs/>
          <w:lang w:val="en-US"/>
        </w:rPr>
        <w:t>Supplementary Figure 5. Differential expression of astrocytic markers in the medial and lateral habenula.</w:t>
      </w:r>
    </w:p>
    <w:p w14:paraId="36A9CE77" w14:textId="77777777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t>(A–C) Representative immunofluorescence images showing DAPI (blue), GFP (green), and astrocytic markers (red) in the medial habenula (</w:t>
      </w:r>
      <w:proofErr w:type="spellStart"/>
      <w:r w:rsidRPr="00D816AA">
        <w:rPr>
          <w:lang w:val="en-US"/>
        </w:rPr>
        <w:t>mHb</w:t>
      </w:r>
      <w:proofErr w:type="spellEnd"/>
      <w:r w:rsidRPr="00D816AA">
        <w:rPr>
          <w:lang w:val="en-US"/>
        </w:rPr>
        <w:t>) and lateral habenula (</w:t>
      </w:r>
      <w:proofErr w:type="spellStart"/>
      <w:r w:rsidRPr="00D816AA">
        <w:rPr>
          <w:lang w:val="en-US"/>
        </w:rPr>
        <w:t>lHb</w:t>
      </w:r>
      <w:proofErr w:type="spellEnd"/>
      <w:r w:rsidRPr="00D816AA">
        <w:rPr>
          <w:lang w:val="en-US"/>
        </w:rPr>
        <w:t xml:space="preserve">) of </w:t>
      </w:r>
      <w:proofErr w:type="spellStart"/>
      <w:r w:rsidRPr="00D816AA">
        <w:rPr>
          <w:lang w:val="en-US"/>
        </w:rPr>
        <w:t>AldoC</w:t>
      </w:r>
      <w:proofErr w:type="spellEnd"/>
      <w:r w:rsidRPr="00D816AA">
        <w:rPr>
          <w:lang w:val="en-US"/>
        </w:rPr>
        <w:t xml:space="preserve"> BAC-GFP mice. (A) Co-localization of GFP with glutamine synthetase (GS). (B) Co-localization of GFP with S100β. (C) Co-localization of GFP with GLT-1. Right panels show merged images. Yellow dashed lines delineate the </w:t>
      </w:r>
      <w:proofErr w:type="spellStart"/>
      <w:r w:rsidRPr="00D816AA">
        <w:rPr>
          <w:lang w:val="en-US"/>
        </w:rPr>
        <w:t>mHb</w:t>
      </w:r>
      <w:proofErr w:type="spellEnd"/>
      <w:r w:rsidRPr="00D816AA">
        <w:rPr>
          <w:lang w:val="en-US"/>
        </w:rPr>
        <w:t xml:space="preserve"> and </w:t>
      </w:r>
      <w:proofErr w:type="spellStart"/>
      <w:r w:rsidRPr="00D816AA">
        <w:rPr>
          <w:lang w:val="en-US"/>
        </w:rPr>
        <w:t>lHb</w:t>
      </w:r>
      <w:proofErr w:type="spellEnd"/>
      <w:r w:rsidRPr="00D816AA">
        <w:rPr>
          <w:lang w:val="en-US"/>
        </w:rPr>
        <w:t xml:space="preserve"> regions. (D-F) Quantification graphs of marker expression normalized to the </w:t>
      </w:r>
      <w:proofErr w:type="spellStart"/>
      <w:r w:rsidRPr="00D816AA">
        <w:rPr>
          <w:lang w:val="en-US"/>
        </w:rPr>
        <w:t>mHb</w:t>
      </w:r>
      <w:proofErr w:type="spellEnd"/>
      <w:r w:rsidRPr="00D816AA">
        <w:rPr>
          <w:lang w:val="en-US"/>
        </w:rPr>
        <w:t xml:space="preserve"> signal. GS and GLT-1 expression were significantly higher in the </w:t>
      </w:r>
      <w:proofErr w:type="spellStart"/>
      <w:r w:rsidRPr="00D816AA">
        <w:rPr>
          <w:lang w:val="en-US"/>
        </w:rPr>
        <w:t>lHb</w:t>
      </w:r>
      <w:proofErr w:type="spellEnd"/>
      <w:r w:rsidRPr="00D816AA">
        <w:rPr>
          <w:lang w:val="en-US"/>
        </w:rPr>
        <w:t xml:space="preserve">, while S100β was more enriched in the </w:t>
      </w:r>
      <w:proofErr w:type="spellStart"/>
      <w:r w:rsidRPr="00D816AA">
        <w:rPr>
          <w:lang w:val="en-US"/>
        </w:rPr>
        <w:t>mHb</w:t>
      </w:r>
      <w:proofErr w:type="spellEnd"/>
      <w:r w:rsidRPr="00D816AA">
        <w:rPr>
          <w:lang w:val="en-US"/>
        </w:rPr>
        <w:t>.</w:t>
      </w:r>
      <w:r w:rsidRPr="00D816AA">
        <w:rPr>
          <w:lang w:val="en-US"/>
        </w:rPr>
        <w:br/>
        <w:t xml:space="preserve">Data are presented as mean ± SEM. Statistical significance was determined by unpaired </w:t>
      </w:r>
      <w:r w:rsidRPr="00D816AA">
        <w:rPr>
          <w:i/>
          <w:iCs/>
          <w:lang w:val="en-US"/>
        </w:rPr>
        <w:t>t</w:t>
      </w:r>
      <w:r w:rsidRPr="00D816AA">
        <w:rPr>
          <w:lang w:val="en-US"/>
        </w:rPr>
        <w:t xml:space="preserve">-test. </w:t>
      </w:r>
      <w:r w:rsidRPr="00D816AA">
        <w:rPr>
          <w:i/>
          <w:iCs/>
          <w:lang w:val="en-US"/>
        </w:rPr>
        <w:t>P</w:t>
      </w:r>
      <w:r w:rsidRPr="00D816AA">
        <w:rPr>
          <w:rFonts w:ascii="Arial" w:hAnsi="Arial" w:cs="Arial"/>
          <w:lang w:val="en-US"/>
        </w:rPr>
        <w:t> </w:t>
      </w:r>
      <w:r w:rsidRPr="00D816AA">
        <w:rPr>
          <w:lang w:val="en-US"/>
        </w:rPr>
        <w:t>&lt;</w:t>
      </w:r>
      <w:r w:rsidRPr="00D816AA">
        <w:rPr>
          <w:rFonts w:ascii="Arial" w:hAnsi="Arial" w:cs="Arial"/>
          <w:lang w:val="en-US"/>
        </w:rPr>
        <w:t> </w:t>
      </w:r>
      <w:r w:rsidRPr="00D816AA">
        <w:rPr>
          <w:lang w:val="en-US"/>
        </w:rPr>
        <w:t>0.05; **</w:t>
      </w:r>
      <w:r w:rsidRPr="00D816AA">
        <w:rPr>
          <w:i/>
          <w:iCs/>
          <w:lang w:val="en-US"/>
        </w:rPr>
        <w:t>P</w:t>
      </w:r>
      <w:r w:rsidRPr="00D816AA">
        <w:rPr>
          <w:rFonts w:ascii="Arial" w:hAnsi="Arial" w:cs="Arial"/>
          <w:lang w:val="en-US"/>
        </w:rPr>
        <w:t> </w:t>
      </w:r>
      <w:r w:rsidRPr="00D816AA">
        <w:rPr>
          <w:lang w:val="en-US"/>
        </w:rPr>
        <w:t>&lt;</w:t>
      </w:r>
      <w:r w:rsidRPr="00D816AA">
        <w:rPr>
          <w:rFonts w:ascii="Arial" w:hAnsi="Arial" w:cs="Arial"/>
          <w:lang w:val="en-US"/>
        </w:rPr>
        <w:t> </w:t>
      </w:r>
      <w:r w:rsidRPr="00D816AA">
        <w:rPr>
          <w:lang w:val="en-US"/>
        </w:rPr>
        <w:t>0.01; ***</w:t>
      </w:r>
      <w:r w:rsidRPr="00D816AA">
        <w:rPr>
          <w:i/>
          <w:iCs/>
          <w:lang w:val="en-US"/>
        </w:rPr>
        <w:t>P</w:t>
      </w:r>
      <w:r w:rsidRPr="00D816AA">
        <w:rPr>
          <w:rFonts w:ascii="Arial" w:hAnsi="Arial" w:cs="Arial"/>
          <w:lang w:val="en-US"/>
        </w:rPr>
        <w:t> </w:t>
      </w:r>
      <w:r w:rsidRPr="00D816AA">
        <w:rPr>
          <w:lang w:val="en-US"/>
        </w:rPr>
        <w:t>&lt;</w:t>
      </w:r>
      <w:r w:rsidRPr="00D816AA">
        <w:rPr>
          <w:rFonts w:ascii="Arial" w:hAnsi="Arial" w:cs="Arial"/>
          <w:lang w:val="en-US"/>
        </w:rPr>
        <w:t> </w:t>
      </w:r>
      <w:r w:rsidRPr="00D816AA">
        <w:rPr>
          <w:lang w:val="en-US"/>
        </w:rPr>
        <w:t>0.001. Scale bars: 100</w:t>
      </w:r>
      <w:r w:rsidRPr="00D816AA">
        <w:rPr>
          <w:rFonts w:ascii="Arial" w:hAnsi="Arial" w:cs="Arial"/>
          <w:lang w:val="en-US"/>
        </w:rPr>
        <w:t> </w:t>
      </w:r>
      <w:proofErr w:type="spellStart"/>
      <w:r w:rsidRPr="00D816AA">
        <w:rPr>
          <w:rFonts w:ascii="Aptos" w:hAnsi="Aptos" w:cs="Aptos"/>
          <w:lang w:val="en-US"/>
        </w:rPr>
        <w:t>μ</w:t>
      </w:r>
      <w:r w:rsidRPr="00D816AA">
        <w:rPr>
          <w:lang w:val="en-US"/>
        </w:rPr>
        <w:t>m</w:t>
      </w:r>
      <w:proofErr w:type="spellEnd"/>
      <w:r w:rsidRPr="00D816AA">
        <w:rPr>
          <w:lang w:val="en-US"/>
        </w:rPr>
        <w:t>.</w:t>
      </w:r>
    </w:p>
    <w:p w14:paraId="2D602B3A" w14:textId="77777777" w:rsidR="00D816AA" w:rsidRDefault="00D816AA"/>
    <w:p w14:paraId="1B68A474" w14:textId="77777777" w:rsidR="00D816AA" w:rsidRDefault="00D816AA"/>
    <w:p w14:paraId="0EF11E20" w14:textId="77777777" w:rsidR="00D816AA" w:rsidRDefault="00D816AA"/>
    <w:p w14:paraId="2A016504" w14:textId="77777777" w:rsidR="00D816AA" w:rsidRDefault="00D816AA"/>
    <w:p w14:paraId="485209F9" w14:textId="77777777" w:rsidR="00D816AA" w:rsidRDefault="00D816AA"/>
    <w:p w14:paraId="0113EBD5" w14:textId="77777777" w:rsidR="00D816AA" w:rsidRDefault="00D816AA"/>
    <w:p w14:paraId="7E04B4B1" w14:textId="77777777" w:rsidR="00D816AA" w:rsidRDefault="00D816AA"/>
    <w:p w14:paraId="0B73F9F1" w14:textId="77777777" w:rsidR="00D816AA" w:rsidRDefault="00D816AA"/>
    <w:p w14:paraId="21F206D8" w14:textId="77777777" w:rsidR="00D816AA" w:rsidRDefault="00D816AA"/>
    <w:p w14:paraId="7A3A7C34" w14:textId="77777777" w:rsidR="00D816AA" w:rsidRDefault="00D816AA"/>
    <w:p w14:paraId="3131C5BA" w14:textId="77777777" w:rsidR="00D816AA" w:rsidRDefault="00D816AA"/>
    <w:p w14:paraId="5A58F88E" w14:textId="77777777" w:rsidR="00D816AA" w:rsidRDefault="00D816AA"/>
    <w:p w14:paraId="3FBDEE38" w14:textId="77777777" w:rsidR="00D816AA" w:rsidRDefault="00D816AA"/>
    <w:p w14:paraId="7AA6F60D" w14:textId="77777777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bCs/>
          <w:lang w:val="en-US"/>
        </w:rPr>
        <w:lastRenderedPageBreak/>
        <w:t>Supplementary fig. 1</w:t>
      </w:r>
    </w:p>
    <w:p w14:paraId="723A4AAA" w14:textId="10CA2229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drawing>
          <wp:inline distT="0" distB="0" distL="0" distR="0" wp14:anchorId="56C3FC8C" wp14:editId="6E70B370">
            <wp:extent cx="5731510" cy="3624580"/>
            <wp:effectExtent l="0" t="0" r="2540" b="0"/>
            <wp:docPr id="204412568" name="Picture 10" descr="A diagram of a cell division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412568" name="Picture 10" descr="A diagram of a cell division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624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4F609B" w14:textId="77777777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br w:type="page"/>
      </w:r>
    </w:p>
    <w:p w14:paraId="1D39F619" w14:textId="77777777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bCs/>
          <w:lang w:val="en-US"/>
        </w:rPr>
        <w:lastRenderedPageBreak/>
        <w:t>Supplementary fig. 2</w:t>
      </w:r>
    </w:p>
    <w:p w14:paraId="53A2E41D" w14:textId="08C5C8BA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drawing>
          <wp:inline distT="0" distB="0" distL="0" distR="0" wp14:anchorId="37BC7D2C" wp14:editId="74A0CF5D">
            <wp:extent cx="5731510" cy="3470275"/>
            <wp:effectExtent l="0" t="0" r="2540" b="0"/>
            <wp:docPr id="1111682346" name="Picture 9" descr="A collage of images of different color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1682346" name="Picture 9" descr="A collage of images of different color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7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160DDE" w14:textId="77777777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br w:type="page"/>
      </w:r>
    </w:p>
    <w:p w14:paraId="081ED59E" w14:textId="77777777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bCs/>
          <w:lang w:val="en-US"/>
        </w:rPr>
        <w:lastRenderedPageBreak/>
        <w:t>Supplementary fig. 3</w:t>
      </w:r>
    </w:p>
    <w:p w14:paraId="21F5CB51" w14:textId="3F8BEDC7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drawing>
          <wp:inline distT="0" distB="0" distL="0" distR="0" wp14:anchorId="551AD38E" wp14:editId="58401067">
            <wp:extent cx="5731510" cy="6005195"/>
            <wp:effectExtent l="0" t="0" r="2540" b="0"/>
            <wp:docPr id="1749368417" name="Picture 8" descr="A close-up of several cell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9368417" name="Picture 8" descr="A close-up of several cell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005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85AFC0" w14:textId="77777777" w:rsidR="00D816AA" w:rsidRPr="00D816AA" w:rsidRDefault="00D816AA" w:rsidP="00D816AA">
      <w:pPr>
        <w:rPr>
          <w:lang w:val="en-US"/>
        </w:rPr>
      </w:pPr>
      <w:r w:rsidRPr="00D816AA">
        <w:rPr>
          <w:lang w:val="en-US"/>
        </w:rPr>
        <w:br w:type="page"/>
      </w:r>
    </w:p>
    <w:p w14:paraId="3CB443F9" w14:textId="77777777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bCs/>
          <w:lang w:val="en-US"/>
        </w:rPr>
        <w:lastRenderedPageBreak/>
        <w:t>Supplementary fig. 4</w:t>
      </w:r>
    </w:p>
    <w:p w14:paraId="6AA07E99" w14:textId="2D7A92C8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b/>
          <w:lang w:val="en-US"/>
        </w:rPr>
        <w:drawing>
          <wp:inline distT="0" distB="0" distL="0" distR="0" wp14:anchorId="0132CEDF" wp14:editId="76AEDDA9">
            <wp:extent cx="5731510" cy="3446780"/>
            <wp:effectExtent l="0" t="0" r="2540" b="1270"/>
            <wp:docPr id="1428011045" name="Picture 7" descr="스크린샷, 다채로움, 그래픽 소프트웨어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1" descr="스크린샷, 다채로움, 그래픽 소프트웨어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44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2596F0" w14:textId="77777777" w:rsidR="00D816AA" w:rsidRPr="00D816AA" w:rsidRDefault="00D816AA" w:rsidP="00D816AA">
      <w:pPr>
        <w:rPr>
          <w:b/>
          <w:bCs/>
          <w:lang w:val="en-US"/>
        </w:rPr>
      </w:pPr>
    </w:p>
    <w:p w14:paraId="7F1C497A" w14:textId="77777777" w:rsidR="00D816AA" w:rsidRPr="00D816AA" w:rsidRDefault="00D816AA" w:rsidP="00D816AA">
      <w:pPr>
        <w:rPr>
          <w:rFonts w:hint="eastAsia"/>
          <w:b/>
          <w:bCs/>
          <w:lang w:val="en-US"/>
        </w:rPr>
      </w:pPr>
    </w:p>
    <w:p w14:paraId="7B3BDAC8" w14:textId="77777777" w:rsidR="00D816AA" w:rsidRPr="00D816AA" w:rsidRDefault="00D816AA" w:rsidP="00D816AA">
      <w:pPr>
        <w:rPr>
          <w:rFonts w:hint="eastAsia"/>
          <w:b/>
          <w:bCs/>
          <w:lang w:val="en-US"/>
        </w:rPr>
      </w:pPr>
      <w:r w:rsidRPr="00D816AA">
        <w:rPr>
          <w:b/>
          <w:bCs/>
          <w:lang w:val="en-US"/>
        </w:rPr>
        <w:br w:type="page"/>
      </w:r>
    </w:p>
    <w:p w14:paraId="42452876" w14:textId="77777777" w:rsidR="00D816AA" w:rsidRPr="00D816AA" w:rsidRDefault="00D816AA" w:rsidP="00D816AA">
      <w:pPr>
        <w:rPr>
          <w:rFonts w:hint="eastAsia"/>
          <w:lang w:val="en-US"/>
        </w:rPr>
      </w:pPr>
      <w:r w:rsidRPr="00D816AA">
        <w:rPr>
          <w:b/>
          <w:bCs/>
          <w:lang w:val="en-US"/>
        </w:rPr>
        <w:lastRenderedPageBreak/>
        <w:t>Supplementary fig. 5</w:t>
      </w:r>
    </w:p>
    <w:p w14:paraId="722E0FCE" w14:textId="6F3DFBF8" w:rsidR="00D816AA" w:rsidRPr="00D816AA" w:rsidRDefault="00D816AA" w:rsidP="00D816AA">
      <w:pPr>
        <w:rPr>
          <w:b/>
          <w:bCs/>
          <w:lang w:val="en-US"/>
        </w:rPr>
      </w:pPr>
      <w:r w:rsidRPr="00D816AA">
        <w:rPr>
          <w:lang w:val="en-US"/>
        </w:rPr>
        <w:drawing>
          <wp:inline distT="0" distB="0" distL="0" distR="0" wp14:anchorId="15370427" wp14:editId="5910A95B">
            <wp:extent cx="5731510" cy="6588125"/>
            <wp:effectExtent l="0" t="0" r="2540" b="3175"/>
            <wp:docPr id="1309731726" name="Picture 6" descr="스크린샷, 다채로움, 도표, 텍스트이(가) 표시된 사진&#10;&#10;AI 생성 콘텐츠는 정확하지 않을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그림 10" descr="스크린샷, 다채로움, 도표, 텍스트이(가) 표시된 사진&#10;&#10;AI 생성 콘텐츠는 정확하지 않을 수 있습니다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588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2142FA" w14:textId="77777777" w:rsidR="00D816AA" w:rsidRPr="00D816AA" w:rsidRDefault="00D816AA" w:rsidP="00D816AA">
      <w:pPr>
        <w:rPr>
          <w:rFonts w:hint="eastAsia"/>
          <w:lang w:val="en-US"/>
        </w:rPr>
      </w:pPr>
    </w:p>
    <w:p w14:paraId="7150AFAC" w14:textId="77777777" w:rsidR="00D816AA" w:rsidRDefault="00D816AA"/>
    <w:sectPr w:rsidR="00D816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16AA"/>
    <w:rsid w:val="000C2DC3"/>
    <w:rsid w:val="00767E38"/>
    <w:rsid w:val="00866F7D"/>
    <w:rsid w:val="00D816AA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4E7A3"/>
  <w15:chartTrackingRefBased/>
  <w15:docId w15:val="{47C089F0-E0DD-47EA-8664-86ECBC573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16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16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16A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16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16A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16A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16A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16A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16A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16A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16A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16A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16A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16A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16A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16A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16A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16A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16A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16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16A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16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16A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16A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16A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16A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16A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16A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16A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16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9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2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2025-09-17T13:39:00Z</dcterms:created>
  <dcterms:modified xsi:type="dcterms:W3CDTF">2025-09-17T13:40:00Z</dcterms:modified>
</cp:coreProperties>
</file>