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440" w:rsidRDefault="00BA0440" w:rsidP="00BA0440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>SUPPLEMENTARY FIGURE LEGENDS</w:t>
      </w:r>
    </w:p>
    <w:p w:rsidR="00BA0440" w:rsidRDefault="00BA0440" w:rsidP="00BA0440">
      <w:pPr>
        <w:spacing w:after="0" w:line="360" w:lineRule="auto"/>
        <w:jc w:val="both"/>
        <w:rPr>
          <w:b/>
          <w:bCs/>
          <w:u w:val="single"/>
        </w:rPr>
      </w:pPr>
    </w:p>
    <w:p w:rsidR="00BA0440" w:rsidRDefault="00BA0440" w:rsidP="00BA0440">
      <w:pPr>
        <w:spacing w:line="480" w:lineRule="auto"/>
        <w:jc w:val="both"/>
        <w:rPr>
          <w:b/>
          <w:bCs/>
        </w:rPr>
      </w:pPr>
      <w:r w:rsidRPr="00373D4D">
        <w:rPr>
          <w:b/>
          <w:bCs/>
        </w:rPr>
        <w:t>Supplementary Figure 1</w:t>
      </w:r>
      <w:r>
        <w:rPr>
          <w:b/>
          <w:bCs/>
        </w:rPr>
        <w:t>. Spontaneous locomotion (continued).</w:t>
      </w:r>
      <w:r w:rsidRPr="00373D4D">
        <w:rPr>
          <w:b/>
          <w:bCs/>
        </w:rPr>
        <w:t xml:space="preserve"> </w:t>
      </w:r>
    </w:p>
    <w:p w:rsidR="00BA0440" w:rsidRPr="00AA5635" w:rsidRDefault="00BA0440" w:rsidP="00BA0440">
      <w:pPr>
        <w:spacing w:line="480" w:lineRule="auto"/>
        <w:jc w:val="both"/>
      </w:pPr>
      <w:r w:rsidRPr="00AA5635">
        <w:t xml:space="preserve">Spontaneous Locomotion activity was recorded over three 2 </w:t>
      </w:r>
      <w:proofErr w:type="spellStart"/>
      <w:r w:rsidRPr="00AA5635">
        <w:t>hr</w:t>
      </w:r>
      <w:proofErr w:type="spellEnd"/>
      <w:r w:rsidRPr="00AA5635">
        <w:t xml:space="preserve"> sessions and averaged. (A) Mice fed the western diet showed a significant decrease in the average movement velocity at all </w:t>
      </w:r>
      <w:proofErr w:type="spellStart"/>
      <w:r w:rsidRPr="00AA5635">
        <w:t>timepoints</w:t>
      </w:r>
      <w:proofErr w:type="spellEnd"/>
      <w:r w:rsidRPr="00AA5635">
        <w:t xml:space="preserve"> compared to age-matched chow fed controls, while mice fed the high-fat diet showed a decrease at the 24-week </w:t>
      </w:r>
      <w:proofErr w:type="spellStart"/>
      <w:r w:rsidRPr="00AA5635">
        <w:t>timepoint</w:t>
      </w:r>
      <w:proofErr w:type="spellEnd"/>
      <w:r w:rsidRPr="00AA5635">
        <w:t>. (B) The amount of time sp</w:t>
      </w:r>
      <w:bookmarkStart w:id="0" w:name="_GoBack"/>
      <w:bookmarkEnd w:id="0"/>
      <w:r w:rsidRPr="00AA5635">
        <w:t xml:space="preserve">ent in the anxiety-inducing center area of the open field enclosure was decreased in mice fed the high-fat and western diets compared to controls but not significant at any </w:t>
      </w:r>
      <w:proofErr w:type="spellStart"/>
      <w:r w:rsidRPr="00AA5635">
        <w:t>timepoint</w:t>
      </w:r>
      <w:proofErr w:type="spellEnd"/>
      <w:r w:rsidRPr="00AA5635">
        <w:t xml:space="preserve">. n=9-16 animals per </w:t>
      </w:r>
      <w:proofErr w:type="spellStart"/>
      <w:r w:rsidRPr="00AA5635">
        <w:t>timepoint</w:t>
      </w:r>
      <w:proofErr w:type="spellEnd"/>
      <w:r w:rsidRPr="00AA5635">
        <w:t>, per diet. Data are plotted mean ± 95% CI; data points for each mouse are graphed within each group. *P&lt;0.05, **P&lt;0.01, ***P&lt;0.001, ****P&lt;0.0001 by one-way ANOVA.</w:t>
      </w:r>
    </w:p>
    <w:p w:rsidR="00BA0440" w:rsidRDefault="00BA0440" w:rsidP="00BA0440">
      <w:pPr>
        <w:spacing w:after="0" w:line="480" w:lineRule="auto"/>
        <w:jc w:val="both"/>
        <w:rPr>
          <w:b/>
          <w:bCs/>
          <w:u w:val="single"/>
        </w:rPr>
      </w:pPr>
    </w:p>
    <w:p w:rsidR="00BA0440" w:rsidRDefault="00BA0440" w:rsidP="00BA0440">
      <w:pPr>
        <w:spacing w:line="480" w:lineRule="auto"/>
        <w:jc w:val="both"/>
        <w:rPr>
          <w:b/>
          <w:bCs/>
        </w:rPr>
      </w:pPr>
      <w:r w:rsidRPr="00373D4D">
        <w:rPr>
          <w:b/>
          <w:bCs/>
        </w:rPr>
        <w:t>Supplementary Figure 2</w:t>
      </w:r>
      <w:r>
        <w:rPr>
          <w:b/>
          <w:bCs/>
        </w:rPr>
        <w:t>. SYBR-based qPCR of thoracic IVDs (continued).</w:t>
      </w:r>
      <w:r w:rsidRPr="00373D4D">
        <w:rPr>
          <w:b/>
          <w:bCs/>
        </w:rPr>
        <w:t xml:space="preserve"> </w:t>
      </w:r>
    </w:p>
    <w:p w:rsidR="00BA0440" w:rsidRPr="00AA5635" w:rsidRDefault="00BA0440" w:rsidP="00BA0440">
      <w:pPr>
        <w:spacing w:line="480" w:lineRule="auto"/>
        <w:jc w:val="both"/>
      </w:pPr>
      <w:r w:rsidRPr="00AA5635">
        <w:t xml:space="preserve">SYBR-based qPCR of intact thoracic intervertebral discs showed no significant difference between mice fed a chow, high-fat or western diet at the 12-week and 24-week </w:t>
      </w:r>
      <w:proofErr w:type="spellStart"/>
      <w:r w:rsidRPr="00AA5635">
        <w:t>timepoint</w:t>
      </w:r>
      <w:proofErr w:type="spellEnd"/>
      <w:r w:rsidRPr="00AA5635">
        <w:t xml:space="preserve"> for any genes investigated. At 40-weeks a significant increase was seen in </w:t>
      </w:r>
      <w:r w:rsidRPr="00AA5635">
        <w:rPr>
          <w:i/>
          <w:iCs/>
        </w:rPr>
        <w:t>Mmp12</w:t>
      </w:r>
      <w:r w:rsidRPr="00AA5635">
        <w:t xml:space="preserve"> expression in mice fed a high-fat diet compared to chow control. n=5-8 animals per diet/per </w:t>
      </w:r>
      <w:proofErr w:type="spellStart"/>
      <w:r w:rsidRPr="00AA5635">
        <w:t>timepoint</w:t>
      </w:r>
      <w:proofErr w:type="spellEnd"/>
      <w:r w:rsidRPr="00AA5635">
        <w:t>. Analyzed by one-way ANOVA. All data are plotted mean ± 95% CI; data points for each mouse are graphed within each group. *P&lt;0.05, ***P&lt;0.001.</w:t>
      </w:r>
    </w:p>
    <w:p w:rsidR="00BA0440" w:rsidRDefault="00BA0440" w:rsidP="00BA0440">
      <w:pPr>
        <w:spacing w:after="0" w:line="360" w:lineRule="auto"/>
        <w:jc w:val="both"/>
        <w:rPr>
          <w:b/>
          <w:bCs/>
          <w:u w:val="single"/>
        </w:rPr>
      </w:pPr>
    </w:p>
    <w:p w:rsidR="00BA0440" w:rsidRPr="00A6532A" w:rsidRDefault="00BA0440" w:rsidP="00BA0440">
      <w:pPr>
        <w:rPr>
          <w:b/>
          <w:bCs/>
        </w:rPr>
      </w:pPr>
      <w:r w:rsidRPr="00A6532A">
        <w:rPr>
          <w:b/>
          <w:bCs/>
        </w:rPr>
        <w:t>Supplementary Table 1. Experimental diet compositions</w:t>
      </w:r>
    </w:p>
    <w:p w:rsidR="00BA0440" w:rsidRPr="00A6532A" w:rsidRDefault="00BA0440" w:rsidP="00BA0440">
      <w:pPr>
        <w:spacing w:after="0" w:line="360" w:lineRule="auto"/>
        <w:jc w:val="both"/>
        <w:rPr>
          <w:b/>
          <w:bCs/>
          <w:u w:val="single"/>
        </w:rPr>
      </w:pPr>
    </w:p>
    <w:p w:rsidR="00BA0440" w:rsidRPr="00A6532A" w:rsidRDefault="00BA0440" w:rsidP="00BA0440">
      <w:pPr>
        <w:spacing w:after="0" w:line="360" w:lineRule="auto"/>
        <w:jc w:val="both"/>
        <w:rPr>
          <w:b/>
          <w:bCs/>
        </w:rPr>
      </w:pPr>
      <w:r w:rsidRPr="00A6532A">
        <w:rPr>
          <w:b/>
          <w:bCs/>
        </w:rPr>
        <w:t xml:space="preserve">Supplementary Table 2. Real-time qPCR primer sequences </w:t>
      </w:r>
    </w:p>
    <w:p w:rsidR="00BA0440" w:rsidRPr="00A6532A" w:rsidRDefault="00BA0440" w:rsidP="00BA0440">
      <w:pPr>
        <w:spacing w:after="0" w:line="360" w:lineRule="auto"/>
        <w:jc w:val="both"/>
        <w:rPr>
          <w:b/>
          <w:bCs/>
        </w:rPr>
      </w:pPr>
    </w:p>
    <w:p w:rsidR="00BA0440" w:rsidRPr="00A6532A" w:rsidRDefault="00BA0440" w:rsidP="00BA0440">
      <w:pPr>
        <w:rPr>
          <w:b/>
          <w:bCs/>
        </w:rPr>
      </w:pPr>
      <w:r w:rsidRPr="00A6532A">
        <w:rPr>
          <w:b/>
          <w:bCs/>
        </w:rPr>
        <w:lastRenderedPageBreak/>
        <w:t>Supplementary Table 3. Multiplex analysis of cytokines, chemokines and growth factors in serum (Continued).</w:t>
      </w:r>
    </w:p>
    <w:p w:rsidR="00BA0440" w:rsidRPr="00A6532A" w:rsidRDefault="00BA0440" w:rsidP="00BA0440">
      <w:pPr>
        <w:spacing w:after="0" w:line="360" w:lineRule="auto"/>
        <w:jc w:val="both"/>
        <w:rPr>
          <w:b/>
          <w:bCs/>
          <w:u w:val="single"/>
        </w:rPr>
      </w:pPr>
    </w:p>
    <w:p w:rsidR="006F067B" w:rsidRPr="00BA0440" w:rsidRDefault="00BA0440" w:rsidP="00BA0440">
      <w:pPr>
        <w:rPr>
          <w:b/>
          <w:bCs/>
        </w:rPr>
      </w:pPr>
      <w:r w:rsidRPr="00A6532A">
        <w:rPr>
          <w:b/>
          <w:bCs/>
        </w:rPr>
        <w:t>Supplementary Table 4.</w:t>
      </w:r>
      <w:r w:rsidRPr="00A6532A">
        <w:t xml:space="preserve"> </w:t>
      </w:r>
      <w:r w:rsidRPr="00A6532A">
        <w:rPr>
          <w:b/>
          <w:bCs/>
        </w:rPr>
        <w:t>Association between behavioral indicators of pain and histological joint damage.</w:t>
      </w:r>
    </w:p>
    <w:sectPr w:rsidR="006F067B" w:rsidRPr="00BA04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440"/>
    <w:rsid w:val="006F067B"/>
    <w:rsid w:val="00BA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C676C"/>
  <w15:chartTrackingRefBased/>
  <w15:docId w15:val="{0932B89E-DAF5-4A23-B35F-6AD781DC3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440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1453</Characters>
  <Application>Microsoft Office Word</Application>
  <DocSecurity>0</DocSecurity>
  <Lines>12</Lines>
  <Paragraphs>3</Paragraphs>
  <ScaleCrop>false</ScaleCrop>
  <Company>Springer Nature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2020-09-12T11:36:00Z</dcterms:created>
  <dcterms:modified xsi:type="dcterms:W3CDTF">2020-09-12T11:36:00Z</dcterms:modified>
</cp:coreProperties>
</file>