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3047">
      <w:pPr>
        <w:spacing w:line="360" w:lineRule="auto"/>
        <w:contextualSpacing/>
        <w:jc w:val="center"/>
        <w:outlineLvl w:val="0"/>
        <w:rPr>
          <w:rFonts w:ascii="Times New Roman" w:hAnsi="Times New Roman" w:eastAsia="宋体"/>
          <w:sz w:val="20"/>
          <w:szCs w:val="20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Supplemental </w:t>
      </w:r>
      <w:r>
        <w:rPr>
          <w:rFonts w:ascii="Times New Roman" w:hAnsi="Times New Roman" w:eastAsia="宋体"/>
          <w:sz w:val="24"/>
          <w:szCs w:val="24"/>
        </w:rPr>
        <w:t>Table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1</w:t>
      </w:r>
      <w:r>
        <w:rPr>
          <w:rFonts w:ascii="Times New Roman" w:hAnsi="Times New Roman" w:eastAsia="宋体"/>
          <w:sz w:val="24"/>
          <w:szCs w:val="24"/>
        </w:rPr>
        <w:t xml:space="preserve">. Clinical characteristics of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/>
          <w:sz w:val="24"/>
          <w:szCs w:val="24"/>
        </w:rPr>
        <w:t>utoimmune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-related</w:t>
      </w:r>
      <w:r>
        <w:rPr>
          <w:rFonts w:hint="eastAsia" w:ascii="Times New Roman" w:hAnsi="Times New Roman" w:eastAsia="宋体"/>
          <w:sz w:val="24"/>
          <w:szCs w:val="24"/>
        </w:rPr>
        <w:t xml:space="preserve"> markers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( n=1)</w:t>
      </w:r>
      <w:r>
        <w:rPr>
          <w:rFonts w:ascii="Times New Roman" w:hAnsi="Times New Roman" w:eastAsia="宋体"/>
          <w:sz w:val="24"/>
          <w:szCs w:val="24"/>
        </w:rPr>
        <w:t>.</w:t>
      </w:r>
    </w:p>
    <w:tbl>
      <w:tblPr>
        <w:tblStyle w:val="2"/>
        <w:tblpPr w:leftFromText="180" w:rightFromText="180" w:vertAnchor="text" w:horzAnchor="margin" w:tblpXSpec="center" w:tblpY="162"/>
        <w:tblOverlap w:val="never"/>
        <w:tblW w:w="8577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2855"/>
        <w:gridCol w:w="2228"/>
      </w:tblGrid>
      <w:tr w14:paraId="0B16B3B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79FDD2F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Parameters</w:t>
            </w:r>
          </w:p>
        </w:tc>
        <w:tc>
          <w:tcPr>
            <w:tcW w:w="285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33112A1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Measured values</w:t>
            </w:r>
          </w:p>
        </w:tc>
        <w:tc>
          <w:tcPr>
            <w:tcW w:w="222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9BB2967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Normal range</w:t>
            </w:r>
          </w:p>
        </w:tc>
      </w:tr>
      <w:tr w14:paraId="12183B2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single" w:color="auto" w:sz="4" w:space="0"/>
            </w:tcBorders>
            <w:noWrap w:val="0"/>
            <w:vAlign w:val="center"/>
          </w:tcPr>
          <w:p w14:paraId="7C44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Antinuclear antibodies</w:t>
            </w:r>
          </w:p>
        </w:tc>
        <w:tc>
          <w:tcPr>
            <w:tcW w:w="2855" w:type="dxa"/>
            <w:tcBorders>
              <w:top w:val="single" w:color="auto" w:sz="4" w:space="0"/>
            </w:tcBorders>
            <w:noWrap w:val="0"/>
            <w:vAlign w:val="center"/>
          </w:tcPr>
          <w:p w14:paraId="1270F483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single" w:color="auto" w:sz="4" w:space="0"/>
            </w:tcBorders>
            <w:noWrap w:val="0"/>
            <w:vAlign w:val="bottom"/>
          </w:tcPr>
          <w:p w14:paraId="7154F419">
            <w:pPr>
              <w:widowControl/>
              <w:jc w:val="left"/>
              <w:textAlignment w:val="bottom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2E9F750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shd w:val="clear" w:color="auto" w:fill="F2F2F2"/>
            <w:noWrap w:val="0"/>
            <w:vAlign w:val="center"/>
          </w:tcPr>
          <w:p w14:paraId="35B3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Titration of antinuclear antibodies</w:t>
            </w:r>
          </w:p>
        </w:tc>
        <w:tc>
          <w:tcPr>
            <w:tcW w:w="2855" w:type="dxa"/>
            <w:shd w:val="clear" w:color="auto" w:fill="F2F2F2"/>
            <w:noWrap w:val="0"/>
            <w:vAlign w:val="center"/>
          </w:tcPr>
          <w:p w14:paraId="72D36DA4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shd w:val="clear" w:color="auto" w:fill="F2F2F2"/>
            <w:noWrap w:val="0"/>
            <w:vAlign w:val="bottom"/>
          </w:tcPr>
          <w:p w14:paraId="2AB0C3F3">
            <w:pPr>
              <w:widowControl/>
              <w:jc w:val="left"/>
              <w:textAlignment w:val="bottom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6CF894A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noWrap w:val="0"/>
            <w:vAlign w:val="center"/>
          </w:tcPr>
          <w:p w14:paraId="025D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Anti-nRNP antibody</w:t>
            </w:r>
          </w:p>
        </w:tc>
        <w:tc>
          <w:tcPr>
            <w:tcW w:w="2855" w:type="dxa"/>
            <w:noWrap w:val="0"/>
            <w:vAlign w:val="center"/>
          </w:tcPr>
          <w:p w14:paraId="191D86C4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noWrap w:val="0"/>
            <w:vAlign w:val="center"/>
          </w:tcPr>
          <w:p w14:paraId="1151A401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F41B7C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shd w:val="clear" w:color="auto" w:fill="F2F2F2"/>
            <w:noWrap w:val="0"/>
            <w:vAlign w:val="center"/>
          </w:tcPr>
          <w:p w14:paraId="71A1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Anti-Smith antibody</w:t>
            </w:r>
          </w:p>
        </w:tc>
        <w:tc>
          <w:tcPr>
            <w:tcW w:w="2855" w:type="dxa"/>
            <w:shd w:val="clear" w:color="auto" w:fill="F2F2F2"/>
            <w:noWrap w:val="0"/>
            <w:vAlign w:val="center"/>
          </w:tcPr>
          <w:p w14:paraId="43072350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shd w:val="clear" w:color="auto" w:fill="F2F2F2"/>
            <w:noWrap w:val="0"/>
            <w:vAlign w:val="center"/>
          </w:tcPr>
          <w:p w14:paraId="372FC0C5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048D84E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noWrap w:val="0"/>
            <w:vAlign w:val="center"/>
          </w:tcPr>
          <w:p w14:paraId="53A7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Sjogren's syndrome-A/52</w:t>
            </w:r>
          </w:p>
        </w:tc>
        <w:tc>
          <w:tcPr>
            <w:tcW w:w="2855" w:type="dxa"/>
            <w:noWrap w:val="0"/>
            <w:vAlign w:val="center"/>
          </w:tcPr>
          <w:p w14:paraId="721912B7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noWrap w:val="0"/>
            <w:vAlign w:val="center"/>
          </w:tcPr>
          <w:p w14:paraId="61EAB50C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4B527F1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bottom w:val="nil"/>
            </w:tcBorders>
            <w:shd w:val="clear" w:color="auto" w:fill="F2F2F2"/>
            <w:noWrap w:val="0"/>
            <w:vAlign w:val="center"/>
          </w:tcPr>
          <w:p w14:paraId="1058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Sjogren's syndrome-A/60</w:t>
            </w:r>
          </w:p>
        </w:tc>
        <w:tc>
          <w:tcPr>
            <w:tcW w:w="2855" w:type="dxa"/>
            <w:tcBorders>
              <w:bottom w:val="nil"/>
            </w:tcBorders>
            <w:shd w:val="clear" w:color="auto" w:fill="F2F2F2"/>
            <w:noWrap w:val="0"/>
            <w:vAlign w:val="top"/>
          </w:tcPr>
          <w:p w14:paraId="510D02BC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bottom w:val="nil"/>
            </w:tcBorders>
            <w:shd w:val="clear" w:color="auto" w:fill="F2F2F2"/>
            <w:noWrap w:val="0"/>
            <w:vAlign w:val="center"/>
          </w:tcPr>
          <w:p w14:paraId="02ACDD1B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0E9E237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1DA5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Sjogren's syndrome-B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0F307A3">
            <w:pPr>
              <w:spacing w:line="360" w:lineRule="auto"/>
              <w:contextualSpacing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3EED0020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1FB1DDD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2F2F2"/>
            <w:noWrap w:val="0"/>
            <w:vAlign w:val="center"/>
          </w:tcPr>
          <w:p w14:paraId="639A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Resistant to Scl-70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2F2F2"/>
            <w:noWrap w:val="0"/>
            <w:vAlign w:val="top"/>
          </w:tcPr>
          <w:p w14:paraId="5502F537">
            <w:pPr>
              <w:spacing w:line="360" w:lineRule="auto"/>
              <w:contextualSpacing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2F2F2"/>
            <w:noWrap w:val="0"/>
            <w:vAlign w:val="center"/>
          </w:tcPr>
          <w:p w14:paraId="6964BDFB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B5BAF7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FEC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Resistant to Jo-1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3CD2839C">
            <w:pPr>
              <w:spacing w:line="360" w:lineRule="auto"/>
              <w:contextualSpacing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242F56E5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36500DF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2F2F2"/>
            <w:noWrap w:val="0"/>
            <w:vAlign w:val="center"/>
          </w:tcPr>
          <w:p w14:paraId="1A00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Anti-centromere B antibody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2F2F2"/>
            <w:noWrap w:val="0"/>
            <w:vAlign w:val="center"/>
          </w:tcPr>
          <w:p w14:paraId="7B1FAD0B">
            <w:pPr>
              <w:spacing w:line="360" w:lineRule="auto"/>
              <w:contextualSpacing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2F2F2"/>
            <w:noWrap w:val="0"/>
            <w:vAlign w:val="center"/>
          </w:tcPr>
          <w:p w14:paraId="6586394D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4FAD9D1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A4F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Anti-dsDNA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089747C">
            <w:pPr>
              <w:spacing w:line="360" w:lineRule="auto"/>
              <w:contextualSpacing/>
              <w:jc w:val="left"/>
              <w:outlineLvl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02D87877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138D1FD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0F84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Anti-nucleosome antibodies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004B4F04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2C324140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CC6520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3BF4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Anti-histone antibody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6097D03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4D76597C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54CCBDE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5D999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Anti-ribosomal P protein antibody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0087EE30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144C8318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11E0B0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26CA1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Perinuclear ANCA(pANCA)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08A606EA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5DE65FA8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E2C861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51EA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Cytoplasmic ANCA(cANCA)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11B03DF0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6E0045C0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FE3D5D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1333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Anti-myeloperoxidase antibody IgG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537DA32D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743AF8F6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2642B68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6DD90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Protease 3 antibody IgG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2C7BA99C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F1F1F1" w:themeFill="background1" w:themeFillShade="F2"/>
            <w:noWrap w:val="0"/>
            <w:vAlign w:val="center"/>
          </w:tcPr>
          <w:p w14:paraId="7A1539FA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7CF3678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5E44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Anti-glomerular basement membrane antibody IgG</w:t>
            </w:r>
          </w:p>
        </w:tc>
        <w:tc>
          <w:tcPr>
            <w:tcW w:w="2855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24CA0FA0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  <w:noWrap w:val="0"/>
            <w:vAlign w:val="center"/>
          </w:tcPr>
          <w:p w14:paraId="6C908A2F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  <w:tr w14:paraId="0B392AC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4" w:type="dxa"/>
            <w:tcBorders>
              <w:top w:val="nil"/>
              <w:bottom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4C45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A2B2E"/>
                <w:kern w:val="0"/>
                <w:sz w:val="22"/>
                <w:szCs w:val="22"/>
                <w:u w:val="none"/>
                <w:lang w:val="en-US" w:eastAsia="zh-CN" w:bidi="ar"/>
              </w:rPr>
              <w:t>antinuclear antibodies</w:t>
            </w:r>
          </w:p>
        </w:tc>
        <w:tc>
          <w:tcPr>
            <w:tcW w:w="2855" w:type="dxa"/>
            <w:tcBorders>
              <w:top w:val="nil"/>
              <w:bottom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0613A26">
            <w:pPr>
              <w:spacing w:line="360" w:lineRule="auto"/>
              <w:contextualSpacing/>
              <w:jc w:val="left"/>
              <w:outlineLvl w:val="0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  <w:tc>
          <w:tcPr>
            <w:tcW w:w="2228" w:type="dxa"/>
            <w:tcBorders>
              <w:top w:val="nil"/>
              <w:bottom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1E32A956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Negative</w:t>
            </w:r>
          </w:p>
        </w:tc>
      </w:tr>
    </w:tbl>
    <w:p w14:paraId="7CC31355">
      <w:pPr>
        <w:pStyle w:val="5"/>
        <w:ind w:firstLine="440" w:firstLineChars="200"/>
        <w:jc w:val="center"/>
        <w:rPr>
          <w:rFonts w:hint="eastAsia"/>
          <w:color w:val="auto"/>
          <w:lang w:val="en-US" w:eastAsia="zh-CN"/>
        </w:rPr>
      </w:pPr>
    </w:p>
    <w:p w14:paraId="13343F08">
      <w:pPr>
        <w:pStyle w:val="5"/>
        <w:ind w:firstLine="440" w:firstLineChars="200"/>
        <w:jc w:val="center"/>
        <w:rPr>
          <w:rFonts w:hint="eastAsia"/>
          <w:color w:val="auto"/>
          <w:lang w:val="en-US" w:eastAsia="zh-CN"/>
        </w:rPr>
      </w:pPr>
    </w:p>
    <w:p w14:paraId="740ADC8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0F951807">
      <w:pPr>
        <w:pStyle w:val="5"/>
        <w:ind w:firstLine="440" w:firstLineChars="200"/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Supplemental Table 2. Targeted sequencing of multiple respiratory pathogens (alveolar lavage fluid) .</w:t>
      </w:r>
    </w:p>
    <w:tbl>
      <w:tblPr>
        <w:tblStyle w:val="2"/>
        <w:tblpPr w:leftFromText="180" w:rightFromText="180" w:vertAnchor="text" w:horzAnchor="margin" w:tblpX="1" w:tblpY="162"/>
        <w:tblOverlap w:val="never"/>
        <w:tblW w:w="8975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950"/>
        <w:gridCol w:w="2713"/>
        <w:gridCol w:w="1925"/>
      </w:tblGrid>
      <w:tr w14:paraId="0E2CC53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2387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E2D5780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Parameters</w:t>
            </w:r>
          </w:p>
        </w:tc>
        <w:tc>
          <w:tcPr>
            <w:tcW w:w="195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C433073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Uniform S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 xml:space="preserve">equence 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umber</w:t>
            </w:r>
          </w:p>
        </w:tc>
        <w:tc>
          <w:tcPr>
            <w:tcW w:w="271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E54CA8B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Estimated concentration of microorganisms</w:t>
            </w:r>
          </w:p>
          <w:p w14:paraId="6512ABF6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(copies/mL)</w:t>
            </w:r>
          </w:p>
          <w:p w14:paraId="6BA33A13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7794121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athogenicity</w:t>
            </w:r>
          </w:p>
          <w:p w14:paraId="287DE148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Classification</w:t>
            </w:r>
          </w:p>
        </w:tc>
      </w:tr>
      <w:tr w14:paraId="33E9BCB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2387" w:type="dxa"/>
            <w:tcBorders>
              <w:top w:val="single" w:color="auto" w:sz="4" w:space="0"/>
            </w:tcBorders>
            <w:noWrap w:val="0"/>
            <w:vAlign w:val="center"/>
          </w:tcPr>
          <w:p w14:paraId="43A3A893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Haemophilus influenzae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noWrap w:val="0"/>
            <w:vAlign w:val="center"/>
          </w:tcPr>
          <w:p w14:paraId="38963249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16769</w:t>
            </w:r>
          </w:p>
        </w:tc>
        <w:tc>
          <w:tcPr>
            <w:tcW w:w="2713" w:type="dxa"/>
            <w:tcBorders>
              <w:top w:val="single" w:color="auto" w:sz="4" w:space="0"/>
            </w:tcBorders>
            <w:noWrap w:val="0"/>
            <w:vAlign w:val="bottom"/>
          </w:tcPr>
          <w:p w14:paraId="0551A478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&gt;1.0x10^6</w:t>
            </w:r>
          </w:p>
          <w:p w14:paraId="43CC9C42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25" w:type="dxa"/>
            <w:tcBorders>
              <w:top w:val="single" w:color="auto" w:sz="4" w:space="0"/>
            </w:tcBorders>
            <w:noWrap w:val="0"/>
            <w:vAlign w:val="bottom"/>
          </w:tcPr>
          <w:p w14:paraId="0F4914DE">
            <w:pPr>
              <w:widowControl/>
              <w:jc w:val="left"/>
              <w:textAlignment w:val="bottom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  <w:tr w14:paraId="53BDDFF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87" w:type="dxa"/>
            <w:shd w:val="clear" w:color="auto" w:fill="F2F2F2"/>
            <w:noWrap w:val="0"/>
            <w:vAlign w:val="center"/>
          </w:tcPr>
          <w:p w14:paraId="21ABF4CD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Candida albicans</w:t>
            </w:r>
          </w:p>
        </w:tc>
        <w:tc>
          <w:tcPr>
            <w:tcW w:w="1950" w:type="dxa"/>
            <w:shd w:val="clear" w:color="auto" w:fill="F2F2F2"/>
            <w:noWrap w:val="0"/>
            <w:vAlign w:val="center"/>
          </w:tcPr>
          <w:p w14:paraId="371031D6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2004</w:t>
            </w:r>
          </w:p>
        </w:tc>
        <w:tc>
          <w:tcPr>
            <w:tcW w:w="2713" w:type="dxa"/>
            <w:shd w:val="clear" w:color="auto" w:fill="F2F2F2"/>
            <w:noWrap w:val="0"/>
            <w:vAlign w:val="center"/>
          </w:tcPr>
          <w:p w14:paraId="796A4A50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1.1x10^3</w:t>
            </w:r>
          </w:p>
        </w:tc>
        <w:tc>
          <w:tcPr>
            <w:tcW w:w="1925" w:type="dxa"/>
            <w:shd w:val="clear" w:color="auto" w:fill="F2F2F2"/>
            <w:noWrap w:val="0"/>
            <w:vAlign w:val="center"/>
          </w:tcPr>
          <w:p w14:paraId="2240B86B">
            <w:pPr>
              <w:widowControl/>
              <w:jc w:val="left"/>
              <w:textAlignment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B</w:t>
            </w:r>
          </w:p>
        </w:tc>
      </w:tr>
      <w:tr w14:paraId="7BF3D75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87" w:type="dxa"/>
            <w:noWrap w:val="0"/>
            <w:vAlign w:val="center"/>
          </w:tcPr>
          <w:p w14:paraId="783E50A5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Rhinovirus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 xml:space="preserve"> A</w:t>
            </w:r>
          </w:p>
        </w:tc>
        <w:tc>
          <w:tcPr>
            <w:tcW w:w="1950" w:type="dxa"/>
            <w:noWrap w:val="0"/>
            <w:vAlign w:val="center"/>
          </w:tcPr>
          <w:p w14:paraId="24D6A770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 xml:space="preserve">11296 </w:t>
            </w:r>
          </w:p>
        </w:tc>
        <w:tc>
          <w:tcPr>
            <w:tcW w:w="2713" w:type="dxa"/>
            <w:noWrap w:val="0"/>
            <w:vAlign w:val="center"/>
          </w:tcPr>
          <w:p w14:paraId="5DB6AD74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 xml:space="preserve">&gt;1.0x10^6 </w:t>
            </w:r>
          </w:p>
        </w:tc>
        <w:tc>
          <w:tcPr>
            <w:tcW w:w="1925" w:type="dxa"/>
            <w:noWrap w:val="0"/>
            <w:vAlign w:val="center"/>
          </w:tcPr>
          <w:p w14:paraId="5AB2B0AC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  <w:tr w14:paraId="1B75865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387" w:type="dxa"/>
            <w:shd w:val="clear" w:color="auto" w:fill="F2F2F2"/>
            <w:noWrap w:val="0"/>
            <w:vAlign w:val="center"/>
          </w:tcPr>
          <w:p w14:paraId="31D7918F">
            <w:pPr>
              <w:widowControl/>
              <w:jc w:val="left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uman adenovirus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 xml:space="preserve"> B3</w:t>
            </w:r>
          </w:p>
        </w:tc>
        <w:tc>
          <w:tcPr>
            <w:tcW w:w="1950" w:type="dxa"/>
            <w:shd w:val="clear" w:color="auto" w:fill="F2F2F2"/>
            <w:noWrap w:val="0"/>
            <w:vAlign w:val="center"/>
          </w:tcPr>
          <w:p w14:paraId="4D0B507D">
            <w:pPr>
              <w:spacing w:line="360" w:lineRule="auto"/>
              <w:contextualSpacing/>
              <w:jc w:val="left"/>
              <w:outlineLvl w:val="0"/>
              <w:rPr>
                <w:rFonts w:ascii="Times New Roman" w:hAnsi="Times New Roman" w:eastAsia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  <w:lang w:val="en-US" w:eastAsia="zh-CN"/>
              </w:rPr>
              <w:t>742</w:t>
            </w:r>
          </w:p>
        </w:tc>
        <w:tc>
          <w:tcPr>
            <w:tcW w:w="2713" w:type="dxa"/>
            <w:shd w:val="clear" w:color="auto" w:fill="F2F2F2"/>
            <w:noWrap w:val="0"/>
            <w:vAlign w:val="center"/>
          </w:tcPr>
          <w:p w14:paraId="71455268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 xml:space="preserve">1.9x10^4 </w:t>
            </w:r>
          </w:p>
        </w:tc>
        <w:tc>
          <w:tcPr>
            <w:tcW w:w="1925" w:type="dxa"/>
            <w:shd w:val="clear" w:color="auto" w:fill="F2F2F2"/>
            <w:noWrap w:val="0"/>
            <w:vAlign w:val="center"/>
          </w:tcPr>
          <w:p w14:paraId="7A7717E8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</w:tbl>
    <w:p w14:paraId="1EBF6DEE">
      <w:pPr>
        <w:pStyle w:val="5"/>
        <w:ind w:firstLine="440" w:firstLineChars="200"/>
        <w:rPr>
          <w:rFonts w:hint="eastAsia"/>
          <w:color w:val="auto"/>
          <w:lang w:val="en-US" w:eastAsia="zh-CN"/>
        </w:rPr>
      </w:pPr>
    </w:p>
    <w:p w14:paraId="2F3CF97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7AFC0010">
      <w:pPr>
        <w:pStyle w:val="5"/>
        <w:ind w:firstLine="440" w:firstLineChars="20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Supplemental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Table 3. Targeted sequencing of multiple respiratory pathogens (sputum) .</w:t>
      </w:r>
    </w:p>
    <w:tbl>
      <w:tblPr>
        <w:tblStyle w:val="2"/>
        <w:tblpPr w:leftFromText="180" w:rightFromText="180" w:vertAnchor="text" w:horzAnchor="margin" w:tblpXSpec="center" w:tblpY="162"/>
        <w:tblOverlap w:val="never"/>
        <w:tblW w:w="8884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908"/>
        <w:gridCol w:w="2792"/>
        <w:gridCol w:w="1766"/>
      </w:tblGrid>
      <w:tr w14:paraId="3361AA4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241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BC1E532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Parameters</w:t>
            </w:r>
          </w:p>
        </w:tc>
        <w:tc>
          <w:tcPr>
            <w:tcW w:w="190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FEA3703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Uniform S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 xml:space="preserve">equence 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umber</w:t>
            </w:r>
          </w:p>
        </w:tc>
        <w:tc>
          <w:tcPr>
            <w:tcW w:w="279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1025972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Estimated concentration of microorganisms</w:t>
            </w:r>
          </w:p>
          <w:p w14:paraId="1BBCD041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(copies/mL)</w:t>
            </w:r>
          </w:p>
          <w:p w14:paraId="6A97521C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B104530">
            <w:pPr>
              <w:spacing w:line="360" w:lineRule="auto"/>
              <w:contextualSpacing/>
              <w:jc w:val="center"/>
              <w:outlineLvl w:val="0"/>
              <w:rPr>
                <w:rFonts w:hint="eastAsia"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athogenicity</w:t>
            </w:r>
          </w:p>
          <w:p w14:paraId="59E6DDDC">
            <w:pPr>
              <w:spacing w:line="360" w:lineRule="auto"/>
              <w:contextualSpacing/>
              <w:jc w:val="center"/>
              <w:outlineLvl w:val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Classification</w:t>
            </w:r>
          </w:p>
        </w:tc>
      </w:tr>
      <w:tr w14:paraId="26C02AD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418" w:type="dxa"/>
            <w:tcBorders>
              <w:top w:val="single" w:color="auto" w:sz="4" w:space="0"/>
            </w:tcBorders>
            <w:noWrap w:val="0"/>
            <w:vAlign w:val="center"/>
          </w:tcPr>
          <w:p w14:paraId="6B71AD79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Haemophilus influenzae</w:t>
            </w:r>
          </w:p>
        </w:tc>
        <w:tc>
          <w:tcPr>
            <w:tcW w:w="1908" w:type="dxa"/>
            <w:tcBorders>
              <w:top w:val="single" w:color="auto" w:sz="4" w:space="0"/>
            </w:tcBorders>
            <w:noWrap w:val="0"/>
            <w:vAlign w:val="center"/>
          </w:tcPr>
          <w:p w14:paraId="36FB326E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48188</w:t>
            </w:r>
          </w:p>
        </w:tc>
        <w:tc>
          <w:tcPr>
            <w:tcW w:w="2792" w:type="dxa"/>
            <w:tcBorders>
              <w:top w:val="single" w:color="auto" w:sz="4" w:space="0"/>
            </w:tcBorders>
            <w:noWrap w:val="0"/>
            <w:vAlign w:val="bottom"/>
          </w:tcPr>
          <w:p w14:paraId="4AFB43AA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&gt;1.0x10^6</w:t>
            </w:r>
          </w:p>
          <w:p w14:paraId="6498AEE0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noWrap w:val="0"/>
            <w:vAlign w:val="bottom"/>
          </w:tcPr>
          <w:p w14:paraId="4D0BFFC2">
            <w:pPr>
              <w:widowControl/>
              <w:jc w:val="left"/>
              <w:textAlignment w:val="bottom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  <w:tr w14:paraId="1167E11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8" w:type="dxa"/>
            <w:shd w:val="clear" w:color="auto" w:fill="F2F2F2"/>
            <w:noWrap w:val="0"/>
            <w:vAlign w:val="center"/>
          </w:tcPr>
          <w:p w14:paraId="42D381B9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Staphylococcus aureus</w:t>
            </w:r>
          </w:p>
        </w:tc>
        <w:tc>
          <w:tcPr>
            <w:tcW w:w="1908" w:type="dxa"/>
            <w:shd w:val="clear" w:color="auto" w:fill="F2F2F2"/>
            <w:noWrap w:val="0"/>
            <w:vAlign w:val="center"/>
          </w:tcPr>
          <w:p w14:paraId="076E7F87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78</w:t>
            </w:r>
          </w:p>
        </w:tc>
        <w:tc>
          <w:tcPr>
            <w:tcW w:w="2792" w:type="dxa"/>
            <w:shd w:val="clear" w:color="auto" w:fill="F2F2F2"/>
            <w:noWrap w:val="0"/>
            <w:vAlign w:val="bottom"/>
          </w:tcPr>
          <w:p w14:paraId="3CED72FA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&lt;1.0x10^3</w:t>
            </w:r>
          </w:p>
          <w:p w14:paraId="02BCA1AD">
            <w:pPr>
              <w:widowControl/>
              <w:jc w:val="left"/>
              <w:textAlignment w:val="bottom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766" w:type="dxa"/>
            <w:shd w:val="clear" w:color="auto" w:fill="F2F2F2"/>
            <w:noWrap w:val="0"/>
            <w:vAlign w:val="bottom"/>
          </w:tcPr>
          <w:p w14:paraId="519AFA05">
            <w:pPr>
              <w:widowControl/>
              <w:jc w:val="left"/>
              <w:textAlignment w:val="bottom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  <w:lang w:val="en-US" w:eastAsia="zh-CN"/>
              </w:rPr>
              <w:t>A</w:t>
            </w:r>
          </w:p>
        </w:tc>
      </w:tr>
      <w:tr w14:paraId="28833EB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8" w:type="dxa"/>
            <w:noWrap w:val="0"/>
            <w:vAlign w:val="center"/>
          </w:tcPr>
          <w:p w14:paraId="4A8A30D9">
            <w:pPr>
              <w:widowControl/>
              <w:jc w:val="left"/>
              <w:textAlignment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Candida albicans</w:t>
            </w:r>
          </w:p>
        </w:tc>
        <w:tc>
          <w:tcPr>
            <w:tcW w:w="1908" w:type="dxa"/>
            <w:noWrap w:val="0"/>
            <w:vAlign w:val="center"/>
          </w:tcPr>
          <w:p w14:paraId="41FE9F70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  <w:lang w:val="en-US" w:eastAsia="zh-CN"/>
              </w:rPr>
              <w:t>155</w:t>
            </w:r>
          </w:p>
        </w:tc>
        <w:tc>
          <w:tcPr>
            <w:tcW w:w="2792" w:type="dxa"/>
            <w:noWrap w:val="0"/>
            <w:vAlign w:val="center"/>
          </w:tcPr>
          <w:p w14:paraId="699235F2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&lt;1.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 w:bidi="ar"/>
              </w:rPr>
              <w:t xml:space="preserve">0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x10^3</w:t>
            </w:r>
          </w:p>
        </w:tc>
        <w:tc>
          <w:tcPr>
            <w:tcW w:w="1766" w:type="dxa"/>
            <w:noWrap w:val="0"/>
            <w:vAlign w:val="center"/>
          </w:tcPr>
          <w:p w14:paraId="391160C5">
            <w:pPr>
              <w:widowControl/>
              <w:jc w:val="left"/>
              <w:textAlignment w:val="center"/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B</w:t>
            </w:r>
          </w:p>
        </w:tc>
      </w:tr>
      <w:tr w14:paraId="40C10C6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8" w:type="dxa"/>
            <w:shd w:val="clear" w:color="auto" w:fill="F2F2F2"/>
            <w:noWrap w:val="0"/>
            <w:vAlign w:val="center"/>
          </w:tcPr>
          <w:p w14:paraId="12EF6B87">
            <w:pPr>
              <w:widowControl/>
              <w:jc w:val="left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Rhinovirus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 xml:space="preserve"> A</w:t>
            </w:r>
          </w:p>
        </w:tc>
        <w:tc>
          <w:tcPr>
            <w:tcW w:w="1908" w:type="dxa"/>
            <w:shd w:val="clear" w:color="auto" w:fill="F2F2F2"/>
            <w:noWrap w:val="0"/>
            <w:vAlign w:val="center"/>
          </w:tcPr>
          <w:p w14:paraId="4BA5DE1E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  <w:lang w:val="en-US" w:eastAsia="zh-CN"/>
              </w:rPr>
              <w:t>874</w:t>
            </w:r>
          </w:p>
        </w:tc>
        <w:tc>
          <w:tcPr>
            <w:tcW w:w="2792" w:type="dxa"/>
            <w:shd w:val="clear" w:color="auto" w:fill="F2F2F2"/>
            <w:noWrap w:val="0"/>
            <w:vAlign w:val="center"/>
          </w:tcPr>
          <w:p w14:paraId="19275468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x10^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66" w:type="dxa"/>
            <w:shd w:val="clear" w:color="auto" w:fill="F2F2F2"/>
            <w:noWrap w:val="0"/>
            <w:vAlign w:val="center"/>
          </w:tcPr>
          <w:p w14:paraId="24C95E48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  <w:tr w14:paraId="6EC1F62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8" w:type="dxa"/>
            <w:noWrap w:val="0"/>
            <w:vAlign w:val="center"/>
          </w:tcPr>
          <w:p w14:paraId="563A7F1D">
            <w:pPr>
              <w:widowControl/>
              <w:jc w:val="left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bidi="ar"/>
              </w:rPr>
              <w:t>uman adenovirus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 xml:space="preserve"> 5</w:t>
            </w:r>
          </w:p>
        </w:tc>
        <w:tc>
          <w:tcPr>
            <w:tcW w:w="1908" w:type="dxa"/>
            <w:noWrap w:val="0"/>
            <w:vAlign w:val="center"/>
          </w:tcPr>
          <w:p w14:paraId="21672C25">
            <w:pPr>
              <w:spacing w:line="360" w:lineRule="auto"/>
              <w:contextualSpacing/>
              <w:jc w:val="left"/>
              <w:outlineLvl w:val="0"/>
              <w:rPr>
                <w:rFonts w:hint="default" w:ascii="Times New Roman" w:hAnsi="Times New Roman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  <w:lang w:val="en-US" w:eastAsia="zh-CN"/>
              </w:rPr>
              <w:t>195</w:t>
            </w:r>
          </w:p>
        </w:tc>
        <w:tc>
          <w:tcPr>
            <w:tcW w:w="2792" w:type="dxa"/>
            <w:noWrap w:val="0"/>
            <w:vAlign w:val="center"/>
          </w:tcPr>
          <w:p w14:paraId="2C617916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 w:bidi="ar"/>
              </w:rPr>
              <w:t xml:space="preserve">0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bidi="ar"/>
              </w:rPr>
              <w:t xml:space="preserve">x10^4 </w:t>
            </w:r>
          </w:p>
        </w:tc>
        <w:tc>
          <w:tcPr>
            <w:tcW w:w="1766" w:type="dxa"/>
            <w:noWrap w:val="0"/>
            <w:vAlign w:val="center"/>
          </w:tcPr>
          <w:p w14:paraId="22DA8A9C"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 w:bidi="ar"/>
              </w:rPr>
              <w:t>A</w:t>
            </w:r>
          </w:p>
        </w:tc>
      </w:tr>
    </w:tbl>
    <w:p w14:paraId="5D6643E2">
      <w:pPr>
        <w:pStyle w:val="5"/>
        <w:ind w:firstLine="440" w:firstLineChars="200"/>
        <w:rPr>
          <w:rFonts w:hint="eastAsia"/>
          <w:color w:val="auto"/>
          <w:lang w:val="en-US" w:eastAsia="zh-CN"/>
        </w:rPr>
      </w:pPr>
    </w:p>
    <w:p w14:paraId="0AA643A0">
      <w:r>
        <w:br w:type="page"/>
      </w:r>
    </w:p>
    <w:p w14:paraId="2771EC1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D6C6FF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/>
          <w:color w:val="auto"/>
          <w:lang w:val="en-US" w:eastAsia="zh-CN"/>
        </w:rPr>
        <w:t>Supplemental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Table 4.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X-linked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g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enetic characteristics of agammaglobulinemia patients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across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different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countr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ies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.</w:t>
      </w:r>
    </w:p>
    <w:tbl>
      <w:tblPr>
        <w:tblStyle w:val="3"/>
        <w:tblW w:w="15660" w:type="dxa"/>
        <w:tblInd w:w="-34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20"/>
        <w:gridCol w:w="1610"/>
        <w:gridCol w:w="1730"/>
        <w:gridCol w:w="2030"/>
        <w:gridCol w:w="930"/>
        <w:gridCol w:w="1160"/>
        <w:gridCol w:w="1030"/>
        <w:gridCol w:w="1020"/>
        <w:gridCol w:w="1150"/>
        <w:gridCol w:w="720"/>
        <w:gridCol w:w="1840"/>
      </w:tblGrid>
      <w:tr w14:paraId="0E690F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</w:tcPr>
          <w:p w14:paraId="123FB237">
            <w:pPr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lang w:val="en-US" w:eastAsia="zh-CN"/>
              </w:rPr>
              <w:t>Country</w:t>
            </w:r>
          </w:p>
        </w:tc>
        <w:tc>
          <w:tcPr>
            <w:tcW w:w="1720" w:type="dxa"/>
            <w:tcBorders>
              <w:tl2br w:val="nil"/>
              <w:tr2bl w:val="nil"/>
            </w:tcBorders>
          </w:tcPr>
          <w:p w14:paraId="032A42AE">
            <w:pP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Turkey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NE.Ref.{E1F76942-EE57-4182-8FBE-DFEA3DAAD03C}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[1, 2]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10" w:type="dxa"/>
            <w:tcBorders>
              <w:tl2br w:val="nil"/>
              <w:tr2bl w:val="nil"/>
            </w:tcBorders>
          </w:tcPr>
          <w:p w14:paraId="2B9D4CC8">
            <w:pP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Malaysia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NE.Ref.{A138009D-B34F-482E-910D-F31EFA85952A}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[3, 4]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730" w:type="dxa"/>
            <w:tcBorders>
              <w:tl2br w:val="nil"/>
              <w:tr2bl w:val="nil"/>
            </w:tcBorders>
          </w:tcPr>
          <w:p w14:paraId="6B8E1F01">
            <w:pPr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India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NE.Ref.{579E474D-A688-4515-9361-B3CF4A64FA70}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[5, 6]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030" w:type="dxa"/>
            <w:tcBorders>
              <w:tl2br w:val="nil"/>
              <w:tr2bl w:val="nil"/>
            </w:tcBorders>
          </w:tcPr>
          <w:p w14:paraId="5AE453C4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China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NE.Ref.{2A08ADB7-613C-4EDC-B28C-CB47FF597F68}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[7-15]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930" w:type="dxa"/>
            <w:tcBorders>
              <w:tl2br w:val="nil"/>
              <w:tr2bl w:val="nil"/>
            </w:tcBorders>
          </w:tcPr>
          <w:p w14:paraId="659B8F02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Vietnam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NE.Ref.{2C490DEF-41F0-45FF-B4EC-DB7A527358D5}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[16]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5CD40AEA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FFFFF"/>
              </w:rPr>
              <w:t>merican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NE.Ref.{E950EC9A-CD8A-4DED-9191-4DF6A8DD2584}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[17, 18]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7A85E377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Brazil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NE.Ref.{B4A84160-ECF5-4C98-8610-85CC7969B5B0}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[19]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020" w:type="dxa"/>
            <w:tcBorders>
              <w:tl2br w:val="nil"/>
              <w:tr2bl w:val="nil"/>
            </w:tcBorders>
          </w:tcPr>
          <w:p w14:paraId="3E939FAA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Iran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instrText xml:space="preserve"> ADDIN NE.Ref.{E27135B7-0634-466F-AB9B-519EBCFF2876}</w:instrTex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[20]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50" w:type="dxa"/>
            <w:tcBorders>
              <w:tl2br w:val="nil"/>
              <w:tr2bl w:val="nil"/>
            </w:tcBorders>
          </w:tcPr>
          <w:p w14:paraId="35E38F78">
            <w:pPr>
              <w:tabs>
                <w:tab w:val="center" w:pos="1038"/>
              </w:tabs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3"/>
                <w:szCs w:val="13"/>
                <w:shd w:val="clear" w:fill="FFFFFF"/>
              </w:rPr>
              <w:t>Slovakia</w:t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  <w:vertAlign w:val="baseline"/>
                <w:lang w:val="en-US" w:eastAsia="zh-CN"/>
              </w:rPr>
              <w:instrText xml:space="preserve"> ADDIN NE.Ref.{689D7E1D-47BB-4F35-B7CD-F4098C74CB03}</w:instrText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</w:rPr>
              <w:t>[21, 22]</w:t>
            </w:r>
            <w:r>
              <w:rPr>
                <w:rFonts w:hint="default" w:ascii="Times New Roman" w:hAnsi="Times New Roman" w:cs="Times New Roman"/>
                <w:color w:val="auto"/>
                <w:sz w:val="13"/>
                <w:szCs w:val="13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 w14:paraId="3BFE27F4">
            <w:pPr>
              <w:tabs>
                <w:tab w:val="center" w:pos="1038"/>
              </w:tabs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Italy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instrText xml:space="preserve"> ADDIN NE.Ref.{A6440409-1BAD-427D-B284-765AC1958C79}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[23]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end"/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993BB09">
            <w:pPr>
              <w:tabs>
                <w:tab w:val="center" w:pos="1038"/>
              </w:tabs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13"/>
                <w:szCs w:val="13"/>
                <w:shd w:val="clear" w:fill="F7F7F7"/>
              </w:rPr>
              <w:t>New Zealand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instrText xml:space="preserve"> ADDIN NE.Ref.{2A4C457B-6472-4D80-9E65-BF551B7BA863}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80000"/>
                <w:sz w:val="13"/>
                <w:szCs w:val="13"/>
              </w:rPr>
              <w:t>[24]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sz w:val="13"/>
                <w:szCs w:val="13"/>
                <w:shd w:val="clear" w:fill="FFFFFF"/>
                <w:lang w:val="en-US" w:eastAsia="zh-CN"/>
              </w:rPr>
              <w:fldChar w:fldCharType="end"/>
            </w:r>
          </w:p>
        </w:tc>
      </w:tr>
      <w:tr w14:paraId="1F6A6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</w:tcPr>
          <w:p w14:paraId="6059C8F7">
            <w:pPr>
              <w:rPr>
                <w:rFonts w:hint="default" w:ascii="Times New Roman" w:hAnsi="Times New Roman" w:cs="Times New Roman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X-linked</w:t>
            </w:r>
          </w:p>
        </w:tc>
        <w:tc>
          <w:tcPr>
            <w:tcW w:w="1720" w:type="dxa"/>
            <w:tcBorders>
              <w:tl2br w:val="nil"/>
              <w:tr2bl w:val="nil"/>
            </w:tcBorders>
          </w:tcPr>
          <w:p w14:paraId="537AE37A">
            <w:pPr>
              <w:rPr>
                <w:rFonts w:hint="default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c.226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G&gt;T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p.Glu76Te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 ;</w:t>
            </w:r>
          </w:p>
          <w:p w14:paraId="0244FBF1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c.1289 A&gt;G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p.Lys430Arg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22CA03CF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c.36 G&gt;C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p.Lys12Asn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6EBD0F1F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c.1563 C&gt;A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p.Asp521Glu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4D850E23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c.1835 A&gt;C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p.Gln612Pro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27BE9310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c.1684 C&gt;T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p.Arg562Trp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076888DB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c.493 T&gt;G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p.Cys165Gly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32C2BA53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c.83 G&gt;A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p.Arg28His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2C33224A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c.83 G&gt;A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p.Arg28His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07FF3AC2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c.1573 C&gt;G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p.Arg525Gly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4E6F8B1D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c.337 G&gt;A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p.Val113Ile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31FA1723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c.763 C&gt;T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p.Arg255Ter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294F33BF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c.36 G&gt;C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p.Lys12Asn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0AA2D3DE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c.1383 T&gt;G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p.Try461Ter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65A61414">
            <w:pPr>
              <w:rPr>
                <w:rFonts w:hint="eastAsia" w:ascii="Times New Roman" w:hAnsi="Times New Roman" w:cs="Times New Roman" w:eastAsiaTheme="minorEastAsia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c.226 G&gt;T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p.Glu76Ter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  <w:p w14:paraId="3F09D468">
            <w:pP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5FFF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c.790C &gt; T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3"/>
                <w:szCs w:val="13"/>
              </w:rPr>
              <w:t>p.Gln264Ter</w:t>
            </w:r>
            <w:r>
              <w:rPr>
                <w:rFonts w:hint="eastAsia" w:ascii="Times New Roman" w:hAnsi="Times New Roman" w:cs="Times New Roman"/>
                <w:sz w:val="13"/>
                <w:szCs w:val="13"/>
                <w:lang w:val="en-US" w:eastAsia="zh-CN"/>
              </w:rPr>
              <w:t>);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</w:tcPr>
          <w:p w14:paraId="2ADE3D58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c.589_894del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;</w:t>
            </w:r>
          </w:p>
          <w:p w14:paraId="3998B203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c.1103_1129del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;</w:t>
            </w:r>
          </w:p>
          <w:p w14:paraId="5450404E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c.1103_1115del;</w:t>
            </w:r>
          </w:p>
          <w:p w14:paraId="4EBBBA23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c.1102_1103ins[NG_009616.1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g.33472_33639;GG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;</w:t>
            </w:r>
          </w:p>
          <w:p w14:paraId="0022F003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c.1181C&gt;A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;</w:t>
            </w:r>
          </w:p>
          <w:p w14:paraId="132BA5ED"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5FFF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eastAsia="zh-CN"/>
              </w:rPr>
              <w:t>c.1559G&gt;T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color="auto" w:fill="auto"/>
                <w:lang w:val="en-US" w:eastAsia="zh-CN"/>
              </w:rPr>
              <w:t>;</w:t>
            </w:r>
          </w:p>
          <w:p w14:paraId="08412E3C"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5FFF0"/>
                <w:lang w:eastAsia="zh-CN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</w:tcPr>
          <w:p w14:paraId="7EE30794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>chrX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>100,624,323–100,629,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>619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；</w:t>
            </w:r>
          </w:p>
          <w:p w14:paraId="535AA6BE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c.158_159insG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7072844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c.1325_1326insT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F77E2BB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c.164dupC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773CE7A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IVS6-1C&gt;T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c.392-1G&gt;A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07E43FF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c.518_518delG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DBF8123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c.513_513delG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FE3A01C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c.233_234delAG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3D793BC9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c.1646_1650delATGAA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67BAB537">
            <w:pPr>
              <w:rPr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eastAsia="zh-CN"/>
              </w:rPr>
              <w:t>c.1104 A&gt;G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Consolas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 xml:space="preserve"> </w:t>
            </w:r>
          </w:p>
          <w:p w14:paraId="4BE54AF7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c.1325dupT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p.F442fsX2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);</w:t>
            </w:r>
          </w:p>
          <w:p w14:paraId="1AF18FEC">
            <w:pPr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  <w:p w14:paraId="12678B32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</w:p>
        </w:tc>
        <w:tc>
          <w:tcPr>
            <w:tcW w:w="2030" w:type="dxa"/>
            <w:tcBorders>
              <w:tl2br w:val="nil"/>
              <w:tr2bl w:val="nil"/>
            </w:tcBorders>
          </w:tcPr>
          <w:p w14:paraId="30360726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c.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3G&gt;A</w:t>
            </w:r>
            <w:r>
              <w:rPr>
                <w:rFonts w:hint="eastAsia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;</w:t>
            </w:r>
          </w:p>
          <w:p w14:paraId="3BC5B29A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c.G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1574C</w:t>
            </w:r>
            <w:r>
              <w:rPr>
                <w:rFonts w:hint="eastAsia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p.R525P</w:t>
            </w: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&gt;A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;</w:t>
            </w:r>
          </w:p>
          <w:p w14:paraId="5E60CE20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c.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854</w:t>
            </w: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＞C(p.Arg285Pro);</w:t>
            </w:r>
          </w:p>
          <w:p w14:paraId="0D9FAB8B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c.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185</w:t>
            </w:r>
            <w:r>
              <w:rPr>
                <w:rFonts w:hint="default" w:ascii="Times New Roman" w:hAnsi="Times New Roman" w:cs="Times New Roman" w:eastAsiaTheme="minorEastAsia"/>
                <w:color w:val="231F20"/>
                <w:kern w:val="0"/>
                <w:sz w:val="13"/>
                <w:szCs w:val="13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＞A;</w:t>
            </w:r>
          </w:p>
          <w:p w14:paraId="23725741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ChrX:IVS17:c.1750+2T</w:t>
            </w:r>
            <w:r>
              <w:rPr>
                <w:rFonts w:hint="eastAsia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&gt;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G Hemi;</w:t>
            </w:r>
          </w:p>
          <w:p w14:paraId="7916CFEF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chrX:100617547;</w:t>
            </w:r>
          </w:p>
          <w:p w14:paraId="67E3310A">
            <w:pPr>
              <w:jc w:val="left"/>
              <w:rPr>
                <w:rFonts w:hint="eastAsia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c.1333G＞T;NM_000061.2</w:t>
            </w:r>
            <w:r>
              <w:rPr>
                <w:rFonts w:hint="eastAsia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:</w:t>
            </w:r>
          </w:p>
          <w:p w14:paraId="0A8862DE">
            <w:pPr>
              <w:jc w:val="left"/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c.1430T&gt;A,p.(Met477Lys);</w:t>
            </w:r>
          </w:p>
          <w:p w14:paraId="2C7954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c.504G&gt;T[p.K168N]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73466D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c.895-2A&gt;G [p.Del K290 fs 23]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E73F9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c.910T&gt;G [p.F304V]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0BE37D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c.1132T&gt;C [p.T334H]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021D48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c.1562A&gt;T[p.D521V]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A74B4D4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c.1957delG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[Del p.D653 fs plus 45 a.a.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54385C0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c.1900 T &gt; 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405F46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c.897delG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3D79AF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c.1751-6_1755delttctagGGGTT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627A7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101367539_101376531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E2DAB50"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CF0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CF0"/>
              </w:rPr>
              <w:t> c.240G &gt;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CF0"/>
                <w:lang w:val="en-US" w:eastAsia="zh-CN"/>
              </w:rPr>
              <w:t>;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CF0"/>
              </w:rPr>
              <w:t> </w:t>
            </w:r>
          </w:p>
          <w:p w14:paraId="162E95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c.902_c.904delAAG/p.E301del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A1F7BB3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c.64C &gt; G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EC04C6D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c.1349 + 5G &gt;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A3F904A">
            <w:pPr>
              <w:jc w:val="left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c.1684C&gt;T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IVS8+2T&gt;C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 xml:space="preserve"> c.298C&gt;T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  <w:bookmarkStart w:id="0" w:name="_GoBack"/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highlight w:val="none"/>
                <w:shd w:val="clear" w:fill="FFFFFF"/>
                <w:lang w:val="en-US" w:eastAsia="zh-CN"/>
              </w:rPr>
              <w:t>IVS3-2A&gt;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highlight w:val="none"/>
                <w:shd w:val="clear" w:fill="FFFFFF"/>
                <w:lang w:val="en-US" w:eastAsia="zh-CN"/>
              </w:rPr>
              <w:t>G;</w:t>
            </w:r>
            <w:bookmarkEnd w:id="0"/>
          </w:p>
          <w:p w14:paraId="5FDD7DCE">
            <w:pPr>
              <w:jc w:val="left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c.164T&gt;A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153DFAF">
            <w:pPr>
              <w:jc w:val="left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c.204C&gt;G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7381160E">
            <w:pPr>
              <w:jc w:val="left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c.913C&gt;T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69600081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c.824G&gt;A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 xml:space="preserve"> </w:t>
            </w:r>
          </w:p>
          <w:p w14:paraId="1B709AF4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</w:tcPr>
          <w:p w14:paraId="2546A4CF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c.441G&gt;A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344E63B7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c.1770delG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C21A857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c.1742delG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4D37C20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c.1249A &gt;T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6BE2C709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</w:tcPr>
          <w:p w14:paraId="6CB8E665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 xml:space="preserve">c.1899C&gt;T 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p.Cys633Cys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3E5C441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 xml:space="preserve">c.226G&gt;T 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p.Glu76*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7E30374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 xml:space="preserve">c.1573C&gt;G 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p.Arg525Gly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2B625F1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 xml:space="preserve">c.1289A&gt;G 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p.Lys430Arg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B102056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c.36G&gt;C (p.Lys12Asn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C1FEABF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c.1563C&gt;A (p.Asp521Glu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352AA9B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c.1835A&gt;C (p.Gln612Pro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72139F67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c.1684C&gt;T (p.Arg562Trp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08A8B0C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c.493T&gt;G (p.Cys165Gly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EF6114D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c.83G&gt;A (p.Arg28His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E5C1F10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c.83G&gt;A (p.Arg28His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A96BE0C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c.1573C&gt;G (p.Arg525Gly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7D3599EB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c.337G&gt;A (p.Val113Ile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B279315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c.763C&gt;T (p.Arg255*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8F4DC19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c.493T&gt;G (p.Cys165Gly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5DDD595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c.1980+119A&gt;C (c.*119A&gt;C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7EFD808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c.36G&gt;C (p.Lys12Asn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0BE434DD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c.1383T&gt;G (p.Tyr461*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1361FC9E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c.226G&gt;T (p.Glu76*</w:t>
            </w:r>
            <w:r>
              <w:rPr>
                <w:rFonts w:hint="default" w:ascii="Times New Roman" w:hAnsi="Times New Roman" w:cs="Times New Roman"/>
                <w:color w:val="231F20"/>
                <w:kern w:val="0"/>
                <w:sz w:val="13"/>
                <w:szCs w:val="13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668C0956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  <w:t>c.1492C &gt; 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61A282C0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 w14:paraId="0AA7C3E0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>c.1751G&gt;A</w:t>
            </w:r>
          </w:p>
          <w:p w14:paraId="6B7F38F7">
            <w:pP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</w:rPr>
              <w:t>p.Gly584Glu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13"/>
                <w:szCs w:val="13"/>
                <w:shd w:val="clear" w:fill="FFFFFF"/>
                <w:lang w:val="en-US" w:eastAsia="zh-CN"/>
              </w:rPr>
              <w:t>)</w:t>
            </w:r>
          </w:p>
        </w:tc>
        <w:tc>
          <w:tcPr>
            <w:tcW w:w="1020" w:type="dxa"/>
            <w:tcBorders>
              <w:tl2br w:val="nil"/>
              <w:tr2bl w:val="nil"/>
            </w:tcBorders>
          </w:tcPr>
          <w:p w14:paraId="1D92C07D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c.428A&gt;T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 xml:space="preserve"> p.His143Leu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29AE2B8A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1896G&gt;A;</w:t>
            </w:r>
          </w:p>
          <w:p w14:paraId="403B913E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IVS12+1G&gt;A;</w:t>
            </w:r>
          </w:p>
          <w:p w14:paraId="6758EBDA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2084A&gt;G;</w:t>
            </w:r>
          </w:p>
          <w:p w14:paraId="72646E97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1783T&gt;C</w:t>
            </w:r>
          </w:p>
        </w:tc>
        <w:tc>
          <w:tcPr>
            <w:tcW w:w="1150" w:type="dxa"/>
            <w:tcBorders>
              <w:tl2br w:val="nil"/>
              <w:tr2bl w:val="nil"/>
            </w:tcBorders>
          </w:tcPr>
          <w:p w14:paraId="5AADF647">
            <w:pPr>
              <w:rPr>
                <w:rFonts w:hint="default" w:ascii="Times New Roman" w:hAnsi="Times New Roman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3"/>
                <w:szCs w:val="13"/>
              </w:rPr>
              <w:t>p.W124C (g.51465G&gt;C, p.Trp124Cys)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;</w:t>
            </w:r>
          </w:p>
          <w:p w14:paraId="60D9E848">
            <w:pPr>
              <w:rPr>
                <w:rFonts w:hint="default" w:ascii="Times New Roman" w:hAnsi="Times New Roman" w:eastAsia="宋体" w:cs="Times New Roman"/>
                <w:sz w:val="13"/>
                <w:szCs w:val="13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c.1843C&gt;T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 w14:paraId="37A3F237">
            <w:pPr>
              <w:rPr>
                <w:rFonts w:hint="default"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sz w:val="13"/>
                <w:szCs w:val="13"/>
              </w:rPr>
              <w:t>c.1555T p.H519Y</w:t>
            </w:r>
          </w:p>
          <w:p w14:paraId="6DB6C7E0">
            <w:pPr>
              <w:rPr>
                <w:rFonts w:hint="default" w:ascii="Times New Roman" w:hAnsi="Times New Roman" w:eastAsia="宋体" w:cs="Times New Roman"/>
                <w:sz w:val="13"/>
                <w:szCs w:val="13"/>
                <w:lang w:eastAsia="zh-CN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6A3290B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c.1691G &gt;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5132DC86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c.1906_1908GAG &gt; TTT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;</w:t>
            </w:r>
          </w:p>
          <w:p w14:paraId="49AB0D0B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 xml:space="preserve">c.1581_1584delTTTG， C527fsX528 </w:t>
            </w:r>
          </w:p>
          <w:p w14:paraId="1CF8B662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1567-2A &gt; 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IVS15-2A &gt; 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)</w:t>
            </w:r>
          </w:p>
          <w:p w14:paraId="54ECD0BE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776 + 1G &gt;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  <w:t>IVS8 + 1G &gt; 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  <w:lang w:val="en-US" w:eastAsia="zh-CN"/>
              </w:rPr>
              <w:t>)</w:t>
            </w:r>
          </w:p>
          <w:p w14:paraId="29E5F02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121"/>
                <w:spacing w:val="0"/>
                <w:sz w:val="13"/>
                <w:szCs w:val="13"/>
                <w:shd w:val="clear" w:fill="FFFFFF"/>
              </w:rPr>
            </w:pPr>
          </w:p>
        </w:tc>
      </w:tr>
    </w:tbl>
    <w:p w14:paraId="4BDF653A"/>
    <w:p w14:paraId="5C5F9C72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Reference</w:t>
      </w:r>
    </w:p>
    <w:p w14:paraId="48EF7384">
      <w:pPr>
        <w:rPr>
          <w:rFonts w:hint="eastAsia"/>
        </w:rPr>
      </w:pPr>
      <w:r>
        <w:rPr>
          <w:rFonts w:hint="eastAsia"/>
        </w:rPr>
        <w:t>[1].</w:t>
      </w:r>
      <w:r>
        <w:rPr>
          <w:rFonts w:hint="eastAsia"/>
        </w:rPr>
        <w:tab/>
      </w:r>
      <w:r>
        <w:rPr>
          <w:rFonts w:hint="eastAsia"/>
        </w:rPr>
        <w:t>Yildirim, I., et al., Erratum: X-linked agammaglobulinemia: investigation of clinical and laboratory  findings, novel gene mutations and prevention of infective complications in  long-term follow-up. Am J Clin Exp Immunol, 2021. 10(2): p. 63-64.</w:t>
      </w:r>
    </w:p>
    <w:p w14:paraId="6B0DC60B">
      <w:pPr>
        <w:rPr>
          <w:rFonts w:hint="eastAsia"/>
        </w:rPr>
      </w:pPr>
      <w:r>
        <w:rPr>
          <w:rFonts w:hint="eastAsia"/>
        </w:rPr>
        <w:t>[2].</w:t>
      </w:r>
      <w:r>
        <w:rPr>
          <w:rFonts w:hint="eastAsia"/>
        </w:rPr>
        <w:tab/>
      </w:r>
      <w:r>
        <w:rPr>
          <w:rFonts w:hint="eastAsia"/>
        </w:rPr>
        <w:t>Topyildiz, E., et al., A Novel BLNK Gene Mutation in a Four-Year-Old Child Who Presented with Late Onset  of Severe Infections and High IgM Levels and Diagnosed and Followed as X-Linked  Agammaglobulinemia for Two Years. Case Reports Immunol, 2022. 2022: p. 7313009.</w:t>
      </w:r>
    </w:p>
    <w:p w14:paraId="625D55A2">
      <w:pPr>
        <w:rPr>
          <w:rFonts w:hint="eastAsia"/>
        </w:rPr>
      </w:pPr>
      <w:r>
        <w:rPr>
          <w:rFonts w:hint="eastAsia"/>
        </w:rPr>
        <w:t>[3].</w:t>
      </w:r>
      <w:r>
        <w:rPr>
          <w:rFonts w:hint="eastAsia"/>
        </w:rPr>
        <w:tab/>
      </w:r>
      <w:r>
        <w:rPr>
          <w:rFonts w:hint="eastAsia"/>
        </w:rPr>
        <w:t>Chear, C.T., et al., Clinical features and mutational analysis of X-linked agammaglobulinemia patients in Malaysia. Front Immunol, 2023. 14: p. 1252765.</w:t>
      </w:r>
    </w:p>
    <w:p w14:paraId="2A20551A">
      <w:pPr>
        <w:rPr>
          <w:rFonts w:hint="eastAsia"/>
        </w:rPr>
      </w:pPr>
      <w:r>
        <w:rPr>
          <w:rFonts w:hint="eastAsia"/>
        </w:rPr>
        <w:t>[4].</w:t>
      </w:r>
      <w:r>
        <w:rPr>
          <w:rFonts w:hint="eastAsia"/>
        </w:rPr>
        <w:tab/>
      </w:r>
      <w:r>
        <w:rPr>
          <w:rFonts w:hint="eastAsia"/>
        </w:rPr>
        <w:t>Jain, A., et al., Whole genome sequencing identifies novel structural variant in a large Indian  family affected with X-linked agammaglobulinemia. PLoS One, 2021. 16(7): p. e0254407.</w:t>
      </w:r>
    </w:p>
    <w:p w14:paraId="69863665">
      <w:pPr>
        <w:rPr>
          <w:rFonts w:hint="eastAsia"/>
        </w:rPr>
      </w:pPr>
      <w:r>
        <w:rPr>
          <w:rFonts w:hint="eastAsia"/>
        </w:rPr>
        <w:t>[5].</w:t>
      </w:r>
      <w:r>
        <w:rPr>
          <w:rFonts w:hint="eastAsia"/>
        </w:rPr>
        <w:tab/>
      </w:r>
      <w:r>
        <w:rPr>
          <w:rFonts w:hint="eastAsia"/>
        </w:rPr>
        <w:t>Rawat, A., et al., Clinical and Genetic Profile of X-Linked Agammaglobulinemia: A Multicenter  Experience From India. Front Immunol, 2020. 11: p. 612323.</w:t>
      </w:r>
    </w:p>
    <w:p w14:paraId="77443742">
      <w:pPr>
        <w:rPr>
          <w:rFonts w:hint="eastAsia"/>
        </w:rPr>
      </w:pPr>
      <w:r>
        <w:rPr>
          <w:rFonts w:hint="eastAsia"/>
        </w:rPr>
        <w:t>[6].</w:t>
      </w:r>
      <w:r>
        <w:rPr>
          <w:rFonts w:hint="eastAsia"/>
        </w:rPr>
        <w:tab/>
      </w:r>
      <w:r>
        <w:rPr>
          <w:rFonts w:hint="eastAsia"/>
        </w:rPr>
        <w:t>Rawat, A., et al., Case Report: Whole exome sequencing identifies a novel frameshift insertion  c.1325dupT (p.F442fsX2) in the tyrosine kinase domain of BTK gene in a young Indian individual with X-linked agammaglobulinemia. F1000Res, 2016. 5: p. 2667.</w:t>
      </w:r>
    </w:p>
    <w:p w14:paraId="49C6159D">
      <w:pPr>
        <w:rPr>
          <w:rFonts w:hint="eastAsia"/>
        </w:rPr>
      </w:pPr>
      <w:r>
        <w:rPr>
          <w:rFonts w:hint="eastAsia"/>
        </w:rPr>
        <w:t>[7].</w:t>
      </w:r>
      <w:r>
        <w:rPr>
          <w:rFonts w:hint="eastAsia"/>
        </w:rPr>
        <w:tab/>
      </w:r>
      <w:r>
        <w:rPr>
          <w:rFonts w:hint="eastAsia"/>
        </w:rPr>
        <w:t>Lu X Y, et al. X-linked agammaglobulinemia caused by BTK gene mutation: A report of 2 cases. National Medical Journal of China, 2023, 103(19): 1504-1506.</w:t>
      </w:r>
    </w:p>
    <w:p w14:paraId="58E61DA7">
      <w:pPr>
        <w:rPr>
          <w:rFonts w:hint="eastAsia"/>
        </w:rPr>
      </w:pPr>
      <w:r>
        <w:rPr>
          <w:rFonts w:hint="eastAsia"/>
        </w:rPr>
        <w:t>[8].</w:t>
      </w:r>
      <w:r>
        <w:rPr>
          <w:rFonts w:hint="eastAsia"/>
        </w:rPr>
        <w:tab/>
      </w:r>
      <w:r>
        <w:rPr>
          <w:rFonts w:hint="eastAsia"/>
        </w:rPr>
        <w:t>Deng Y H, et al. Diagnosis of X-linked severe combined immunodeficiency in the neonatal period: A case report. Chinese Journal of Neonatology (Chinese &amp; English Edition), 2024, 39(8): 494-496.</w:t>
      </w:r>
    </w:p>
    <w:p w14:paraId="60D18D56">
      <w:pPr>
        <w:rPr>
          <w:rFonts w:hint="eastAsia"/>
        </w:rPr>
      </w:pPr>
      <w:r>
        <w:rPr>
          <w:rFonts w:hint="eastAsia"/>
        </w:rPr>
        <w:t>[9].</w:t>
      </w:r>
      <w:r>
        <w:rPr>
          <w:rFonts w:hint="eastAsia"/>
        </w:rPr>
        <w:tab/>
      </w:r>
      <w:r>
        <w:rPr>
          <w:rFonts w:hint="eastAsia"/>
        </w:rPr>
        <w:t>Yeh, Y.H., et al., Distinct Clinical Features and Novel Mutations in Taiwanese Patients With X-Linked Agammaglobulinemia. Front Immunol, 2020. 11: p. 2001.</w:t>
      </w:r>
    </w:p>
    <w:p w14:paraId="20D33BD3">
      <w:pPr>
        <w:rPr>
          <w:rFonts w:hint="eastAsia"/>
        </w:rPr>
      </w:pPr>
      <w:r>
        <w:rPr>
          <w:rFonts w:hint="eastAsia"/>
        </w:rPr>
        <w:t>[10].</w:t>
      </w:r>
      <w:r>
        <w:rPr>
          <w:rFonts w:hint="eastAsia"/>
        </w:rPr>
        <w:tab/>
      </w:r>
      <w:r>
        <w:rPr>
          <w:rFonts w:hint="eastAsia"/>
        </w:rPr>
        <w:t>Zhou, Q., et al., Identification of four novel mutations in BTK from six Chinese families with X-linked agammaglobulinemia. Clin Chim Acta, 2022. 531: p. 48-55.</w:t>
      </w:r>
    </w:p>
    <w:p w14:paraId="516EB5EF">
      <w:pPr>
        <w:rPr>
          <w:rFonts w:hint="eastAsia"/>
        </w:rPr>
      </w:pPr>
      <w:r>
        <w:rPr>
          <w:rFonts w:hint="eastAsia"/>
        </w:rPr>
        <w:t>[11].</w:t>
      </w:r>
      <w:r>
        <w:rPr>
          <w:rFonts w:hint="eastAsia"/>
        </w:rPr>
        <w:tab/>
      </w:r>
      <w:r>
        <w:rPr>
          <w:rFonts w:hint="eastAsia"/>
        </w:rPr>
        <w:t>Song, Y., et al., IgA nephropathy in a child with X-linked agammaglobulinemia: a case report. BMC Pediatrics, 2024. 24(1).</w:t>
      </w:r>
    </w:p>
    <w:p w14:paraId="619BD55E">
      <w:pPr>
        <w:rPr>
          <w:rFonts w:hint="eastAsia"/>
        </w:rPr>
      </w:pPr>
      <w:r>
        <w:rPr>
          <w:rFonts w:hint="eastAsia"/>
        </w:rPr>
        <w:t>[12].</w:t>
      </w:r>
      <w:r>
        <w:rPr>
          <w:rFonts w:hint="eastAsia"/>
        </w:rPr>
        <w:tab/>
      </w:r>
      <w:r>
        <w:rPr>
          <w:rFonts w:hint="eastAsia"/>
        </w:rPr>
        <w:t>Hu, X.M., et al., Novel deletion mutation in Bruton's tyrosine kinase results in X-linked agammaglobulinemia: A case report. World J Clin Cases, 2020. 8(17): p. 3859-3866.</w:t>
      </w:r>
    </w:p>
    <w:p w14:paraId="220A91FD">
      <w:pPr>
        <w:rPr>
          <w:rFonts w:hint="eastAsia"/>
        </w:rPr>
      </w:pPr>
      <w:r>
        <w:rPr>
          <w:rFonts w:hint="eastAsia"/>
        </w:rPr>
        <w:t>[13].</w:t>
      </w:r>
      <w:r>
        <w:rPr>
          <w:rFonts w:hint="eastAsia"/>
        </w:rPr>
        <w:tab/>
      </w:r>
      <w:r>
        <w:rPr>
          <w:rFonts w:hint="eastAsia"/>
        </w:rPr>
        <w:t>Yang, Y., et al., Identification by whole-exome sequencing of novel mutation c.64C &gt; G in the BTK gene of a fetus with X-linked agammaglobulinemia. Ultrasound in obstetrics &amp; gynecology: the official journal of the International Society of Ultrasound in Obstetrics and Gynecology, 2015. 45(6): p. 753-754.</w:t>
      </w:r>
    </w:p>
    <w:p w14:paraId="7333CE10">
      <w:pPr>
        <w:rPr>
          <w:rFonts w:hint="eastAsia"/>
        </w:rPr>
      </w:pPr>
      <w:r>
        <w:rPr>
          <w:rFonts w:hint="eastAsia"/>
        </w:rPr>
        <w:t>[14].</w:t>
      </w:r>
      <w:r>
        <w:rPr>
          <w:rFonts w:hint="eastAsia"/>
        </w:rPr>
        <w:tab/>
      </w:r>
      <w:r>
        <w:rPr>
          <w:rFonts w:hint="eastAsia"/>
        </w:rPr>
        <w:t>Zhang, Y.N., et al., Delayed diagnosis of X-linked agammaglobulinaemia in a boy with recurrent  meningitis. BMC Neurol, 2019. 19(1): p. 320.</w:t>
      </w:r>
    </w:p>
    <w:p w14:paraId="42056D65">
      <w:pPr>
        <w:rPr>
          <w:rFonts w:hint="eastAsia"/>
        </w:rPr>
      </w:pPr>
      <w:r>
        <w:rPr>
          <w:rFonts w:hint="eastAsia"/>
        </w:rPr>
        <w:t>[15].</w:t>
      </w:r>
      <w:r>
        <w:rPr>
          <w:rFonts w:hint="eastAsia"/>
        </w:rPr>
        <w:tab/>
      </w:r>
      <w:r>
        <w:rPr>
          <w:rFonts w:hint="eastAsia"/>
        </w:rPr>
        <w:t>Wang J C, Liu X X. Clinical features and gene mutation analysis of 7 children with primary immunodeficiency diseases. Chinese Journal of Contemporary Pediatrics, 2018, 20(4): 285-289.</w:t>
      </w:r>
    </w:p>
    <w:p w14:paraId="264DE5AE">
      <w:pPr>
        <w:rPr>
          <w:rFonts w:hint="eastAsia"/>
        </w:rPr>
      </w:pPr>
      <w:r>
        <w:rPr>
          <w:rFonts w:hint="eastAsia"/>
        </w:rPr>
        <w:t>[16].</w:t>
      </w:r>
      <w:r>
        <w:rPr>
          <w:rFonts w:hint="eastAsia"/>
        </w:rPr>
        <w:tab/>
      </w:r>
      <w:r>
        <w:rPr>
          <w:rFonts w:hint="eastAsia"/>
        </w:rPr>
        <w:t>Vu, Q.V., et al., Clinical and mutational features of Vietnamese children with X-linked  agammaglobulinemia. BMC Pediatr, 2014. 14: p. 129.</w:t>
      </w:r>
    </w:p>
    <w:p w14:paraId="0D63ACD9">
      <w:pPr>
        <w:rPr>
          <w:rFonts w:hint="eastAsia"/>
        </w:rPr>
      </w:pPr>
      <w:r>
        <w:rPr>
          <w:rFonts w:hint="eastAsia"/>
        </w:rPr>
        <w:t>[17].</w:t>
      </w:r>
      <w:r>
        <w:rPr>
          <w:rFonts w:hint="eastAsia"/>
        </w:rPr>
        <w:tab/>
      </w:r>
      <w:r>
        <w:rPr>
          <w:rFonts w:hint="eastAsia"/>
        </w:rPr>
        <w:t>Yildirim, I., et al., X-linked agammaglobulinemia: investigation of clinical and laboratory findings,  novel gene mutations and prevention of infective complications in long-term  follow-up. Am J Clin Exp Immunol, 2021. 10(1): p. 37-43.</w:t>
      </w:r>
    </w:p>
    <w:p w14:paraId="398F755F">
      <w:pPr>
        <w:rPr>
          <w:rFonts w:hint="eastAsia"/>
        </w:rPr>
      </w:pPr>
      <w:r>
        <w:rPr>
          <w:rFonts w:hint="eastAsia"/>
        </w:rPr>
        <w:t>[18].</w:t>
      </w:r>
      <w:r>
        <w:rPr>
          <w:rFonts w:hint="eastAsia"/>
        </w:rPr>
        <w:tab/>
      </w:r>
      <w:r>
        <w:rPr>
          <w:rFonts w:hint="eastAsia"/>
        </w:rPr>
        <w:t>Kalkat, A., O. Humpel and R. Hostoffer, Novel BTK Mutation in Patient with Late Diagnosis of X-Linked Agammaglobulinemia. Case Reports Immunol, 2023. 2023: p. 6698913.</w:t>
      </w:r>
    </w:p>
    <w:p w14:paraId="5C74CDCE">
      <w:pPr>
        <w:rPr>
          <w:rFonts w:hint="eastAsia"/>
        </w:rPr>
      </w:pPr>
      <w:r>
        <w:rPr>
          <w:rFonts w:hint="eastAsia"/>
        </w:rPr>
        <w:t>[19].</w:t>
      </w:r>
      <w:r>
        <w:rPr>
          <w:rFonts w:hint="eastAsia"/>
        </w:rPr>
        <w:tab/>
      </w:r>
      <w:r>
        <w:rPr>
          <w:rFonts w:hint="eastAsia"/>
        </w:rPr>
        <w:t>Francisco, J.R., et al., Clinical and genetic findings in two siblings with X-Linked agammaglobulinemia  and bronchiolitis obliterans: a case report. BMC Pediatr, 2022. 22(1): p. 181.</w:t>
      </w:r>
    </w:p>
    <w:p w14:paraId="4473CBD3">
      <w:pPr>
        <w:rPr>
          <w:rFonts w:hint="eastAsia"/>
        </w:rPr>
      </w:pPr>
      <w:r>
        <w:rPr>
          <w:rFonts w:hint="eastAsia"/>
        </w:rPr>
        <w:t>[20].</w:t>
      </w:r>
      <w:r>
        <w:rPr>
          <w:rFonts w:hint="eastAsia"/>
        </w:rPr>
        <w:tab/>
      </w:r>
      <w:r>
        <w:rPr>
          <w:rFonts w:hint="eastAsia"/>
        </w:rPr>
        <w:t>Aghamohammadi, A., et al., Screening of the Bruton Tyrosine Kinase (BTK) Gene Mutations in 13 Iranian  Patients with Presumed X-Linked Agammaglobulinemia. Iran J Allergy Asthma Immunol, 2004. 3(4): p. 175-9.</w:t>
      </w:r>
    </w:p>
    <w:p w14:paraId="6440B411">
      <w:pPr>
        <w:rPr>
          <w:rFonts w:hint="eastAsia"/>
        </w:rPr>
      </w:pPr>
      <w:r>
        <w:rPr>
          <w:rFonts w:hint="eastAsia"/>
        </w:rPr>
        <w:t>[21].</w:t>
      </w:r>
      <w:r>
        <w:rPr>
          <w:rFonts w:hint="eastAsia"/>
        </w:rPr>
        <w:tab/>
      </w:r>
      <w:r>
        <w:rPr>
          <w:rFonts w:hint="eastAsia"/>
        </w:rPr>
        <w:t>Havlicekova, Z., et al., X-linked agammaglobulinemia caused by new mutation in BTK gene: a case report. Biomed Pap Med Fac Univ Palacky Olomouc Czech Repub, 2014. 158(3): p. 470-3.</w:t>
      </w:r>
    </w:p>
    <w:p w14:paraId="38DC2604">
      <w:pPr>
        <w:rPr>
          <w:rFonts w:hint="eastAsia"/>
        </w:rPr>
      </w:pPr>
      <w:r>
        <w:rPr>
          <w:rFonts w:hint="eastAsia"/>
        </w:rPr>
        <w:t>[22].</w:t>
      </w:r>
      <w:r>
        <w:rPr>
          <w:rFonts w:hint="eastAsia"/>
        </w:rPr>
        <w:tab/>
      </w:r>
      <w:r>
        <w:rPr>
          <w:rFonts w:hint="eastAsia"/>
        </w:rPr>
        <w:t>Markocsy, A., et al., Atypical Manifestation of X-linked Agammaglobulinemia - the Importance of Genetic  Testing. Acta Medica (Hradec Kralove), 2024. 67(2): p. 60-63.</w:t>
      </w:r>
    </w:p>
    <w:p w14:paraId="33E9228B">
      <w:pPr>
        <w:rPr>
          <w:rFonts w:hint="eastAsia"/>
        </w:rPr>
      </w:pPr>
      <w:r>
        <w:rPr>
          <w:rFonts w:hint="eastAsia"/>
        </w:rPr>
        <w:t>[23].</w:t>
      </w:r>
      <w:r>
        <w:rPr>
          <w:rFonts w:hint="eastAsia"/>
        </w:rPr>
        <w:tab/>
      </w:r>
      <w:r>
        <w:rPr>
          <w:rFonts w:hint="eastAsia"/>
        </w:rPr>
        <w:t>Riccardi, N., et al., Pseudomonas aeruginosa severe skin infection in a toddler with X-linked  agammaglobulinemia due to a novel BTK mutation. Infez Med, 2019. 27(1): p. 73-76.</w:t>
      </w:r>
    </w:p>
    <w:p w14:paraId="4146172B">
      <w:r>
        <w:rPr>
          <w:rFonts w:hint="eastAsia"/>
        </w:rPr>
        <w:t>[24].</w:t>
      </w:r>
      <w:r>
        <w:rPr>
          <w:rFonts w:hint="eastAsia"/>
        </w:rPr>
        <w:tab/>
      </w:r>
      <w:r>
        <w:rPr>
          <w:rFonts w:hint="eastAsia"/>
        </w:rPr>
        <w:t>Woon, S.T. and R. Ameratunga, Comprehensive genetic testing for primary immunodeficiency disorders in a  tertiary hospital: 10-year experience in Auckland, New Zealand. Allergy Asthma Clin Immunol, 2016. 12: p. 65.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6707"/>
    <w:rsid w:val="00502424"/>
    <w:rsid w:val="04ED23F9"/>
    <w:rsid w:val="05104339"/>
    <w:rsid w:val="056567AD"/>
    <w:rsid w:val="074672DA"/>
    <w:rsid w:val="07603356"/>
    <w:rsid w:val="0B5B1213"/>
    <w:rsid w:val="0C472848"/>
    <w:rsid w:val="0C49740D"/>
    <w:rsid w:val="0CC25F19"/>
    <w:rsid w:val="0D7B0568"/>
    <w:rsid w:val="0D914897"/>
    <w:rsid w:val="0F9067A2"/>
    <w:rsid w:val="106D42C0"/>
    <w:rsid w:val="11EC57E6"/>
    <w:rsid w:val="12282CC2"/>
    <w:rsid w:val="14587163"/>
    <w:rsid w:val="157B3EF3"/>
    <w:rsid w:val="15934801"/>
    <w:rsid w:val="15C56A7A"/>
    <w:rsid w:val="15CC605B"/>
    <w:rsid w:val="17171557"/>
    <w:rsid w:val="183F66D6"/>
    <w:rsid w:val="18784278"/>
    <w:rsid w:val="1AD559B1"/>
    <w:rsid w:val="1B4B7A22"/>
    <w:rsid w:val="1F3A4035"/>
    <w:rsid w:val="1F5275D0"/>
    <w:rsid w:val="1FA565DA"/>
    <w:rsid w:val="20195940"/>
    <w:rsid w:val="20340AE6"/>
    <w:rsid w:val="206A094A"/>
    <w:rsid w:val="20E406FC"/>
    <w:rsid w:val="20F63F8C"/>
    <w:rsid w:val="21715D2F"/>
    <w:rsid w:val="222F3BF9"/>
    <w:rsid w:val="22FC3726"/>
    <w:rsid w:val="231E427C"/>
    <w:rsid w:val="232555CE"/>
    <w:rsid w:val="23B009E2"/>
    <w:rsid w:val="257B0F03"/>
    <w:rsid w:val="26A64C5A"/>
    <w:rsid w:val="26FC6074"/>
    <w:rsid w:val="28983E1D"/>
    <w:rsid w:val="2AD661CA"/>
    <w:rsid w:val="2B8C166D"/>
    <w:rsid w:val="2BB807BB"/>
    <w:rsid w:val="2BDF1F0A"/>
    <w:rsid w:val="2BF808D8"/>
    <w:rsid w:val="2D253561"/>
    <w:rsid w:val="2D5A77C0"/>
    <w:rsid w:val="2F3C6F86"/>
    <w:rsid w:val="30705DD3"/>
    <w:rsid w:val="31295CB7"/>
    <w:rsid w:val="313E5C07"/>
    <w:rsid w:val="31796C3F"/>
    <w:rsid w:val="318B7570"/>
    <w:rsid w:val="336254B1"/>
    <w:rsid w:val="339B6475"/>
    <w:rsid w:val="33AB6E58"/>
    <w:rsid w:val="34117602"/>
    <w:rsid w:val="34314634"/>
    <w:rsid w:val="34AD76E7"/>
    <w:rsid w:val="352D27C8"/>
    <w:rsid w:val="353B4B37"/>
    <w:rsid w:val="354B444E"/>
    <w:rsid w:val="355D2B6D"/>
    <w:rsid w:val="35D11A99"/>
    <w:rsid w:val="35E508A6"/>
    <w:rsid w:val="362A675A"/>
    <w:rsid w:val="36421CF5"/>
    <w:rsid w:val="36527A5E"/>
    <w:rsid w:val="39AD5051"/>
    <w:rsid w:val="3B286FE0"/>
    <w:rsid w:val="3C5E53AF"/>
    <w:rsid w:val="3C991F43"/>
    <w:rsid w:val="3CC33275"/>
    <w:rsid w:val="3D25588D"/>
    <w:rsid w:val="3E0B0C1F"/>
    <w:rsid w:val="3E3C7C33"/>
    <w:rsid w:val="3E8751F4"/>
    <w:rsid w:val="407E5CAF"/>
    <w:rsid w:val="4151103E"/>
    <w:rsid w:val="419E624E"/>
    <w:rsid w:val="41CA24BF"/>
    <w:rsid w:val="426D5DB8"/>
    <w:rsid w:val="42E34F87"/>
    <w:rsid w:val="43CC70A2"/>
    <w:rsid w:val="43D171EE"/>
    <w:rsid w:val="446A74A4"/>
    <w:rsid w:val="45642386"/>
    <w:rsid w:val="45BF76C2"/>
    <w:rsid w:val="47B6609F"/>
    <w:rsid w:val="4957464A"/>
    <w:rsid w:val="49F42EAF"/>
    <w:rsid w:val="4AC80D07"/>
    <w:rsid w:val="4CCD0D31"/>
    <w:rsid w:val="4D526D7E"/>
    <w:rsid w:val="4EC2357B"/>
    <w:rsid w:val="4F196F13"/>
    <w:rsid w:val="50B60EBE"/>
    <w:rsid w:val="536D773E"/>
    <w:rsid w:val="5531510A"/>
    <w:rsid w:val="56E36785"/>
    <w:rsid w:val="58A253FD"/>
    <w:rsid w:val="591A311E"/>
    <w:rsid w:val="59961079"/>
    <w:rsid w:val="5999312B"/>
    <w:rsid w:val="5A7F4896"/>
    <w:rsid w:val="5BB4249E"/>
    <w:rsid w:val="5BBC1352"/>
    <w:rsid w:val="5BF31218"/>
    <w:rsid w:val="5CDA4186"/>
    <w:rsid w:val="5EA04238"/>
    <w:rsid w:val="5ECF6FCF"/>
    <w:rsid w:val="5F6D710E"/>
    <w:rsid w:val="5FAF0602"/>
    <w:rsid w:val="5FB23198"/>
    <w:rsid w:val="60545FFD"/>
    <w:rsid w:val="60E42D4B"/>
    <w:rsid w:val="614222D7"/>
    <w:rsid w:val="61742A83"/>
    <w:rsid w:val="61FC4B9F"/>
    <w:rsid w:val="621413D9"/>
    <w:rsid w:val="6373430D"/>
    <w:rsid w:val="63B868A3"/>
    <w:rsid w:val="67FC2F15"/>
    <w:rsid w:val="67FE7267"/>
    <w:rsid w:val="68EB3277"/>
    <w:rsid w:val="6A4610AD"/>
    <w:rsid w:val="6AA70B95"/>
    <w:rsid w:val="6C621AA2"/>
    <w:rsid w:val="6D0F5D7A"/>
    <w:rsid w:val="6EB55EC5"/>
    <w:rsid w:val="6ECC34DB"/>
    <w:rsid w:val="6F0D7E9E"/>
    <w:rsid w:val="6F437969"/>
    <w:rsid w:val="70224441"/>
    <w:rsid w:val="70253512"/>
    <w:rsid w:val="71755BBC"/>
    <w:rsid w:val="71D84CE0"/>
    <w:rsid w:val="72606E27"/>
    <w:rsid w:val="74820F33"/>
    <w:rsid w:val="751B4EE4"/>
    <w:rsid w:val="75E12667"/>
    <w:rsid w:val="76E35B18"/>
    <w:rsid w:val="76FA6DC8"/>
    <w:rsid w:val="77C83101"/>
    <w:rsid w:val="77F51B55"/>
    <w:rsid w:val="794A0CC8"/>
    <w:rsid w:val="79A656C4"/>
    <w:rsid w:val="79B17BC5"/>
    <w:rsid w:val="7A2D33CE"/>
    <w:rsid w:val="7A9D6F8D"/>
    <w:rsid w:val="7B9A0F0D"/>
    <w:rsid w:val="7BCA64C6"/>
    <w:rsid w:val="7BCB7664"/>
    <w:rsid w:val="7BD858DD"/>
    <w:rsid w:val="7C02295A"/>
    <w:rsid w:val="7D2232B3"/>
    <w:rsid w:val="7D5578C2"/>
    <w:rsid w:val="7E1370A0"/>
    <w:rsid w:val="7E81400A"/>
    <w:rsid w:val="7EAF0B77"/>
    <w:rsid w:val="7FC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430</Words>
  <Characters>3586</Characters>
  <Lines>0</Lines>
  <Paragraphs>0</Paragraphs>
  <TotalTime>7</TotalTime>
  <ScaleCrop>false</ScaleCrop>
  <LinksUpToDate>false</LinksUpToDate>
  <CharactersWithSpaces>3791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2025-04-05T03:36:00Z</dcterms:created>
  <dc:creator>wuping</dc:creator>
  <cp:lastModifiedBy>13级 武平</cp:lastModifiedBy>
  <cp:lastPrinted>2025-06-15T03:06:00Z</cp:lastPrinted>
  <dcterms:modified xsi:type="dcterms:W3CDTF">2025-09-04T16:33:32Z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eyJoZGlkIjoiMTY4NmJmYjE5NWI0YTFlYTJjYTE0YzY5MWE2MDhjMDkiLCJ1c2VySWQiOiIyMzc0MTI2MTUifQ==</vt:lpwstr>
  </property>
  <property fmtid="{D5CDD505-2E9C-101B-9397-08002B2CF9AE}" pid="4" name="ICV">
    <vt:lpwstr>BC972FCEAE324D1985AC350F1A76024A_12</vt:lpwstr>
  </property>
</Properties>
</file>