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AC392D">
      <w:pPr>
        <w:pStyle w:val="9"/>
        <w:spacing w:line="480" w:lineRule="auto"/>
        <w:jc w:val="center"/>
        <w:rPr>
          <w:rFonts w:ascii="Times New Roman" w:hAnsi="Times New Roman" w:cs="Times New Roman"/>
          <w:b/>
          <w:bCs/>
          <w:color w:val="222222"/>
          <w:sz w:val="28"/>
          <w:szCs w:val="28"/>
        </w:rPr>
      </w:pPr>
      <w:bookmarkStart w:id="0" w:name="OLE_LINK16"/>
      <w:bookmarkStart w:id="1" w:name="OLE_LINK13"/>
      <w:r>
        <w:rPr>
          <w:rFonts w:ascii="Times New Roman" w:hAnsi="Times New Roman" w:cs="Times New Roman"/>
          <w:b/>
          <w:bCs/>
          <w:color w:val="222222"/>
          <w:sz w:val="28"/>
          <w:szCs w:val="28"/>
        </w:rPr>
        <w:t>A deep learning methodology for fully-automated quantification of calcific burden in high-resolution intravascular ultrasound</w:t>
      </w:r>
      <w:bookmarkEnd w:id="0"/>
      <w:r>
        <w:rPr>
          <w:rFonts w:ascii="Times New Roman" w:hAnsi="Times New Roman" w:cs="Times New Roman"/>
          <w:b/>
          <w:bCs/>
          <w:color w:val="222222"/>
          <w:sz w:val="28"/>
          <w:szCs w:val="28"/>
        </w:rPr>
        <w:t xml:space="preserve"> images</w:t>
      </w:r>
    </w:p>
    <w:p w14:paraId="231A2028">
      <w:pPr>
        <w:pStyle w:val="9"/>
        <w:spacing w:line="480" w:lineRule="auto"/>
        <w:jc w:val="center"/>
        <w:rPr>
          <w:rFonts w:ascii="Times New Roman" w:hAnsi="Times New Roman" w:cs="Times New Roman"/>
          <w:b/>
          <w:bCs/>
          <w:color w:val="222222"/>
          <w:sz w:val="28"/>
          <w:szCs w:val="28"/>
        </w:rPr>
      </w:pPr>
    </w:p>
    <w:bookmarkEnd w:id="1"/>
    <w:p w14:paraId="3C5069D6">
      <w:pPr>
        <w:pStyle w:val="9"/>
        <w:spacing w:line="480" w:lineRule="auto"/>
        <w:jc w:val="center"/>
        <w:rPr>
          <w:rFonts w:ascii="Times New Roman" w:hAnsi="Times New Roman" w:cs="Times New Roman"/>
          <w:b/>
          <w:bCs/>
          <w:color w:val="222222"/>
          <w:sz w:val="24"/>
          <w:szCs w:val="24"/>
        </w:rPr>
      </w:pPr>
      <w:r>
        <w:rPr>
          <w:rFonts w:ascii="Times New Roman" w:hAnsi="Times New Roman" w:cs="Times New Roman"/>
          <w:b/>
          <w:bCs/>
          <w:color w:val="222222"/>
          <w:sz w:val="24"/>
          <w:szCs w:val="24"/>
        </w:rPr>
        <w:t>Supplement</w:t>
      </w:r>
    </w:p>
    <w:p w14:paraId="0FD8B92C">
      <w:pPr>
        <w:spacing w:line="480" w:lineRule="auto"/>
        <w:jc w:val="center"/>
        <w:rPr>
          <w:sz w:val="22"/>
          <w:szCs w:val="22"/>
          <w:vertAlign w:val="superscript"/>
        </w:rPr>
      </w:pPr>
      <w:r>
        <w:rPr>
          <w:sz w:val="22"/>
          <w:szCs w:val="22"/>
        </w:rPr>
        <w:t>Xingwei He, MD</w:t>
      </w:r>
      <w:r>
        <w:rPr>
          <w:sz w:val="22"/>
          <w:szCs w:val="22"/>
          <w:vertAlign w:val="superscript"/>
        </w:rPr>
        <w:t>1,2</w:t>
      </w:r>
      <w:r>
        <w:rPr>
          <w:sz w:val="22"/>
          <w:szCs w:val="22"/>
        </w:rPr>
        <w:t>; Mohamed O. Mohamed, PhD</w:t>
      </w:r>
      <w:r>
        <w:rPr>
          <w:sz w:val="22"/>
          <w:szCs w:val="22"/>
          <w:vertAlign w:val="superscript"/>
        </w:rPr>
        <w:t>1,3</w:t>
      </w:r>
      <w:r>
        <w:rPr>
          <w:rFonts w:hint="eastAsia" w:eastAsia="宋体"/>
          <w:sz w:val="22"/>
          <w:szCs w:val="22"/>
          <w:vertAlign w:val="superscript"/>
          <w:lang w:val="en-US" w:eastAsia="zh-CN"/>
        </w:rPr>
        <w:t>,</w:t>
      </w:r>
      <w:r>
        <w:rPr>
          <w:rFonts w:eastAsia="宋体"/>
          <w:sz w:val="22"/>
          <w:szCs w:val="22"/>
          <w:vertAlign w:val="superscript"/>
          <w:lang w:val="en-US" w:eastAsia="zh-CN"/>
        </w:rPr>
        <w:t xml:space="preserve"> </w:t>
      </w:r>
      <w:r>
        <w:rPr>
          <w:sz w:val="22"/>
          <w:szCs w:val="22"/>
        </w:rPr>
        <w:t>; Nathaniel Yu Jian Ng</w:t>
      </w:r>
      <w:r>
        <w:rPr>
          <w:rFonts w:hint="eastAsia" w:eastAsia="宋体"/>
          <w:sz w:val="22"/>
          <w:szCs w:val="22"/>
          <w:lang w:val="en-US" w:eastAsia="zh-CN"/>
        </w:rPr>
        <w:t xml:space="preserve">, </w:t>
      </w:r>
      <w:r>
        <w:rPr>
          <w:sz w:val="22"/>
          <w:szCs w:val="22"/>
        </w:rPr>
        <w:t>MBChB</w:t>
      </w:r>
      <w:r>
        <w:rPr>
          <w:sz w:val="22"/>
          <w:szCs w:val="22"/>
          <w:vertAlign w:val="superscript"/>
        </w:rPr>
        <w:t>1</w:t>
      </w:r>
      <w:r>
        <w:rPr>
          <w:sz w:val="22"/>
          <w:szCs w:val="22"/>
          <w:shd w:val="clear" w:color="auto" w:fill="FFFFFF"/>
        </w:rPr>
        <w:t>; Thamil Kumaran, PhD</w:t>
      </w:r>
      <w:r>
        <w:rPr>
          <w:sz w:val="22"/>
          <w:szCs w:val="22"/>
          <w:vertAlign w:val="superscript"/>
        </w:rPr>
        <w:t>4</w:t>
      </w:r>
      <w:r>
        <w:rPr>
          <w:sz w:val="22"/>
          <w:szCs w:val="22"/>
          <w:shd w:val="clear" w:color="auto" w:fill="FFFFFF"/>
        </w:rPr>
        <w:t>; Retesh Bajaj,</w:t>
      </w:r>
      <w:r>
        <w:rPr>
          <w:sz w:val="22"/>
          <w:szCs w:val="22"/>
        </w:rPr>
        <w:t xml:space="preserve"> MBChB</w:t>
      </w:r>
      <w:r>
        <w:rPr>
          <w:sz w:val="22"/>
          <w:szCs w:val="22"/>
          <w:vertAlign w:val="superscript"/>
        </w:rPr>
        <w:t>1,4</w:t>
      </w:r>
      <w:r>
        <w:rPr>
          <w:sz w:val="22"/>
          <w:szCs w:val="22"/>
        </w:rPr>
        <w:t>;</w:t>
      </w:r>
      <w:r>
        <w:rPr>
          <w:sz w:val="22"/>
          <w:szCs w:val="22"/>
          <w:shd w:val="clear" w:color="auto" w:fill="FFFFFF"/>
        </w:rPr>
        <w:t xml:space="preserve"> Nathan Angelo Lecaros Yap,</w:t>
      </w:r>
      <w:r>
        <w:rPr>
          <w:sz w:val="22"/>
          <w:szCs w:val="22"/>
        </w:rPr>
        <w:t xml:space="preserve"> MBChB</w:t>
      </w:r>
      <w:r>
        <w:rPr>
          <w:sz w:val="22"/>
          <w:szCs w:val="22"/>
          <w:vertAlign w:val="superscript"/>
        </w:rPr>
        <w:t>1</w:t>
      </w:r>
      <w:r>
        <w:rPr>
          <w:sz w:val="22"/>
          <w:szCs w:val="22"/>
        </w:rPr>
        <w:t>;</w:t>
      </w:r>
      <w:r>
        <w:rPr>
          <w:sz w:val="22"/>
          <w:szCs w:val="22"/>
          <w:shd w:val="clear" w:color="auto" w:fill="FFFFFF"/>
        </w:rPr>
        <w:t xml:space="preserve"> </w:t>
      </w:r>
      <w:r>
        <w:fldChar w:fldCharType="begin"/>
      </w:r>
      <w:r>
        <w:instrText xml:space="preserve"> HYPERLINK "https://pubmed.ncbi.nlm.nih.gov/?term=Erdogan+E&amp;cauthor_id=33703857" </w:instrText>
      </w:r>
      <w:r>
        <w:fldChar w:fldCharType="separate"/>
      </w:r>
      <w:r>
        <w:rPr>
          <w:sz w:val="22"/>
          <w:szCs w:val="22"/>
        </w:rPr>
        <w:t>Emrah Erdogan</w:t>
      </w:r>
      <w:r>
        <w:rPr>
          <w:sz w:val="22"/>
          <w:szCs w:val="22"/>
        </w:rPr>
        <w:fldChar w:fldCharType="end"/>
      </w:r>
      <w:r>
        <w:rPr>
          <w:sz w:val="22"/>
          <w:szCs w:val="22"/>
          <w:vertAlign w:val="superscript"/>
        </w:rPr>
        <w:t>5</w:t>
      </w:r>
      <w:r>
        <w:rPr>
          <w:sz w:val="22"/>
          <w:szCs w:val="22"/>
        </w:rPr>
        <w:t>;</w:t>
      </w:r>
      <w:r>
        <w:rPr>
          <w:rFonts w:hint="eastAsia"/>
          <w:sz w:val="22"/>
          <w:szCs w:val="22"/>
          <w:lang w:val="en-US" w:eastAsia="zh-CN"/>
        </w:rPr>
        <w:t xml:space="preserve"> </w:t>
      </w:r>
      <w:r>
        <w:rPr>
          <w:sz w:val="22"/>
          <w:szCs w:val="22"/>
        </w:rPr>
        <w:t>MBChB</w:t>
      </w:r>
      <w:r>
        <w:rPr>
          <w:rFonts w:hint="eastAsia" w:eastAsia="宋体"/>
          <w:sz w:val="22"/>
          <w:szCs w:val="22"/>
          <w:lang w:val="en-US" w:eastAsia="zh-CN"/>
        </w:rPr>
        <w:t xml:space="preserve"> PhD</w:t>
      </w:r>
      <w:r>
        <w:rPr>
          <w:sz w:val="22"/>
          <w:szCs w:val="22"/>
          <w:vertAlign w:val="superscript"/>
        </w:rPr>
        <w:t>1</w:t>
      </w:r>
      <w:r>
        <w:rPr>
          <w:sz w:val="22"/>
          <w:szCs w:val="22"/>
        </w:rPr>
        <w:t>;</w:t>
      </w:r>
      <w:r>
        <w:rPr>
          <w:rFonts w:hint="eastAsia"/>
          <w:sz w:val="22"/>
          <w:szCs w:val="22"/>
          <w:lang w:val="en-US" w:eastAsia="zh-CN"/>
        </w:rPr>
        <w:t xml:space="preserve"> </w:t>
      </w:r>
      <w:r>
        <w:rPr>
          <w:sz w:val="22"/>
          <w:szCs w:val="22"/>
          <w:lang w:val="en-US" w:eastAsia="zh-CN"/>
        </w:rPr>
        <w:t>Gonul Zeren, MD</w:t>
      </w:r>
      <w:r>
        <w:rPr>
          <w:sz w:val="22"/>
          <w:szCs w:val="22"/>
          <w:vertAlign w:val="superscript"/>
        </w:rPr>
        <w:t>4</w:t>
      </w:r>
      <w:r>
        <w:rPr>
          <w:sz w:val="22"/>
          <w:szCs w:val="22"/>
          <w:lang w:val="en-US" w:eastAsia="zh-CN"/>
        </w:rPr>
        <w:t xml:space="preserve">; </w:t>
      </w:r>
      <w:r>
        <w:fldChar w:fldCharType="begin"/>
      </w:r>
      <w:r>
        <w:instrText xml:space="preserve"> HYPERLINK "https://pubmed.ncbi.nlm.nih.gov/?term=Mathur+A&amp;cauthor_id=33703857" </w:instrText>
      </w:r>
      <w:r>
        <w:fldChar w:fldCharType="separate"/>
      </w:r>
      <w:r>
        <w:rPr>
          <w:sz w:val="22"/>
          <w:szCs w:val="22"/>
        </w:rPr>
        <w:t>Anthony Mathur</w:t>
      </w:r>
      <w:r>
        <w:rPr>
          <w:sz w:val="22"/>
          <w:szCs w:val="22"/>
        </w:rPr>
        <w:fldChar w:fldCharType="end"/>
      </w:r>
      <w:r>
        <w:rPr>
          <w:rFonts w:hint="eastAsia" w:eastAsia="宋体"/>
          <w:sz w:val="22"/>
          <w:szCs w:val="22"/>
          <w:lang w:val="en-US" w:eastAsia="zh-CN"/>
        </w:rPr>
        <w:t>,</w:t>
      </w:r>
      <w:r>
        <w:rPr>
          <w:sz w:val="22"/>
          <w:szCs w:val="22"/>
        </w:rPr>
        <w:t xml:space="preserve"> MD, PhD</w:t>
      </w:r>
      <w:r>
        <w:rPr>
          <w:sz w:val="22"/>
          <w:szCs w:val="22"/>
          <w:vertAlign w:val="superscript"/>
        </w:rPr>
        <w:t>1,4</w:t>
      </w:r>
      <w:r>
        <w:rPr>
          <w:sz w:val="22"/>
          <w:szCs w:val="22"/>
        </w:rPr>
        <w:t>;</w:t>
      </w:r>
      <w:r>
        <w:rPr>
          <w:rFonts w:hint="eastAsia" w:eastAsia="宋体"/>
          <w:sz w:val="22"/>
          <w:szCs w:val="22"/>
          <w:lang w:val="en-US" w:eastAsia="zh-CN"/>
        </w:rPr>
        <w:t xml:space="preserve"> </w:t>
      </w:r>
      <w:r>
        <w:rPr>
          <w:rFonts w:eastAsia="宋体"/>
          <w:sz w:val="22"/>
          <w:szCs w:val="22"/>
          <w:lang w:val="en-US" w:eastAsia="zh-CN"/>
        </w:rPr>
        <w:t>Ahmet Emir Ulutas, MD</w:t>
      </w:r>
      <w:r>
        <w:rPr>
          <w:sz w:val="22"/>
          <w:szCs w:val="22"/>
          <w:vertAlign w:val="superscript"/>
        </w:rPr>
        <w:t>4</w:t>
      </w:r>
      <w:r>
        <w:rPr>
          <w:rFonts w:eastAsia="宋体"/>
          <w:sz w:val="22"/>
          <w:szCs w:val="22"/>
          <w:lang w:val="en-US" w:eastAsia="zh-CN"/>
        </w:rPr>
        <w:t xml:space="preserve">; </w:t>
      </w:r>
      <w:r>
        <w:rPr>
          <w:rFonts w:hint="eastAsia" w:eastAsia="宋体"/>
          <w:sz w:val="22"/>
          <w:szCs w:val="22"/>
          <w:lang w:val="en-US" w:eastAsia="zh-CN"/>
        </w:rPr>
        <w:t>Bo Gao</w:t>
      </w:r>
      <w:r>
        <w:rPr>
          <w:rFonts w:hint="eastAsia" w:eastAsia="宋体"/>
          <w:sz w:val="22"/>
          <w:szCs w:val="22"/>
          <w:vertAlign w:val="superscript"/>
          <w:lang w:val="en-US" w:eastAsia="zh-CN"/>
        </w:rPr>
        <w:t>6</w:t>
      </w:r>
      <w:r>
        <w:rPr>
          <w:rFonts w:hint="eastAsia" w:eastAsia="宋体"/>
          <w:sz w:val="22"/>
          <w:szCs w:val="22"/>
          <w:lang w:val="en-US" w:eastAsia="zh-CN"/>
        </w:rPr>
        <w:t xml:space="preserve">, </w:t>
      </w:r>
      <w:r>
        <w:rPr>
          <w:sz w:val="22"/>
          <w:szCs w:val="22"/>
        </w:rPr>
        <w:t>Yaojun Zhang, MD, PhD</w:t>
      </w:r>
      <w:r>
        <w:rPr>
          <w:rFonts w:hint="eastAsia" w:eastAsia="宋体"/>
          <w:sz w:val="22"/>
          <w:szCs w:val="22"/>
          <w:vertAlign w:val="superscript"/>
          <w:lang w:val="en-US" w:eastAsia="zh-CN"/>
        </w:rPr>
        <w:t>7</w:t>
      </w:r>
      <w:r>
        <w:rPr>
          <w:sz w:val="22"/>
          <w:szCs w:val="22"/>
        </w:rPr>
        <w:t>;</w:t>
      </w:r>
      <w:r>
        <w:rPr>
          <w:sz w:val="22"/>
          <w:szCs w:val="22"/>
          <w:shd w:val="clear" w:color="auto" w:fill="FFFFFF"/>
        </w:rPr>
        <w:t xml:space="preserve"> </w:t>
      </w:r>
      <w:r>
        <w:rPr>
          <w:sz w:val="22"/>
          <w:szCs w:val="22"/>
        </w:rPr>
        <w:t>Andreas Baumbach</w:t>
      </w:r>
      <w:r>
        <w:rPr>
          <w:rFonts w:hint="eastAsia" w:eastAsia="宋体"/>
          <w:sz w:val="22"/>
          <w:szCs w:val="22"/>
          <w:lang w:val="en-US" w:eastAsia="zh-CN"/>
        </w:rPr>
        <w:t xml:space="preserve">, </w:t>
      </w:r>
      <w:r>
        <w:rPr>
          <w:sz w:val="22"/>
          <w:szCs w:val="22"/>
        </w:rPr>
        <w:t>MD, PhD</w:t>
      </w:r>
      <w:r>
        <w:rPr>
          <w:sz w:val="22"/>
          <w:szCs w:val="22"/>
          <w:vertAlign w:val="superscript"/>
        </w:rPr>
        <w:t>1,4</w:t>
      </w:r>
      <w:r>
        <w:rPr>
          <w:sz w:val="22"/>
          <w:szCs w:val="22"/>
        </w:rPr>
        <w:t>;</w:t>
      </w:r>
      <w:r>
        <w:rPr>
          <w:rFonts w:hint="eastAsia" w:eastAsia="宋体"/>
          <w:sz w:val="22"/>
          <w:szCs w:val="22"/>
          <w:lang w:val="en-US" w:eastAsia="zh-CN"/>
        </w:rPr>
        <w:t xml:space="preserve">; </w:t>
      </w:r>
      <w:r>
        <w:rPr>
          <w:sz w:val="22"/>
          <w:szCs w:val="22"/>
        </w:rPr>
        <w:t>Jouke Dijkstra, PhD</w:t>
      </w:r>
      <w:r>
        <w:rPr>
          <w:rFonts w:hint="eastAsia" w:eastAsia="宋体"/>
          <w:sz w:val="22"/>
          <w:szCs w:val="22"/>
          <w:vertAlign w:val="superscript"/>
          <w:lang w:val="en-US" w:eastAsia="zh-CN"/>
        </w:rPr>
        <w:t>8</w:t>
      </w:r>
      <w:r>
        <w:rPr>
          <w:rFonts w:hint="eastAsia" w:eastAsia="宋体"/>
          <w:sz w:val="22"/>
          <w:szCs w:val="22"/>
          <w:lang w:val="en-US" w:eastAsia="zh-CN"/>
        </w:rPr>
        <w:t xml:space="preserve">; </w:t>
      </w:r>
      <w:r>
        <w:rPr>
          <w:sz w:val="22"/>
          <w:szCs w:val="22"/>
        </w:rPr>
        <w:t>Christos V Bourantas, MD, PhD</w:t>
      </w:r>
      <w:r>
        <w:rPr>
          <w:sz w:val="22"/>
          <w:szCs w:val="22"/>
          <w:vertAlign w:val="superscript"/>
        </w:rPr>
        <w:t>1,4,*</w:t>
      </w:r>
    </w:p>
    <w:p w14:paraId="18987A0C">
      <w:pPr>
        <w:spacing w:line="480" w:lineRule="auto"/>
        <w:jc w:val="center"/>
        <w:rPr>
          <w:sz w:val="22"/>
          <w:szCs w:val="22"/>
          <w:vertAlign w:val="superscript"/>
        </w:rPr>
      </w:pPr>
    </w:p>
    <w:p w14:paraId="08448DBA">
      <w:pPr>
        <w:autoSpaceDE w:val="0"/>
        <w:autoSpaceDN w:val="0"/>
        <w:adjustRightInd w:val="0"/>
        <w:spacing w:line="480" w:lineRule="auto"/>
        <w:jc w:val="both"/>
        <w:rPr>
          <w:sz w:val="22"/>
          <w:szCs w:val="22"/>
        </w:rPr>
      </w:pPr>
      <w:r>
        <w:rPr>
          <w:sz w:val="22"/>
          <w:szCs w:val="22"/>
          <w:vertAlign w:val="superscript"/>
        </w:rPr>
        <w:t xml:space="preserve">1 </w:t>
      </w:r>
      <w:r>
        <w:rPr>
          <w:sz w:val="22"/>
          <w:szCs w:val="22"/>
        </w:rPr>
        <w:t>Department of Cardiology, Barts Heart Centre, Barts Health NHS Trust, London, UK</w:t>
      </w:r>
    </w:p>
    <w:p w14:paraId="48FDC9A6">
      <w:pPr>
        <w:autoSpaceDE w:val="0"/>
        <w:autoSpaceDN w:val="0"/>
        <w:adjustRightInd w:val="0"/>
        <w:spacing w:line="480" w:lineRule="auto"/>
        <w:jc w:val="both"/>
        <w:rPr>
          <w:sz w:val="22"/>
          <w:szCs w:val="22"/>
        </w:rPr>
      </w:pPr>
      <w:r>
        <w:rPr>
          <w:sz w:val="22"/>
          <w:szCs w:val="22"/>
          <w:vertAlign w:val="superscript"/>
        </w:rPr>
        <w:t xml:space="preserve">2 </w:t>
      </w:r>
      <w:r>
        <w:rPr>
          <w:sz w:val="22"/>
          <w:szCs w:val="22"/>
        </w:rPr>
        <w:t>Division of Cardiology, Department of Internal Medicine, Tongji Hospital, Tongji Medical College, Huazhong University of Science and Technology, Wuhan, China</w:t>
      </w:r>
    </w:p>
    <w:p w14:paraId="74E11A68">
      <w:pPr>
        <w:shd w:val="clear" w:color="auto" w:fill="FFFFFF"/>
        <w:adjustRightInd w:val="0"/>
        <w:snapToGrid w:val="0"/>
        <w:spacing w:line="480" w:lineRule="auto"/>
        <w:contextualSpacing/>
        <w:jc w:val="both"/>
        <w:rPr>
          <w:sz w:val="22"/>
          <w:szCs w:val="22"/>
          <w:lang w:eastAsia="en-GB"/>
        </w:rPr>
      </w:pPr>
      <w:r>
        <w:rPr>
          <w:sz w:val="22"/>
          <w:szCs w:val="22"/>
          <w:vertAlign w:val="superscript"/>
        </w:rPr>
        <w:t xml:space="preserve">3 </w:t>
      </w:r>
      <w:r>
        <w:rPr>
          <w:sz w:val="22"/>
          <w:szCs w:val="22"/>
          <w:lang w:eastAsia="en-GB"/>
        </w:rPr>
        <w:t>Institute of Health Informatics, University College London, London, United Kingdom</w:t>
      </w:r>
    </w:p>
    <w:p w14:paraId="4B2DBE2B">
      <w:pPr>
        <w:spacing w:line="480" w:lineRule="auto"/>
        <w:jc w:val="both"/>
        <w:rPr>
          <w:rFonts w:eastAsia="Calibri"/>
          <w:sz w:val="22"/>
          <w:szCs w:val="22"/>
        </w:rPr>
      </w:pPr>
      <w:r>
        <w:rPr>
          <w:sz w:val="22"/>
          <w:szCs w:val="22"/>
          <w:vertAlign w:val="superscript"/>
        </w:rPr>
        <w:t xml:space="preserve">4 </w:t>
      </w:r>
      <w:r>
        <w:rPr>
          <w:sz w:val="22"/>
          <w:szCs w:val="22"/>
        </w:rPr>
        <w:t xml:space="preserve">Centre for Cardiovascular Medicine and Devices, </w:t>
      </w:r>
      <w:r>
        <w:rPr>
          <w:rFonts w:eastAsia="Calibri"/>
          <w:sz w:val="22"/>
          <w:szCs w:val="22"/>
        </w:rPr>
        <w:t>William Harvey Research Institute, Queen Mary University London, UK</w:t>
      </w:r>
    </w:p>
    <w:p w14:paraId="5EE59158">
      <w:pPr>
        <w:shd w:val="clear" w:color="auto" w:fill="FFFFFF"/>
        <w:adjustRightInd w:val="0"/>
        <w:snapToGrid w:val="0"/>
        <w:spacing w:line="480" w:lineRule="auto"/>
        <w:contextualSpacing/>
        <w:jc w:val="both"/>
        <w:rPr>
          <w:color w:val="212121"/>
          <w:sz w:val="22"/>
          <w:szCs w:val="22"/>
          <w:shd w:val="clear" w:color="auto" w:fill="FFFFFF"/>
        </w:rPr>
      </w:pPr>
      <w:r>
        <w:rPr>
          <w:sz w:val="22"/>
          <w:szCs w:val="22"/>
          <w:vertAlign w:val="superscript"/>
        </w:rPr>
        <w:t xml:space="preserve">5 </w:t>
      </w:r>
      <w:r>
        <w:rPr>
          <w:color w:val="212121"/>
          <w:sz w:val="22"/>
          <w:szCs w:val="22"/>
          <w:shd w:val="clear" w:color="auto" w:fill="FFFFFF"/>
        </w:rPr>
        <w:t>Department of Cardiology, Faculty of Medicine Yuzuncu Yil University Van, Turkey</w:t>
      </w:r>
    </w:p>
    <w:p w14:paraId="4D15BE38">
      <w:pPr>
        <w:shd w:val="clear" w:color="auto" w:fill="FFFFFF"/>
        <w:adjustRightInd w:val="0"/>
        <w:snapToGrid w:val="0"/>
        <w:spacing w:line="480" w:lineRule="auto"/>
        <w:contextualSpacing/>
        <w:jc w:val="both"/>
        <w:rPr>
          <w:rFonts w:hint="eastAsia" w:eastAsia="宋体"/>
          <w:color w:val="212121"/>
          <w:sz w:val="22"/>
          <w:szCs w:val="22"/>
          <w:shd w:val="clear" w:color="auto" w:fill="FFFFFF"/>
          <w:vertAlign w:val="superscript"/>
          <w:lang w:val="en-US" w:eastAsia="zh-CN"/>
        </w:rPr>
      </w:pPr>
      <w:r>
        <w:rPr>
          <w:rFonts w:hint="eastAsia" w:eastAsia="宋体"/>
          <w:color w:val="212121"/>
          <w:sz w:val="22"/>
          <w:szCs w:val="22"/>
          <w:shd w:val="clear" w:color="auto" w:fill="FFFFFF"/>
          <w:vertAlign w:val="superscript"/>
          <w:lang w:val="en-US" w:eastAsia="zh-CN"/>
        </w:rPr>
        <w:t>6</w:t>
      </w:r>
      <w:r>
        <w:rPr>
          <w:rFonts w:hint="default" w:eastAsia="Times New Roman"/>
          <w:color w:val="212121"/>
          <w:sz w:val="22"/>
          <w:szCs w:val="22"/>
          <w:shd w:val="clear" w:color="auto" w:fill="FFFFFF"/>
          <w:vertAlign w:val="baseline"/>
          <w:lang w:val="en-US" w:eastAsia="zh-CN"/>
        </w:rPr>
        <w:t>Department of Cardiology, Suizhou Central Hospital, Affiliated Hospital of Hubei University of Medicine, Suizhou, China</w:t>
      </w:r>
    </w:p>
    <w:p w14:paraId="2805CCB0">
      <w:pPr>
        <w:shd w:val="clear" w:color="auto" w:fill="FFFFFF"/>
        <w:adjustRightInd w:val="0"/>
        <w:snapToGrid w:val="0"/>
        <w:spacing w:line="480" w:lineRule="auto"/>
        <w:contextualSpacing/>
        <w:jc w:val="both"/>
        <w:rPr>
          <w:sz w:val="22"/>
          <w:szCs w:val="22"/>
          <w:lang w:eastAsia="en-GB"/>
        </w:rPr>
      </w:pPr>
      <w:r>
        <w:rPr>
          <w:rFonts w:hint="eastAsia" w:eastAsia="宋体"/>
          <w:sz w:val="22"/>
          <w:szCs w:val="22"/>
          <w:vertAlign w:val="superscript"/>
          <w:lang w:val="en-US" w:eastAsia="zh-CN"/>
        </w:rPr>
        <w:t>7</w:t>
      </w:r>
      <w:r>
        <w:rPr>
          <w:sz w:val="22"/>
          <w:szCs w:val="22"/>
          <w:vertAlign w:val="superscript"/>
          <w:lang w:eastAsia="en-GB"/>
        </w:rPr>
        <w:t xml:space="preserve"> </w:t>
      </w:r>
      <w:r>
        <w:rPr>
          <w:sz w:val="22"/>
          <w:szCs w:val="22"/>
          <w:lang w:eastAsia="en-GB"/>
        </w:rPr>
        <w:t>Department of Cardiology, Xuzhou Third People’s Hospital, Xuzhou, China</w:t>
      </w:r>
    </w:p>
    <w:p w14:paraId="0C420633">
      <w:pPr>
        <w:shd w:val="clear" w:color="auto" w:fill="FFFFFF"/>
        <w:adjustRightInd w:val="0"/>
        <w:snapToGrid w:val="0"/>
        <w:spacing w:line="480" w:lineRule="auto"/>
        <w:contextualSpacing/>
        <w:jc w:val="both"/>
        <w:rPr>
          <w:sz w:val="22"/>
          <w:szCs w:val="22"/>
        </w:rPr>
      </w:pPr>
      <w:r>
        <w:rPr>
          <w:rFonts w:hint="eastAsia" w:eastAsia="宋体"/>
          <w:sz w:val="22"/>
          <w:szCs w:val="22"/>
          <w:vertAlign w:val="superscript"/>
          <w:lang w:val="en-US" w:eastAsia="zh-CN"/>
        </w:rPr>
        <w:t>8</w:t>
      </w:r>
      <w:r>
        <w:rPr>
          <w:sz w:val="22"/>
          <w:szCs w:val="22"/>
          <w:vertAlign w:val="superscript"/>
        </w:rPr>
        <w:t xml:space="preserve"> </w:t>
      </w:r>
      <w:r>
        <w:rPr>
          <w:sz w:val="22"/>
          <w:szCs w:val="22"/>
        </w:rPr>
        <w:t>Division of Image Processing, Department of Radiology, Leiden University Medical Center, Leiden, The Netherlands</w:t>
      </w:r>
      <w:r>
        <w:rPr>
          <w:sz w:val="22"/>
          <w:szCs w:val="22"/>
          <w:vertAlign w:val="superscript"/>
        </w:rPr>
        <w:t xml:space="preserve">  </w:t>
      </w:r>
    </w:p>
    <w:p w14:paraId="4E614F39">
      <w:pPr>
        <w:autoSpaceDE w:val="0"/>
        <w:autoSpaceDN w:val="0"/>
        <w:adjustRightInd w:val="0"/>
        <w:spacing w:line="480" w:lineRule="auto"/>
        <w:jc w:val="both"/>
        <w:rPr>
          <w:b/>
          <w:bCs/>
        </w:rPr>
      </w:pPr>
      <w:r>
        <w:rPr>
          <w:b/>
          <w:sz w:val="22"/>
          <w:szCs w:val="22"/>
        </w:rPr>
        <w:t>Short title:</w:t>
      </w:r>
      <w:r>
        <w:rPr>
          <w:sz w:val="22"/>
          <w:szCs w:val="22"/>
        </w:rPr>
        <w:t xml:space="preserve"> DL method for calcium detection in IVUS </w:t>
      </w:r>
    </w:p>
    <w:p w14:paraId="272B9C7C">
      <w:pPr>
        <w:spacing w:line="480" w:lineRule="auto"/>
        <w:rPr>
          <w:b/>
          <w:bCs/>
          <w:sz w:val="22"/>
          <w:szCs w:val="22"/>
        </w:rPr>
      </w:pPr>
      <w:r>
        <w:rPr>
          <w:b/>
          <w:bCs/>
        </w:rPr>
        <w:t>Supplementary</w:t>
      </w:r>
      <w:r>
        <w:rPr>
          <w:rFonts w:hint="eastAsia" w:eastAsia="宋体"/>
          <w:b/>
          <w:bCs/>
          <w:lang w:val="en-US" w:eastAsia="zh-CN"/>
        </w:rPr>
        <w:t xml:space="preserve"> </w:t>
      </w:r>
      <w:r>
        <w:rPr>
          <w:b/>
          <w:bCs/>
          <w:sz w:val="22"/>
          <w:szCs w:val="22"/>
        </w:rPr>
        <w:t xml:space="preserve">Table 1. </w:t>
      </w:r>
      <w:r>
        <w:rPr>
          <w:sz w:val="22"/>
          <w:szCs w:val="22"/>
        </w:rPr>
        <w:t>Baseline demographics of the training and test set.</w:t>
      </w:r>
      <w:r>
        <w:rPr>
          <w:b/>
          <w:bCs/>
          <w:sz w:val="22"/>
          <w:szCs w:val="22"/>
        </w:rPr>
        <w:t xml:space="preserve"> </w:t>
      </w:r>
    </w:p>
    <w:tbl>
      <w:tblPr>
        <w:tblStyle w:val="6"/>
        <w:tblpPr w:leftFromText="180" w:rightFromText="180" w:vertAnchor="text" w:horzAnchor="margin" w:tblpY="216"/>
        <w:tblW w:w="90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4"/>
        <w:gridCol w:w="2276"/>
        <w:gridCol w:w="1620"/>
        <w:gridCol w:w="1080"/>
      </w:tblGrid>
      <w:tr w14:paraId="486A3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4" w:type="dxa"/>
            <w:tcBorders>
              <w:left w:val="nil"/>
              <w:bottom w:val="single" w:color="auto" w:sz="4" w:space="0"/>
              <w:right w:val="nil"/>
            </w:tcBorders>
            <w:shd w:val="clear" w:color="auto" w:fill="000000" w:themeFill="text1"/>
          </w:tcPr>
          <w:p w14:paraId="4F1F0F32">
            <w:pPr>
              <w:spacing w:line="480" w:lineRule="auto"/>
              <w:rPr>
                <w:bCs/>
                <w:sz w:val="22"/>
                <w:szCs w:val="22"/>
              </w:rPr>
            </w:pPr>
          </w:p>
        </w:tc>
        <w:tc>
          <w:tcPr>
            <w:tcW w:w="2276" w:type="dxa"/>
            <w:tcBorders>
              <w:left w:val="nil"/>
              <w:bottom w:val="single" w:color="auto" w:sz="4" w:space="0"/>
              <w:right w:val="nil"/>
            </w:tcBorders>
            <w:shd w:val="clear" w:color="auto" w:fill="000000" w:themeFill="text1"/>
          </w:tcPr>
          <w:p w14:paraId="7596DC4F">
            <w:pPr>
              <w:spacing w:line="480" w:lineRule="auto"/>
              <w:jc w:val="center"/>
              <w:rPr>
                <w:b/>
                <w:sz w:val="22"/>
                <w:szCs w:val="22"/>
              </w:rPr>
            </w:pPr>
            <w:r>
              <w:rPr>
                <w:b/>
                <w:sz w:val="22"/>
                <w:szCs w:val="22"/>
              </w:rPr>
              <w:t>Training set</w:t>
            </w:r>
            <w:r>
              <w:rPr>
                <w:rFonts w:hint="eastAsia" w:eastAsia="宋体"/>
                <w:b/>
                <w:sz w:val="22"/>
                <w:szCs w:val="22"/>
                <w:lang w:val="en-US" w:eastAsia="zh-CN"/>
              </w:rPr>
              <w:t xml:space="preserve"> (n=65)</w:t>
            </w:r>
          </w:p>
        </w:tc>
        <w:tc>
          <w:tcPr>
            <w:tcW w:w="1620" w:type="dxa"/>
            <w:tcBorders>
              <w:left w:val="nil"/>
              <w:bottom w:val="single" w:color="auto" w:sz="4" w:space="0"/>
              <w:right w:val="nil"/>
            </w:tcBorders>
            <w:shd w:val="clear" w:color="auto" w:fill="000000" w:themeFill="text1"/>
          </w:tcPr>
          <w:p w14:paraId="378EB929">
            <w:pPr>
              <w:spacing w:line="480" w:lineRule="auto"/>
              <w:jc w:val="center"/>
              <w:rPr>
                <w:b/>
                <w:sz w:val="22"/>
                <w:szCs w:val="22"/>
              </w:rPr>
            </w:pPr>
            <w:r>
              <w:rPr>
                <w:b/>
                <w:sz w:val="22"/>
                <w:szCs w:val="22"/>
              </w:rPr>
              <w:t>Test se</w:t>
            </w:r>
            <w:r>
              <w:rPr>
                <w:rFonts w:hint="eastAsia" w:eastAsia="宋体"/>
                <w:b/>
                <w:sz w:val="22"/>
                <w:szCs w:val="22"/>
                <w:lang w:val="en-US" w:eastAsia="zh-CN"/>
              </w:rPr>
              <w:t>t (n=13)</w:t>
            </w:r>
          </w:p>
        </w:tc>
        <w:tc>
          <w:tcPr>
            <w:tcW w:w="1080" w:type="dxa"/>
            <w:tcBorders>
              <w:left w:val="nil"/>
              <w:bottom w:val="single" w:color="auto" w:sz="4" w:space="0"/>
              <w:right w:val="nil"/>
            </w:tcBorders>
            <w:shd w:val="clear" w:color="auto" w:fill="000000" w:themeFill="text1"/>
          </w:tcPr>
          <w:p w14:paraId="79623A79">
            <w:pPr>
              <w:spacing w:line="480" w:lineRule="auto"/>
              <w:jc w:val="center"/>
              <w:rPr>
                <w:b/>
                <w:sz w:val="22"/>
                <w:szCs w:val="22"/>
              </w:rPr>
            </w:pPr>
            <w:r>
              <w:rPr>
                <w:b/>
                <w:sz w:val="22"/>
                <w:szCs w:val="22"/>
              </w:rPr>
              <w:t>p-value</w:t>
            </w:r>
          </w:p>
        </w:tc>
      </w:tr>
      <w:tr w14:paraId="466A6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4" w:type="dxa"/>
            <w:tcBorders>
              <w:left w:val="nil"/>
              <w:bottom w:val="nil"/>
              <w:right w:val="nil"/>
            </w:tcBorders>
          </w:tcPr>
          <w:p w14:paraId="2E2631A5">
            <w:pPr>
              <w:spacing w:line="480" w:lineRule="auto"/>
              <w:rPr>
                <w:bCs/>
                <w:sz w:val="22"/>
                <w:szCs w:val="22"/>
              </w:rPr>
            </w:pPr>
            <w:r>
              <w:rPr>
                <w:bCs/>
                <w:sz w:val="22"/>
                <w:szCs w:val="22"/>
              </w:rPr>
              <w:t>Age, mean (years)</w:t>
            </w:r>
          </w:p>
        </w:tc>
        <w:tc>
          <w:tcPr>
            <w:tcW w:w="2276" w:type="dxa"/>
            <w:tcBorders>
              <w:left w:val="nil"/>
              <w:bottom w:val="nil"/>
              <w:right w:val="nil"/>
            </w:tcBorders>
          </w:tcPr>
          <w:p w14:paraId="0A4B5086">
            <w:pPr>
              <w:spacing w:line="480" w:lineRule="auto"/>
              <w:jc w:val="center"/>
              <w:rPr>
                <w:bCs/>
                <w:sz w:val="22"/>
                <w:szCs w:val="22"/>
              </w:rPr>
            </w:pPr>
            <w:r>
              <w:rPr>
                <w:rFonts w:hint="eastAsia"/>
                <w:bCs/>
                <w:sz w:val="22"/>
                <w:szCs w:val="22"/>
              </w:rPr>
              <w:t>61.42</w:t>
            </w:r>
            <w:r>
              <w:rPr>
                <w:rFonts w:eastAsia="微软雅黑"/>
                <w:bCs/>
                <w:sz w:val="22"/>
                <w:szCs w:val="22"/>
              </w:rPr>
              <w:t>±</w:t>
            </w:r>
            <w:r>
              <w:rPr>
                <w:rFonts w:hint="eastAsia"/>
                <w:bCs/>
                <w:sz w:val="22"/>
                <w:szCs w:val="22"/>
              </w:rPr>
              <w:t>8.22</w:t>
            </w:r>
          </w:p>
        </w:tc>
        <w:tc>
          <w:tcPr>
            <w:tcW w:w="1620" w:type="dxa"/>
            <w:tcBorders>
              <w:left w:val="nil"/>
              <w:bottom w:val="nil"/>
              <w:right w:val="nil"/>
            </w:tcBorders>
          </w:tcPr>
          <w:p w14:paraId="065CE665">
            <w:pPr>
              <w:spacing w:line="480" w:lineRule="auto"/>
              <w:jc w:val="center"/>
              <w:rPr>
                <w:bCs/>
                <w:sz w:val="22"/>
                <w:szCs w:val="22"/>
              </w:rPr>
            </w:pPr>
            <w:r>
              <w:rPr>
                <w:rFonts w:hint="eastAsia"/>
                <w:bCs/>
                <w:sz w:val="22"/>
                <w:szCs w:val="22"/>
              </w:rPr>
              <w:t>61.69</w:t>
            </w:r>
            <w:r>
              <w:rPr>
                <w:rFonts w:eastAsia="微软雅黑"/>
                <w:bCs/>
                <w:sz w:val="22"/>
                <w:szCs w:val="22"/>
              </w:rPr>
              <w:t>±</w:t>
            </w:r>
            <w:r>
              <w:rPr>
                <w:rFonts w:hint="eastAsia"/>
                <w:bCs/>
                <w:sz w:val="22"/>
                <w:szCs w:val="22"/>
              </w:rPr>
              <w:t>5.99</w:t>
            </w:r>
          </w:p>
        </w:tc>
        <w:tc>
          <w:tcPr>
            <w:tcW w:w="1080" w:type="dxa"/>
            <w:tcBorders>
              <w:left w:val="nil"/>
              <w:bottom w:val="nil"/>
              <w:right w:val="nil"/>
            </w:tcBorders>
          </w:tcPr>
          <w:p w14:paraId="34FF6FA2">
            <w:pPr>
              <w:spacing w:line="480" w:lineRule="auto"/>
              <w:jc w:val="center"/>
              <w:rPr>
                <w:bCs/>
                <w:sz w:val="22"/>
                <w:szCs w:val="22"/>
              </w:rPr>
            </w:pPr>
            <w:r>
              <w:rPr>
                <w:rFonts w:hint="eastAsia"/>
                <w:bCs/>
                <w:sz w:val="22"/>
                <w:szCs w:val="22"/>
              </w:rPr>
              <w:t>0.227</w:t>
            </w:r>
          </w:p>
        </w:tc>
      </w:tr>
      <w:tr w14:paraId="262DE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4" w:type="dxa"/>
            <w:tcBorders>
              <w:top w:val="nil"/>
              <w:left w:val="nil"/>
              <w:bottom w:val="nil"/>
              <w:right w:val="nil"/>
            </w:tcBorders>
          </w:tcPr>
          <w:p w14:paraId="7A783AE7">
            <w:pPr>
              <w:spacing w:line="480" w:lineRule="auto"/>
              <w:rPr>
                <w:bCs/>
                <w:sz w:val="22"/>
                <w:szCs w:val="22"/>
              </w:rPr>
            </w:pPr>
            <w:r>
              <w:rPr>
                <w:bCs/>
                <w:sz w:val="22"/>
                <w:szCs w:val="22"/>
              </w:rPr>
              <w:t>Gender (male)</w:t>
            </w:r>
          </w:p>
        </w:tc>
        <w:tc>
          <w:tcPr>
            <w:tcW w:w="2276" w:type="dxa"/>
            <w:tcBorders>
              <w:top w:val="nil"/>
              <w:left w:val="nil"/>
              <w:bottom w:val="nil"/>
              <w:right w:val="nil"/>
            </w:tcBorders>
          </w:tcPr>
          <w:p w14:paraId="7178B776">
            <w:pPr>
              <w:spacing w:line="480" w:lineRule="auto"/>
              <w:jc w:val="center"/>
              <w:rPr>
                <w:bCs/>
                <w:sz w:val="22"/>
                <w:szCs w:val="22"/>
              </w:rPr>
            </w:pPr>
            <w:r>
              <w:rPr>
                <w:rFonts w:hint="eastAsia"/>
                <w:bCs/>
                <w:sz w:val="22"/>
                <w:szCs w:val="22"/>
              </w:rPr>
              <w:t>50 (76.9%)</w:t>
            </w:r>
          </w:p>
        </w:tc>
        <w:tc>
          <w:tcPr>
            <w:tcW w:w="1620" w:type="dxa"/>
            <w:tcBorders>
              <w:top w:val="nil"/>
              <w:left w:val="nil"/>
              <w:bottom w:val="nil"/>
              <w:right w:val="nil"/>
            </w:tcBorders>
          </w:tcPr>
          <w:p w14:paraId="3F231A56">
            <w:pPr>
              <w:spacing w:line="480" w:lineRule="auto"/>
              <w:jc w:val="center"/>
              <w:rPr>
                <w:bCs/>
                <w:sz w:val="22"/>
                <w:szCs w:val="22"/>
              </w:rPr>
            </w:pPr>
            <w:r>
              <w:rPr>
                <w:rFonts w:hint="eastAsia"/>
                <w:bCs/>
                <w:sz w:val="22"/>
                <w:szCs w:val="22"/>
              </w:rPr>
              <w:t>10 (76.9%)</w:t>
            </w:r>
          </w:p>
        </w:tc>
        <w:tc>
          <w:tcPr>
            <w:tcW w:w="1080" w:type="dxa"/>
            <w:tcBorders>
              <w:top w:val="nil"/>
              <w:left w:val="nil"/>
              <w:bottom w:val="nil"/>
              <w:right w:val="nil"/>
            </w:tcBorders>
          </w:tcPr>
          <w:p w14:paraId="40B62172">
            <w:pPr>
              <w:spacing w:line="480" w:lineRule="auto"/>
              <w:jc w:val="center"/>
              <w:rPr>
                <w:bCs/>
                <w:sz w:val="22"/>
                <w:szCs w:val="22"/>
              </w:rPr>
            </w:pPr>
            <w:r>
              <w:rPr>
                <w:rFonts w:hint="eastAsia"/>
                <w:bCs/>
                <w:sz w:val="22"/>
                <w:szCs w:val="22"/>
              </w:rPr>
              <w:t>0.899</w:t>
            </w:r>
          </w:p>
        </w:tc>
      </w:tr>
      <w:tr w14:paraId="35071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4" w:type="dxa"/>
            <w:tcBorders>
              <w:top w:val="nil"/>
              <w:left w:val="nil"/>
              <w:bottom w:val="single" w:color="auto" w:sz="4" w:space="0"/>
              <w:right w:val="nil"/>
            </w:tcBorders>
          </w:tcPr>
          <w:p w14:paraId="493DBD43">
            <w:pPr>
              <w:spacing w:line="480" w:lineRule="auto"/>
              <w:rPr>
                <w:bCs/>
                <w:sz w:val="22"/>
                <w:szCs w:val="22"/>
              </w:rPr>
            </w:pPr>
            <w:r>
              <w:rPr>
                <w:bCs/>
                <w:sz w:val="22"/>
                <w:szCs w:val="22"/>
              </w:rPr>
              <w:t>Body mass index (kg/m</w:t>
            </w:r>
            <w:r>
              <w:rPr>
                <w:b/>
                <w:bCs/>
                <w:sz w:val="22"/>
                <w:szCs w:val="22"/>
                <w:vertAlign w:val="superscript"/>
              </w:rPr>
              <w:t>2</w:t>
            </w:r>
            <w:r>
              <w:rPr>
                <w:bCs/>
                <w:sz w:val="22"/>
                <w:szCs w:val="22"/>
              </w:rPr>
              <w:t>)</w:t>
            </w:r>
          </w:p>
        </w:tc>
        <w:tc>
          <w:tcPr>
            <w:tcW w:w="2276" w:type="dxa"/>
            <w:tcBorders>
              <w:top w:val="nil"/>
              <w:left w:val="nil"/>
              <w:bottom w:val="single" w:color="auto" w:sz="4" w:space="0"/>
              <w:right w:val="nil"/>
            </w:tcBorders>
          </w:tcPr>
          <w:p w14:paraId="60928A1B">
            <w:pPr>
              <w:spacing w:line="480" w:lineRule="auto"/>
              <w:jc w:val="center"/>
              <w:rPr>
                <w:bCs/>
                <w:sz w:val="22"/>
                <w:szCs w:val="22"/>
              </w:rPr>
            </w:pPr>
            <w:r>
              <w:rPr>
                <w:rFonts w:hint="eastAsia"/>
                <w:bCs/>
                <w:sz w:val="22"/>
                <w:szCs w:val="22"/>
              </w:rPr>
              <w:t>29.48</w:t>
            </w:r>
            <w:r>
              <w:rPr>
                <w:rFonts w:eastAsia="微软雅黑"/>
                <w:bCs/>
                <w:sz w:val="22"/>
                <w:szCs w:val="22"/>
              </w:rPr>
              <w:t>±</w:t>
            </w:r>
            <w:r>
              <w:rPr>
                <w:rFonts w:hint="eastAsia"/>
                <w:bCs/>
                <w:sz w:val="22"/>
                <w:szCs w:val="22"/>
              </w:rPr>
              <w:t>6.60</w:t>
            </w:r>
          </w:p>
        </w:tc>
        <w:tc>
          <w:tcPr>
            <w:tcW w:w="1620" w:type="dxa"/>
            <w:tcBorders>
              <w:top w:val="nil"/>
              <w:left w:val="nil"/>
              <w:bottom w:val="single" w:color="auto" w:sz="4" w:space="0"/>
              <w:right w:val="nil"/>
            </w:tcBorders>
          </w:tcPr>
          <w:p w14:paraId="70C914AF">
            <w:pPr>
              <w:spacing w:line="480" w:lineRule="auto"/>
              <w:jc w:val="center"/>
              <w:rPr>
                <w:bCs/>
                <w:sz w:val="22"/>
                <w:szCs w:val="22"/>
              </w:rPr>
            </w:pPr>
            <w:r>
              <w:rPr>
                <w:rFonts w:hint="eastAsia"/>
                <w:bCs/>
                <w:sz w:val="22"/>
                <w:szCs w:val="22"/>
              </w:rPr>
              <w:t>28.73</w:t>
            </w:r>
            <w:r>
              <w:rPr>
                <w:rFonts w:eastAsia="微软雅黑"/>
                <w:bCs/>
                <w:sz w:val="22"/>
                <w:szCs w:val="22"/>
              </w:rPr>
              <w:t>±</w:t>
            </w:r>
            <w:r>
              <w:rPr>
                <w:rFonts w:hint="eastAsia"/>
                <w:bCs/>
                <w:sz w:val="22"/>
                <w:szCs w:val="22"/>
              </w:rPr>
              <w:t>4.21</w:t>
            </w:r>
          </w:p>
        </w:tc>
        <w:tc>
          <w:tcPr>
            <w:tcW w:w="1080" w:type="dxa"/>
            <w:tcBorders>
              <w:top w:val="nil"/>
              <w:left w:val="nil"/>
              <w:bottom w:val="single" w:color="auto" w:sz="4" w:space="0"/>
              <w:right w:val="nil"/>
            </w:tcBorders>
          </w:tcPr>
          <w:p w14:paraId="6D2B6679">
            <w:pPr>
              <w:spacing w:line="480" w:lineRule="auto"/>
              <w:jc w:val="center"/>
              <w:rPr>
                <w:bCs/>
                <w:sz w:val="22"/>
                <w:szCs w:val="22"/>
              </w:rPr>
            </w:pPr>
            <w:r>
              <w:rPr>
                <w:rFonts w:hint="eastAsia"/>
                <w:bCs/>
                <w:sz w:val="22"/>
                <w:szCs w:val="22"/>
              </w:rPr>
              <w:t>0.95</w:t>
            </w:r>
            <w:r>
              <w:rPr>
                <w:bCs/>
                <w:sz w:val="22"/>
                <w:szCs w:val="22"/>
              </w:rPr>
              <w:t>3</w:t>
            </w:r>
          </w:p>
        </w:tc>
      </w:tr>
      <w:tr w14:paraId="74A21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4" w:type="dxa"/>
            <w:tcBorders>
              <w:left w:val="nil"/>
              <w:bottom w:val="single" w:color="auto" w:sz="4" w:space="0"/>
              <w:right w:val="nil"/>
            </w:tcBorders>
            <w:shd w:val="clear" w:color="auto" w:fill="BEBEBE" w:themeFill="background1" w:themeFillShade="BF"/>
          </w:tcPr>
          <w:p w14:paraId="6BC49532">
            <w:pPr>
              <w:spacing w:line="480" w:lineRule="auto"/>
              <w:rPr>
                <w:b/>
                <w:sz w:val="22"/>
                <w:szCs w:val="22"/>
              </w:rPr>
            </w:pPr>
            <w:r>
              <w:rPr>
                <w:b/>
                <w:sz w:val="22"/>
                <w:szCs w:val="22"/>
              </w:rPr>
              <w:t>Medical history</w:t>
            </w:r>
          </w:p>
        </w:tc>
        <w:tc>
          <w:tcPr>
            <w:tcW w:w="2276" w:type="dxa"/>
            <w:tcBorders>
              <w:left w:val="nil"/>
              <w:bottom w:val="single" w:color="auto" w:sz="4" w:space="0"/>
              <w:right w:val="nil"/>
            </w:tcBorders>
            <w:shd w:val="clear" w:color="auto" w:fill="BEBEBE" w:themeFill="background1" w:themeFillShade="BF"/>
          </w:tcPr>
          <w:p w14:paraId="6F9C994B">
            <w:pPr>
              <w:spacing w:line="480" w:lineRule="auto"/>
              <w:jc w:val="center"/>
              <w:rPr>
                <w:bCs/>
                <w:sz w:val="22"/>
                <w:szCs w:val="22"/>
              </w:rPr>
            </w:pPr>
          </w:p>
        </w:tc>
        <w:tc>
          <w:tcPr>
            <w:tcW w:w="1620" w:type="dxa"/>
            <w:tcBorders>
              <w:left w:val="nil"/>
              <w:bottom w:val="single" w:color="auto" w:sz="4" w:space="0"/>
              <w:right w:val="nil"/>
            </w:tcBorders>
            <w:shd w:val="clear" w:color="auto" w:fill="BEBEBE" w:themeFill="background1" w:themeFillShade="BF"/>
          </w:tcPr>
          <w:p w14:paraId="65B1D572">
            <w:pPr>
              <w:spacing w:line="480" w:lineRule="auto"/>
              <w:jc w:val="center"/>
              <w:rPr>
                <w:bCs/>
                <w:sz w:val="22"/>
                <w:szCs w:val="22"/>
              </w:rPr>
            </w:pPr>
          </w:p>
        </w:tc>
        <w:tc>
          <w:tcPr>
            <w:tcW w:w="1080" w:type="dxa"/>
            <w:tcBorders>
              <w:left w:val="nil"/>
              <w:bottom w:val="single" w:color="auto" w:sz="4" w:space="0"/>
              <w:right w:val="nil"/>
            </w:tcBorders>
            <w:shd w:val="clear" w:color="auto" w:fill="BEBEBE" w:themeFill="background1" w:themeFillShade="BF"/>
          </w:tcPr>
          <w:p w14:paraId="72565259">
            <w:pPr>
              <w:spacing w:line="480" w:lineRule="auto"/>
              <w:jc w:val="center"/>
              <w:rPr>
                <w:bCs/>
                <w:sz w:val="22"/>
                <w:szCs w:val="22"/>
              </w:rPr>
            </w:pPr>
          </w:p>
        </w:tc>
      </w:tr>
      <w:tr w14:paraId="7C0DB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4" w:type="dxa"/>
            <w:tcBorders>
              <w:left w:val="nil"/>
              <w:bottom w:val="nil"/>
              <w:right w:val="nil"/>
            </w:tcBorders>
          </w:tcPr>
          <w:p w14:paraId="0A0C2200">
            <w:pPr>
              <w:spacing w:line="480" w:lineRule="auto"/>
              <w:rPr>
                <w:bCs/>
                <w:sz w:val="22"/>
                <w:szCs w:val="22"/>
              </w:rPr>
            </w:pPr>
            <w:r>
              <w:rPr>
                <w:bCs/>
                <w:sz w:val="22"/>
                <w:szCs w:val="22"/>
              </w:rPr>
              <w:t>Diabetes mellitus</w:t>
            </w:r>
          </w:p>
        </w:tc>
        <w:tc>
          <w:tcPr>
            <w:tcW w:w="2276" w:type="dxa"/>
            <w:tcBorders>
              <w:left w:val="nil"/>
              <w:bottom w:val="nil"/>
              <w:right w:val="nil"/>
            </w:tcBorders>
          </w:tcPr>
          <w:p w14:paraId="0E811A5E">
            <w:pPr>
              <w:spacing w:line="480" w:lineRule="auto"/>
              <w:jc w:val="center"/>
              <w:rPr>
                <w:bCs/>
                <w:sz w:val="22"/>
                <w:szCs w:val="22"/>
              </w:rPr>
            </w:pPr>
            <w:r>
              <w:rPr>
                <w:rFonts w:hint="eastAsia"/>
                <w:bCs/>
                <w:sz w:val="22"/>
                <w:szCs w:val="22"/>
              </w:rPr>
              <w:t>22 (33.8%)</w:t>
            </w:r>
          </w:p>
        </w:tc>
        <w:tc>
          <w:tcPr>
            <w:tcW w:w="1620" w:type="dxa"/>
            <w:tcBorders>
              <w:left w:val="nil"/>
              <w:bottom w:val="nil"/>
              <w:right w:val="nil"/>
            </w:tcBorders>
          </w:tcPr>
          <w:p w14:paraId="09DD3CC0">
            <w:pPr>
              <w:spacing w:line="480" w:lineRule="auto"/>
              <w:jc w:val="center"/>
              <w:rPr>
                <w:bCs/>
                <w:sz w:val="22"/>
                <w:szCs w:val="22"/>
              </w:rPr>
            </w:pPr>
            <w:r>
              <w:rPr>
                <w:rFonts w:hint="eastAsia"/>
                <w:bCs/>
                <w:sz w:val="22"/>
                <w:szCs w:val="22"/>
              </w:rPr>
              <w:t>8 (61.5%)</w:t>
            </w:r>
          </w:p>
        </w:tc>
        <w:tc>
          <w:tcPr>
            <w:tcW w:w="1080" w:type="dxa"/>
            <w:tcBorders>
              <w:left w:val="nil"/>
              <w:bottom w:val="nil"/>
              <w:right w:val="nil"/>
            </w:tcBorders>
          </w:tcPr>
          <w:p w14:paraId="077058DC">
            <w:pPr>
              <w:spacing w:line="480" w:lineRule="auto"/>
              <w:jc w:val="center"/>
              <w:rPr>
                <w:bCs/>
                <w:sz w:val="22"/>
                <w:szCs w:val="22"/>
              </w:rPr>
            </w:pPr>
            <w:r>
              <w:rPr>
                <w:bCs/>
                <w:sz w:val="22"/>
                <w:szCs w:val="22"/>
              </w:rPr>
              <w:t>0.061</w:t>
            </w:r>
          </w:p>
        </w:tc>
      </w:tr>
      <w:tr w14:paraId="47B3E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4" w:type="dxa"/>
            <w:tcBorders>
              <w:top w:val="nil"/>
              <w:left w:val="nil"/>
              <w:bottom w:val="nil"/>
              <w:right w:val="nil"/>
            </w:tcBorders>
          </w:tcPr>
          <w:p w14:paraId="346D18C5">
            <w:pPr>
              <w:spacing w:line="480" w:lineRule="auto"/>
              <w:rPr>
                <w:bCs/>
                <w:sz w:val="22"/>
                <w:szCs w:val="22"/>
              </w:rPr>
            </w:pPr>
            <w:r>
              <w:rPr>
                <w:bCs/>
                <w:sz w:val="22"/>
                <w:szCs w:val="22"/>
              </w:rPr>
              <w:t>Hypertension</w:t>
            </w:r>
          </w:p>
        </w:tc>
        <w:tc>
          <w:tcPr>
            <w:tcW w:w="2276" w:type="dxa"/>
            <w:tcBorders>
              <w:top w:val="nil"/>
              <w:left w:val="nil"/>
              <w:bottom w:val="nil"/>
              <w:right w:val="nil"/>
            </w:tcBorders>
          </w:tcPr>
          <w:p w14:paraId="585BFAEE">
            <w:pPr>
              <w:spacing w:line="480" w:lineRule="auto"/>
              <w:jc w:val="center"/>
              <w:rPr>
                <w:bCs/>
                <w:sz w:val="22"/>
                <w:szCs w:val="22"/>
              </w:rPr>
            </w:pPr>
            <w:r>
              <w:rPr>
                <w:rFonts w:hint="eastAsia"/>
                <w:bCs/>
                <w:sz w:val="22"/>
                <w:szCs w:val="22"/>
              </w:rPr>
              <w:t>35 (53.8%)</w:t>
            </w:r>
          </w:p>
        </w:tc>
        <w:tc>
          <w:tcPr>
            <w:tcW w:w="1620" w:type="dxa"/>
            <w:tcBorders>
              <w:top w:val="nil"/>
              <w:left w:val="nil"/>
              <w:bottom w:val="nil"/>
              <w:right w:val="nil"/>
            </w:tcBorders>
          </w:tcPr>
          <w:p w14:paraId="5BB67398">
            <w:pPr>
              <w:spacing w:line="480" w:lineRule="auto"/>
              <w:jc w:val="center"/>
              <w:rPr>
                <w:bCs/>
                <w:sz w:val="22"/>
                <w:szCs w:val="22"/>
              </w:rPr>
            </w:pPr>
            <w:r>
              <w:rPr>
                <w:rFonts w:hint="eastAsia"/>
                <w:bCs/>
                <w:sz w:val="22"/>
                <w:szCs w:val="22"/>
              </w:rPr>
              <w:t>9 (69.2%)</w:t>
            </w:r>
          </w:p>
        </w:tc>
        <w:tc>
          <w:tcPr>
            <w:tcW w:w="1080" w:type="dxa"/>
            <w:tcBorders>
              <w:top w:val="nil"/>
              <w:left w:val="nil"/>
              <w:bottom w:val="nil"/>
              <w:right w:val="nil"/>
            </w:tcBorders>
          </w:tcPr>
          <w:p w14:paraId="017D8715">
            <w:pPr>
              <w:spacing w:line="480" w:lineRule="auto"/>
              <w:jc w:val="center"/>
              <w:rPr>
                <w:bCs/>
                <w:sz w:val="22"/>
                <w:szCs w:val="22"/>
              </w:rPr>
            </w:pPr>
            <w:r>
              <w:rPr>
                <w:bCs/>
                <w:sz w:val="22"/>
                <w:szCs w:val="22"/>
              </w:rPr>
              <w:t>0.334</w:t>
            </w:r>
          </w:p>
        </w:tc>
      </w:tr>
      <w:tr w14:paraId="3D941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4" w:type="dxa"/>
            <w:tcBorders>
              <w:top w:val="nil"/>
              <w:left w:val="nil"/>
              <w:bottom w:val="nil"/>
              <w:right w:val="nil"/>
            </w:tcBorders>
          </w:tcPr>
          <w:p w14:paraId="5B2E9263">
            <w:pPr>
              <w:spacing w:line="480" w:lineRule="auto"/>
              <w:rPr>
                <w:bCs/>
                <w:sz w:val="22"/>
                <w:szCs w:val="22"/>
              </w:rPr>
            </w:pPr>
            <w:r>
              <w:rPr>
                <w:bCs/>
                <w:sz w:val="22"/>
                <w:szCs w:val="22"/>
              </w:rPr>
              <w:t>Hypercholesterolaemia</w:t>
            </w:r>
          </w:p>
        </w:tc>
        <w:tc>
          <w:tcPr>
            <w:tcW w:w="2276" w:type="dxa"/>
            <w:tcBorders>
              <w:top w:val="nil"/>
              <w:left w:val="nil"/>
              <w:bottom w:val="nil"/>
              <w:right w:val="nil"/>
            </w:tcBorders>
          </w:tcPr>
          <w:p w14:paraId="24B2BB4E">
            <w:pPr>
              <w:spacing w:line="480" w:lineRule="auto"/>
              <w:jc w:val="center"/>
              <w:rPr>
                <w:bCs/>
                <w:sz w:val="22"/>
                <w:szCs w:val="22"/>
              </w:rPr>
            </w:pPr>
            <w:r>
              <w:rPr>
                <w:rFonts w:hint="eastAsia"/>
                <w:bCs/>
                <w:sz w:val="22"/>
                <w:szCs w:val="22"/>
              </w:rPr>
              <w:t>46 (70.8%)</w:t>
            </w:r>
          </w:p>
        </w:tc>
        <w:tc>
          <w:tcPr>
            <w:tcW w:w="1620" w:type="dxa"/>
            <w:tcBorders>
              <w:top w:val="nil"/>
              <w:left w:val="nil"/>
              <w:bottom w:val="nil"/>
              <w:right w:val="nil"/>
            </w:tcBorders>
          </w:tcPr>
          <w:p w14:paraId="77C862EB">
            <w:pPr>
              <w:spacing w:line="480" w:lineRule="auto"/>
              <w:jc w:val="center"/>
              <w:rPr>
                <w:bCs/>
                <w:sz w:val="22"/>
                <w:szCs w:val="22"/>
              </w:rPr>
            </w:pPr>
            <w:r>
              <w:rPr>
                <w:rFonts w:hint="eastAsia"/>
                <w:bCs/>
                <w:sz w:val="22"/>
                <w:szCs w:val="22"/>
              </w:rPr>
              <w:t>11 (84.6%)</w:t>
            </w:r>
          </w:p>
        </w:tc>
        <w:tc>
          <w:tcPr>
            <w:tcW w:w="1080" w:type="dxa"/>
            <w:tcBorders>
              <w:top w:val="nil"/>
              <w:left w:val="nil"/>
              <w:bottom w:val="nil"/>
              <w:right w:val="nil"/>
            </w:tcBorders>
          </w:tcPr>
          <w:p w14:paraId="5D87CB6E">
            <w:pPr>
              <w:spacing w:line="480" w:lineRule="auto"/>
              <w:jc w:val="center"/>
              <w:rPr>
                <w:bCs/>
                <w:sz w:val="22"/>
                <w:szCs w:val="22"/>
              </w:rPr>
            </w:pPr>
            <w:r>
              <w:rPr>
                <w:bCs/>
                <w:sz w:val="22"/>
                <w:szCs w:val="22"/>
              </w:rPr>
              <w:t>0.304</w:t>
            </w:r>
          </w:p>
        </w:tc>
      </w:tr>
      <w:tr w14:paraId="77C40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4" w:type="dxa"/>
            <w:tcBorders>
              <w:top w:val="nil"/>
              <w:left w:val="nil"/>
              <w:bottom w:val="nil"/>
              <w:right w:val="nil"/>
            </w:tcBorders>
          </w:tcPr>
          <w:p w14:paraId="74539520">
            <w:pPr>
              <w:spacing w:line="480" w:lineRule="auto"/>
              <w:rPr>
                <w:bCs/>
                <w:sz w:val="22"/>
                <w:szCs w:val="22"/>
              </w:rPr>
            </w:pPr>
            <w:r>
              <w:rPr>
                <w:bCs/>
                <w:sz w:val="22"/>
                <w:szCs w:val="22"/>
              </w:rPr>
              <w:t>Renal failure*</w:t>
            </w:r>
          </w:p>
        </w:tc>
        <w:tc>
          <w:tcPr>
            <w:tcW w:w="2276" w:type="dxa"/>
            <w:tcBorders>
              <w:top w:val="nil"/>
              <w:left w:val="nil"/>
              <w:bottom w:val="nil"/>
              <w:right w:val="nil"/>
            </w:tcBorders>
          </w:tcPr>
          <w:p w14:paraId="458CE4BC">
            <w:pPr>
              <w:spacing w:line="480" w:lineRule="auto"/>
              <w:jc w:val="center"/>
              <w:rPr>
                <w:bCs/>
                <w:sz w:val="22"/>
                <w:szCs w:val="22"/>
              </w:rPr>
            </w:pPr>
            <w:r>
              <w:rPr>
                <w:rFonts w:hint="eastAsia"/>
                <w:bCs/>
                <w:sz w:val="22"/>
                <w:szCs w:val="22"/>
              </w:rPr>
              <w:t>50 (76.9%)</w:t>
            </w:r>
          </w:p>
        </w:tc>
        <w:tc>
          <w:tcPr>
            <w:tcW w:w="1620" w:type="dxa"/>
            <w:tcBorders>
              <w:top w:val="nil"/>
              <w:left w:val="nil"/>
              <w:bottom w:val="nil"/>
              <w:right w:val="nil"/>
            </w:tcBorders>
          </w:tcPr>
          <w:p w14:paraId="492FE0BB">
            <w:pPr>
              <w:spacing w:line="480" w:lineRule="auto"/>
              <w:jc w:val="center"/>
              <w:rPr>
                <w:bCs/>
                <w:sz w:val="22"/>
                <w:szCs w:val="22"/>
              </w:rPr>
            </w:pPr>
            <w:r>
              <w:rPr>
                <w:rFonts w:hint="eastAsia"/>
                <w:bCs/>
                <w:sz w:val="22"/>
                <w:szCs w:val="22"/>
              </w:rPr>
              <w:t>9 (69.2%)</w:t>
            </w:r>
          </w:p>
        </w:tc>
        <w:tc>
          <w:tcPr>
            <w:tcW w:w="1080" w:type="dxa"/>
            <w:tcBorders>
              <w:top w:val="nil"/>
              <w:left w:val="nil"/>
              <w:bottom w:val="nil"/>
              <w:right w:val="nil"/>
            </w:tcBorders>
          </w:tcPr>
          <w:p w14:paraId="4CCD3701">
            <w:pPr>
              <w:spacing w:line="480" w:lineRule="auto"/>
              <w:jc w:val="center"/>
              <w:rPr>
                <w:bCs/>
                <w:sz w:val="22"/>
                <w:szCs w:val="22"/>
              </w:rPr>
            </w:pPr>
            <w:r>
              <w:rPr>
                <w:bCs/>
                <w:sz w:val="22"/>
                <w:szCs w:val="22"/>
              </w:rPr>
              <w:t>0.555</w:t>
            </w:r>
          </w:p>
        </w:tc>
      </w:tr>
      <w:tr w14:paraId="19115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4" w:type="dxa"/>
            <w:tcBorders>
              <w:top w:val="nil"/>
              <w:left w:val="nil"/>
              <w:bottom w:val="nil"/>
              <w:right w:val="nil"/>
            </w:tcBorders>
          </w:tcPr>
          <w:p w14:paraId="379C6821">
            <w:pPr>
              <w:spacing w:line="480" w:lineRule="auto"/>
              <w:rPr>
                <w:bCs/>
                <w:sz w:val="22"/>
                <w:szCs w:val="22"/>
              </w:rPr>
            </w:pPr>
            <w:r>
              <w:rPr>
                <w:bCs/>
                <w:sz w:val="22"/>
                <w:szCs w:val="22"/>
              </w:rPr>
              <w:t xml:space="preserve">Previous </w:t>
            </w:r>
            <w:r>
              <w:rPr>
                <w:rFonts w:hint="eastAsia" w:eastAsia="宋体"/>
                <w:bCs/>
                <w:sz w:val="22"/>
                <w:szCs w:val="22"/>
                <w:lang w:val="en-US" w:eastAsia="zh-CN"/>
              </w:rPr>
              <w:t>ACS</w:t>
            </w:r>
          </w:p>
        </w:tc>
        <w:tc>
          <w:tcPr>
            <w:tcW w:w="2276" w:type="dxa"/>
            <w:tcBorders>
              <w:top w:val="nil"/>
              <w:left w:val="nil"/>
              <w:bottom w:val="nil"/>
              <w:right w:val="nil"/>
            </w:tcBorders>
          </w:tcPr>
          <w:p w14:paraId="065382BF">
            <w:pPr>
              <w:spacing w:line="480" w:lineRule="auto"/>
              <w:jc w:val="center"/>
              <w:rPr>
                <w:bCs/>
                <w:sz w:val="22"/>
                <w:szCs w:val="22"/>
              </w:rPr>
            </w:pPr>
            <w:r>
              <w:rPr>
                <w:rFonts w:hint="eastAsia"/>
                <w:bCs/>
                <w:sz w:val="22"/>
                <w:szCs w:val="22"/>
              </w:rPr>
              <w:t>9 (13.8%)</w:t>
            </w:r>
          </w:p>
        </w:tc>
        <w:tc>
          <w:tcPr>
            <w:tcW w:w="1620" w:type="dxa"/>
            <w:tcBorders>
              <w:top w:val="nil"/>
              <w:left w:val="nil"/>
              <w:bottom w:val="nil"/>
              <w:right w:val="nil"/>
            </w:tcBorders>
          </w:tcPr>
          <w:p w14:paraId="4CCB9B2C">
            <w:pPr>
              <w:spacing w:line="480" w:lineRule="auto"/>
              <w:jc w:val="center"/>
              <w:rPr>
                <w:bCs/>
                <w:sz w:val="22"/>
                <w:szCs w:val="22"/>
              </w:rPr>
            </w:pPr>
            <w:r>
              <w:rPr>
                <w:rFonts w:hint="eastAsia"/>
                <w:bCs/>
                <w:sz w:val="22"/>
                <w:szCs w:val="22"/>
              </w:rPr>
              <w:t>1 (7.7%)</w:t>
            </w:r>
          </w:p>
        </w:tc>
        <w:tc>
          <w:tcPr>
            <w:tcW w:w="1080" w:type="dxa"/>
            <w:tcBorders>
              <w:top w:val="nil"/>
              <w:left w:val="nil"/>
              <w:bottom w:val="nil"/>
              <w:right w:val="nil"/>
            </w:tcBorders>
          </w:tcPr>
          <w:p w14:paraId="3A0CD342">
            <w:pPr>
              <w:spacing w:line="480" w:lineRule="auto"/>
              <w:jc w:val="center"/>
              <w:rPr>
                <w:bCs/>
                <w:sz w:val="22"/>
                <w:szCs w:val="22"/>
              </w:rPr>
            </w:pPr>
            <w:r>
              <w:rPr>
                <w:bCs/>
                <w:sz w:val="22"/>
                <w:szCs w:val="22"/>
              </w:rPr>
              <w:t>0.545</w:t>
            </w:r>
          </w:p>
        </w:tc>
      </w:tr>
      <w:tr w14:paraId="4B4FD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4" w:type="dxa"/>
            <w:tcBorders>
              <w:top w:val="nil"/>
              <w:left w:val="nil"/>
              <w:bottom w:val="nil"/>
              <w:right w:val="nil"/>
            </w:tcBorders>
          </w:tcPr>
          <w:p w14:paraId="484A7AA5">
            <w:pPr>
              <w:spacing w:line="480" w:lineRule="auto"/>
              <w:rPr>
                <w:bCs/>
                <w:sz w:val="22"/>
                <w:szCs w:val="22"/>
              </w:rPr>
            </w:pPr>
            <w:r>
              <w:rPr>
                <w:bCs/>
                <w:sz w:val="22"/>
                <w:szCs w:val="22"/>
              </w:rPr>
              <w:t>Previous PCI</w:t>
            </w:r>
          </w:p>
        </w:tc>
        <w:tc>
          <w:tcPr>
            <w:tcW w:w="2276" w:type="dxa"/>
            <w:tcBorders>
              <w:top w:val="nil"/>
              <w:left w:val="nil"/>
              <w:bottom w:val="nil"/>
              <w:right w:val="nil"/>
            </w:tcBorders>
          </w:tcPr>
          <w:p w14:paraId="6C4FE999">
            <w:pPr>
              <w:spacing w:line="480" w:lineRule="auto"/>
              <w:jc w:val="center"/>
              <w:rPr>
                <w:bCs/>
                <w:sz w:val="22"/>
                <w:szCs w:val="22"/>
              </w:rPr>
            </w:pPr>
            <w:r>
              <w:rPr>
                <w:rFonts w:hint="eastAsia"/>
                <w:bCs/>
                <w:sz w:val="22"/>
                <w:szCs w:val="22"/>
              </w:rPr>
              <w:t>14 (21.5%)</w:t>
            </w:r>
          </w:p>
        </w:tc>
        <w:tc>
          <w:tcPr>
            <w:tcW w:w="1620" w:type="dxa"/>
            <w:tcBorders>
              <w:top w:val="nil"/>
              <w:left w:val="nil"/>
              <w:bottom w:val="nil"/>
              <w:right w:val="nil"/>
            </w:tcBorders>
          </w:tcPr>
          <w:p w14:paraId="50C194BB">
            <w:pPr>
              <w:spacing w:line="480" w:lineRule="auto"/>
              <w:jc w:val="center"/>
              <w:rPr>
                <w:bCs/>
                <w:sz w:val="22"/>
                <w:szCs w:val="22"/>
              </w:rPr>
            </w:pPr>
            <w:r>
              <w:rPr>
                <w:rFonts w:hint="eastAsia"/>
                <w:bCs/>
                <w:sz w:val="22"/>
                <w:szCs w:val="22"/>
              </w:rPr>
              <w:t>1 (7.7%)</w:t>
            </w:r>
          </w:p>
        </w:tc>
        <w:tc>
          <w:tcPr>
            <w:tcW w:w="1080" w:type="dxa"/>
            <w:tcBorders>
              <w:top w:val="nil"/>
              <w:left w:val="nil"/>
              <w:bottom w:val="nil"/>
              <w:right w:val="nil"/>
            </w:tcBorders>
          </w:tcPr>
          <w:p w14:paraId="2D73B768">
            <w:pPr>
              <w:spacing w:line="480" w:lineRule="auto"/>
              <w:jc w:val="center"/>
              <w:rPr>
                <w:bCs/>
                <w:sz w:val="22"/>
                <w:szCs w:val="22"/>
              </w:rPr>
            </w:pPr>
            <w:r>
              <w:rPr>
                <w:bCs/>
                <w:sz w:val="22"/>
                <w:szCs w:val="22"/>
              </w:rPr>
              <w:t>0.247</w:t>
            </w:r>
          </w:p>
        </w:tc>
      </w:tr>
      <w:tr w14:paraId="66498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4" w:type="dxa"/>
            <w:tcBorders>
              <w:top w:val="nil"/>
              <w:left w:val="nil"/>
              <w:bottom w:val="single" w:color="auto" w:sz="4" w:space="0"/>
              <w:right w:val="nil"/>
            </w:tcBorders>
          </w:tcPr>
          <w:p w14:paraId="5053B0B0">
            <w:pPr>
              <w:spacing w:line="480" w:lineRule="auto"/>
              <w:rPr>
                <w:bCs/>
                <w:sz w:val="22"/>
                <w:szCs w:val="22"/>
              </w:rPr>
            </w:pPr>
            <w:r>
              <w:rPr>
                <w:rFonts w:hint="eastAsia"/>
                <w:bCs/>
                <w:sz w:val="22"/>
                <w:szCs w:val="22"/>
              </w:rPr>
              <w:t>Previous</w:t>
            </w:r>
            <w:r>
              <w:rPr>
                <w:bCs/>
                <w:sz w:val="22"/>
                <w:szCs w:val="22"/>
              </w:rPr>
              <w:t xml:space="preserve"> cerebrovascular event </w:t>
            </w:r>
          </w:p>
        </w:tc>
        <w:tc>
          <w:tcPr>
            <w:tcW w:w="2276" w:type="dxa"/>
            <w:tcBorders>
              <w:top w:val="nil"/>
              <w:left w:val="nil"/>
              <w:bottom w:val="single" w:color="auto" w:sz="4" w:space="0"/>
              <w:right w:val="nil"/>
            </w:tcBorders>
          </w:tcPr>
          <w:p w14:paraId="35AE3398">
            <w:pPr>
              <w:spacing w:line="480" w:lineRule="auto"/>
              <w:jc w:val="center"/>
              <w:rPr>
                <w:bCs/>
                <w:sz w:val="22"/>
                <w:szCs w:val="22"/>
              </w:rPr>
            </w:pPr>
            <w:r>
              <w:rPr>
                <w:rFonts w:hint="eastAsia"/>
                <w:bCs/>
                <w:sz w:val="22"/>
                <w:szCs w:val="22"/>
              </w:rPr>
              <w:t>6 (9.2%)</w:t>
            </w:r>
          </w:p>
        </w:tc>
        <w:tc>
          <w:tcPr>
            <w:tcW w:w="1620" w:type="dxa"/>
            <w:tcBorders>
              <w:top w:val="nil"/>
              <w:left w:val="nil"/>
              <w:bottom w:val="single" w:color="auto" w:sz="4" w:space="0"/>
              <w:right w:val="nil"/>
            </w:tcBorders>
          </w:tcPr>
          <w:p w14:paraId="76FE1805">
            <w:pPr>
              <w:spacing w:line="480" w:lineRule="auto"/>
              <w:jc w:val="center"/>
              <w:rPr>
                <w:bCs/>
                <w:sz w:val="22"/>
                <w:szCs w:val="22"/>
              </w:rPr>
            </w:pPr>
            <w:r>
              <w:rPr>
                <w:rFonts w:hint="eastAsia"/>
                <w:bCs/>
                <w:sz w:val="22"/>
                <w:szCs w:val="22"/>
              </w:rPr>
              <w:t>0 (0.0%)</w:t>
            </w:r>
          </w:p>
        </w:tc>
        <w:tc>
          <w:tcPr>
            <w:tcW w:w="1080" w:type="dxa"/>
            <w:tcBorders>
              <w:top w:val="nil"/>
              <w:left w:val="nil"/>
              <w:bottom w:val="single" w:color="auto" w:sz="4" w:space="0"/>
              <w:right w:val="nil"/>
            </w:tcBorders>
          </w:tcPr>
          <w:p w14:paraId="0CEC74CD">
            <w:pPr>
              <w:spacing w:line="480" w:lineRule="auto"/>
              <w:jc w:val="center"/>
              <w:rPr>
                <w:bCs/>
                <w:sz w:val="22"/>
                <w:szCs w:val="22"/>
              </w:rPr>
            </w:pPr>
            <w:r>
              <w:rPr>
                <w:bCs/>
                <w:sz w:val="22"/>
                <w:szCs w:val="22"/>
              </w:rPr>
              <w:t>0.254</w:t>
            </w:r>
          </w:p>
        </w:tc>
      </w:tr>
      <w:tr w14:paraId="3A8B8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4" w:type="dxa"/>
            <w:tcBorders>
              <w:left w:val="nil"/>
              <w:bottom w:val="single" w:color="auto" w:sz="4" w:space="0"/>
              <w:right w:val="nil"/>
            </w:tcBorders>
            <w:shd w:val="clear" w:color="auto" w:fill="BEBEBE" w:themeFill="background1" w:themeFillShade="BF"/>
          </w:tcPr>
          <w:p w14:paraId="2F01B081">
            <w:pPr>
              <w:spacing w:line="480" w:lineRule="auto"/>
              <w:rPr>
                <w:bCs/>
                <w:sz w:val="22"/>
                <w:szCs w:val="22"/>
              </w:rPr>
            </w:pPr>
            <w:r>
              <w:rPr>
                <w:bCs/>
                <w:sz w:val="22"/>
                <w:szCs w:val="22"/>
              </w:rPr>
              <w:t>Medications</w:t>
            </w:r>
          </w:p>
        </w:tc>
        <w:tc>
          <w:tcPr>
            <w:tcW w:w="2276" w:type="dxa"/>
            <w:tcBorders>
              <w:left w:val="nil"/>
              <w:bottom w:val="single" w:color="auto" w:sz="4" w:space="0"/>
              <w:right w:val="nil"/>
            </w:tcBorders>
            <w:shd w:val="clear" w:color="auto" w:fill="BEBEBE" w:themeFill="background1" w:themeFillShade="BF"/>
          </w:tcPr>
          <w:p w14:paraId="6EDD02FA">
            <w:pPr>
              <w:spacing w:line="480" w:lineRule="auto"/>
              <w:jc w:val="center"/>
              <w:rPr>
                <w:bCs/>
                <w:sz w:val="22"/>
                <w:szCs w:val="22"/>
              </w:rPr>
            </w:pPr>
          </w:p>
        </w:tc>
        <w:tc>
          <w:tcPr>
            <w:tcW w:w="1620" w:type="dxa"/>
            <w:tcBorders>
              <w:left w:val="nil"/>
              <w:bottom w:val="single" w:color="auto" w:sz="4" w:space="0"/>
              <w:right w:val="nil"/>
            </w:tcBorders>
            <w:shd w:val="clear" w:color="auto" w:fill="BEBEBE" w:themeFill="background1" w:themeFillShade="BF"/>
          </w:tcPr>
          <w:p w14:paraId="2FC820EA">
            <w:pPr>
              <w:spacing w:line="480" w:lineRule="auto"/>
              <w:jc w:val="center"/>
              <w:rPr>
                <w:bCs/>
                <w:sz w:val="22"/>
                <w:szCs w:val="22"/>
              </w:rPr>
            </w:pPr>
          </w:p>
        </w:tc>
        <w:tc>
          <w:tcPr>
            <w:tcW w:w="1080" w:type="dxa"/>
            <w:tcBorders>
              <w:left w:val="nil"/>
              <w:bottom w:val="single" w:color="auto" w:sz="4" w:space="0"/>
              <w:right w:val="nil"/>
            </w:tcBorders>
            <w:shd w:val="clear" w:color="auto" w:fill="BEBEBE" w:themeFill="background1" w:themeFillShade="BF"/>
          </w:tcPr>
          <w:p w14:paraId="2BA380A8">
            <w:pPr>
              <w:spacing w:line="480" w:lineRule="auto"/>
              <w:jc w:val="center"/>
              <w:rPr>
                <w:bCs/>
                <w:sz w:val="22"/>
                <w:szCs w:val="22"/>
              </w:rPr>
            </w:pPr>
          </w:p>
        </w:tc>
      </w:tr>
      <w:tr w14:paraId="7B52D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4" w:type="dxa"/>
            <w:tcBorders>
              <w:left w:val="nil"/>
              <w:bottom w:val="nil"/>
              <w:right w:val="nil"/>
            </w:tcBorders>
            <w:shd w:val="clear" w:color="auto" w:fill="FFFFFF" w:themeFill="background1"/>
          </w:tcPr>
          <w:p w14:paraId="163D8520">
            <w:pPr>
              <w:spacing w:line="480" w:lineRule="auto"/>
              <w:rPr>
                <w:bCs/>
                <w:sz w:val="22"/>
                <w:szCs w:val="22"/>
              </w:rPr>
            </w:pPr>
            <w:r>
              <w:rPr>
                <w:bCs/>
                <w:sz w:val="22"/>
                <w:szCs w:val="22"/>
              </w:rPr>
              <w:t>Aspirin</w:t>
            </w:r>
          </w:p>
        </w:tc>
        <w:tc>
          <w:tcPr>
            <w:tcW w:w="2276" w:type="dxa"/>
            <w:tcBorders>
              <w:left w:val="nil"/>
              <w:bottom w:val="nil"/>
              <w:right w:val="nil"/>
            </w:tcBorders>
            <w:shd w:val="clear" w:color="auto" w:fill="FFFFFF" w:themeFill="background1"/>
          </w:tcPr>
          <w:p w14:paraId="5128DE43">
            <w:pPr>
              <w:spacing w:line="480" w:lineRule="auto"/>
              <w:jc w:val="center"/>
              <w:rPr>
                <w:bCs/>
                <w:sz w:val="22"/>
                <w:szCs w:val="22"/>
              </w:rPr>
            </w:pPr>
            <w:r>
              <w:rPr>
                <w:rFonts w:hint="eastAsia"/>
                <w:bCs/>
                <w:sz w:val="22"/>
                <w:szCs w:val="22"/>
              </w:rPr>
              <w:t>63 (96.9%)</w:t>
            </w:r>
          </w:p>
        </w:tc>
        <w:tc>
          <w:tcPr>
            <w:tcW w:w="1620" w:type="dxa"/>
            <w:tcBorders>
              <w:left w:val="nil"/>
              <w:bottom w:val="nil"/>
              <w:right w:val="nil"/>
            </w:tcBorders>
            <w:shd w:val="clear" w:color="auto" w:fill="FFFFFF" w:themeFill="background1"/>
          </w:tcPr>
          <w:p w14:paraId="27E38EAD">
            <w:pPr>
              <w:spacing w:line="480" w:lineRule="auto"/>
              <w:jc w:val="center"/>
              <w:rPr>
                <w:bCs/>
                <w:sz w:val="22"/>
                <w:szCs w:val="22"/>
              </w:rPr>
            </w:pPr>
            <w:r>
              <w:rPr>
                <w:rFonts w:hint="eastAsia"/>
                <w:bCs/>
                <w:sz w:val="22"/>
                <w:szCs w:val="22"/>
              </w:rPr>
              <w:t>13 (100%)</w:t>
            </w:r>
          </w:p>
        </w:tc>
        <w:tc>
          <w:tcPr>
            <w:tcW w:w="1080" w:type="dxa"/>
            <w:tcBorders>
              <w:left w:val="nil"/>
              <w:bottom w:val="nil"/>
              <w:right w:val="nil"/>
            </w:tcBorders>
            <w:shd w:val="clear" w:color="auto" w:fill="FFFFFF" w:themeFill="background1"/>
          </w:tcPr>
          <w:p w14:paraId="5FE5509F">
            <w:pPr>
              <w:spacing w:line="480" w:lineRule="auto"/>
              <w:jc w:val="center"/>
              <w:rPr>
                <w:bCs/>
                <w:sz w:val="22"/>
                <w:szCs w:val="22"/>
              </w:rPr>
            </w:pPr>
            <w:r>
              <w:rPr>
                <w:bCs/>
                <w:sz w:val="22"/>
                <w:szCs w:val="22"/>
              </w:rPr>
              <w:t>0.650</w:t>
            </w:r>
          </w:p>
        </w:tc>
      </w:tr>
      <w:tr w14:paraId="63F0F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4" w:type="dxa"/>
            <w:tcBorders>
              <w:top w:val="nil"/>
              <w:left w:val="nil"/>
              <w:bottom w:val="nil"/>
              <w:right w:val="nil"/>
            </w:tcBorders>
            <w:shd w:val="clear" w:color="auto" w:fill="FFFFFF" w:themeFill="background1"/>
          </w:tcPr>
          <w:p w14:paraId="335FAAAA">
            <w:pPr>
              <w:spacing w:line="480" w:lineRule="auto"/>
              <w:rPr>
                <w:bCs/>
                <w:sz w:val="22"/>
                <w:szCs w:val="22"/>
              </w:rPr>
            </w:pPr>
            <w:r>
              <w:rPr>
                <w:rFonts w:hint="eastAsia" w:eastAsia="宋体"/>
                <w:bCs/>
                <w:sz w:val="22"/>
                <w:szCs w:val="22"/>
                <w:lang w:val="en-US" w:eastAsia="zh-CN"/>
              </w:rPr>
              <w:t>P</w:t>
            </w:r>
            <w:r>
              <w:rPr>
                <w:rFonts w:hint="eastAsia" w:eastAsia="宋体"/>
                <w:bCs/>
                <w:sz w:val="22"/>
                <w:szCs w:val="22"/>
                <w:vertAlign w:val="subscript"/>
                <w:lang w:val="en-US" w:eastAsia="zh-CN"/>
              </w:rPr>
              <w:t>2</w:t>
            </w:r>
            <w:r>
              <w:rPr>
                <w:rFonts w:hint="eastAsia" w:eastAsia="宋体"/>
                <w:bCs/>
                <w:sz w:val="22"/>
                <w:szCs w:val="22"/>
                <w:lang w:val="en-US" w:eastAsia="zh-CN"/>
              </w:rPr>
              <w:t>Y</w:t>
            </w:r>
            <w:r>
              <w:rPr>
                <w:rFonts w:hint="eastAsia" w:eastAsia="宋体"/>
                <w:bCs/>
                <w:sz w:val="22"/>
                <w:szCs w:val="22"/>
                <w:vertAlign w:val="subscript"/>
                <w:lang w:val="en-US" w:eastAsia="zh-CN"/>
              </w:rPr>
              <w:t>12</w:t>
            </w:r>
            <w:r>
              <w:rPr>
                <w:bCs/>
                <w:sz w:val="22"/>
                <w:szCs w:val="22"/>
              </w:rPr>
              <w:t>-inhibitor</w:t>
            </w:r>
          </w:p>
        </w:tc>
        <w:tc>
          <w:tcPr>
            <w:tcW w:w="2276" w:type="dxa"/>
            <w:tcBorders>
              <w:top w:val="nil"/>
              <w:left w:val="nil"/>
              <w:bottom w:val="nil"/>
              <w:right w:val="nil"/>
            </w:tcBorders>
            <w:shd w:val="clear" w:color="auto" w:fill="FFFFFF" w:themeFill="background1"/>
          </w:tcPr>
          <w:p w14:paraId="78231A64">
            <w:pPr>
              <w:spacing w:line="480" w:lineRule="auto"/>
              <w:jc w:val="center"/>
              <w:rPr>
                <w:bCs/>
                <w:sz w:val="22"/>
                <w:szCs w:val="22"/>
              </w:rPr>
            </w:pPr>
            <w:r>
              <w:rPr>
                <w:rFonts w:hint="eastAsia"/>
                <w:bCs/>
                <w:sz w:val="22"/>
                <w:szCs w:val="22"/>
              </w:rPr>
              <w:t>59 (90.8%)</w:t>
            </w:r>
          </w:p>
        </w:tc>
        <w:tc>
          <w:tcPr>
            <w:tcW w:w="1620" w:type="dxa"/>
            <w:tcBorders>
              <w:top w:val="nil"/>
              <w:left w:val="nil"/>
              <w:bottom w:val="nil"/>
              <w:right w:val="nil"/>
            </w:tcBorders>
            <w:shd w:val="clear" w:color="auto" w:fill="FFFFFF" w:themeFill="background1"/>
          </w:tcPr>
          <w:p w14:paraId="75B857F9">
            <w:pPr>
              <w:spacing w:line="480" w:lineRule="auto"/>
              <w:jc w:val="center"/>
              <w:rPr>
                <w:bCs/>
                <w:sz w:val="22"/>
                <w:szCs w:val="22"/>
              </w:rPr>
            </w:pPr>
            <w:r>
              <w:rPr>
                <w:rFonts w:hint="eastAsia"/>
                <w:bCs/>
                <w:sz w:val="22"/>
                <w:szCs w:val="22"/>
              </w:rPr>
              <w:t>11 (84.6%)</w:t>
            </w:r>
          </w:p>
        </w:tc>
        <w:tc>
          <w:tcPr>
            <w:tcW w:w="1080" w:type="dxa"/>
            <w:tcBorders>
              <w:top w:val="nil"/>
              <w:left w:val="nil"/>
              <w:bottom w:val="nil"/>
              <w:right w:val="nil"/>
            </w:tcBorders>
            <w:shd w:val="clear" w:color="auto" w:fill="FFFFFF" w:themeFill="background1"/>
          </w:tcPr>
          <w:p w14:paraId="3C13F028">
            <w:pPr>
              <w:spacing w:line="480" w:lineRule="auto"/>
              <w:jc w:val="center"/>
              <w:rPr>
                <w:bCs/>
                <w:sz w:val="22"/>
                <w:szCs w:val="22"/>
              </w:rPr>
            </w:pPr>
            <w:r>
              <w:rPr>
                <w:bCs/>
                <w:sz w:val="22"/>
                <w:szCs w:val="22"/>
              </w:rPr>
              <w:t>0.387</w:t>
            </w:r>
          </w:p>
        </w:tc>
      </w:tr>
      <w:tr w14:paraId="754EA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4" w:type="dxa"/>
            <w:tcBorders>
              <w:top w:val="nil"/>
              <w:left w:val="nil"/>
              <w:bottom w:val="nil"/>
              <w:right w:val="nil"/>
            </w:tcBorders>
            <w:shd w:val="clear" w:color="auto" w:fill="FFFFFF" w:themeFill="background1"/>
          </w:tcPr>
          <w:p w14:paraId="2F0F0AE1">
            <w:pPr>
              <w:spacing w:line="480" w:lineRule="auto"/>
              <w:rPr>
                <w:bCs/>
                <w:sz w:val="22"/>
                <w:szCs w:val="22"/>
              </w:rPr>
            </w:pPr>
            <w:r>
              <w:rPr>
                <w:bCs/>
                <w:sz w:val="22"/>
                <w:szCs w:val="22"/>
              </w:rPr>
              <w:t>Statin</w:t>
            </w:r>
          </w:p>
        </w:tc>
        <w:tc>
          <w:tcPr>
            <w:tcW w:w="2276" w:type="dxa"/>
            <w:tcBorders>
              <w:top w:val="nil"/>
              <w:left w:val="nil"/>
              <w:bottom w:val="nil"/>
              <w:right w:val="nil"/>
            </w:tcBorders>
            <w:shd w:val="clear" w:color="auto" w:fill="FFFFFF" w:themeFill="background1"/>
          </w:tcPr>
          <w:p w14:paraId="6F2113F4">
            <w:pPr>
              <w:spacing w:line="480" w:lineRule="auto"/>
              <w:jc w:val="center"/>
              <w:rPr>
                <w:bCs/>
                <w:sz w:val="22"/>
                <w:szCs w:val="22"/>
              </w:rPr>
            </w:pPr>
            <w:r>
              <w:rPr>
                <w:rFonts w:hint="eastAsia"/>
                <w:bCs/>
                <w:sz w:val="22"/>
                <w:szCs w:val="22"/>
              </w:rPr>
              <w:t>61 (93.8%)</w:t>
            </w:r>
          </w:p>
        </w:tc>
        <w:tc>
          <w:tcPr>
            <w:tcW w:w="1620" w:type="dxa"/>
            <w:tcBorders>
              <w:top w:val="nil"/>
              <w:left w:val="nil"/>
              <w:bottom w:val="nil"/>
              <w:right w:val="nil"/>
            </w:tcBorders>
            <w:shd w:val="clear" w:color="auto" w:fill="FFFFFF" w:themeFill="background1"/>
          </w:tcPr>
          <w:p w14:paraId="63077D03">
            <w:pPr>
              <w:spacing w:line="480" w:lineRule="auto"/>
              <w:jc w:val="center"/>
              <w:rPr>
                <w:bCs/>
                <w:sz w:val="22"/>
                <w:szCs w:val="22"/>
              </w:rPr>
            </w:pPr>
            <w:r>
              <w:rPr>
                <w:rFonts w:hint="eastAsia"/>
                <w:bCs/>
                <w:sz w:val="22"/>
                <w:szCs w:val="22"/>
              </w:rPr>
              <w:t>13 (100%)</w:t>
            </w:r>
          </w:p>
        </w:tc>
        <w:tc>
          <w:tcPr>
            <w:tcW w:w="1080" w:type="dxa"/>
            <w:tcBorders>
              <w:top w:val="nil"/>
              <w:left w:val="nil"/>
              <w:bottom w:val="nil"/>
              <w:right w:val="nil"/>
            </w:tcBorders>
            <w:shd w:val="clear" w:color="auto" w:fill="FFFFFF" w:themeFill="background1"/>
          </w:tcPr>
          <w:p w14:paraId="3153C238">
            <w:pPr>
              <w:spacing w:line="480" w:lineRule="auto"/>
              <w:jc w:val="center"/>
              <w:rPr>
                <w:bCs/>
                <w:sz w:val="22"/>
                <w:szCs w:val="22"/>
              </w:rPr>
            </w:pPr>
            <w:r>
              <w:rPr>
                <w:bCs/>
                <w:sz w:val="22"/>
                <w:szCs w:val="22"/>
              </w:rPr>
              <w:t>0.645</w:t>
            </w:r>
          </w:p>
        </w:tc>
      </w:tr>
      <w:tr w14:paraId="0A0E9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4" w:type="dxa"/>
            <w:tcBorders>
              <w:top w:val="nil"/>
              <w:left w:val="nil"/>
              <w:bottom w:val="nil"/>
              <w:right w:val="nil"/>
            </w:tcBorders>
            <w:shd w:val="clear" w:color="auto" w:fill="FFFFFF" w:themeFill="background1"/>
          </w:tcPr>
          <w:p w14:paraId="658CF0CF">
            <w:pPr>
              <w:spacing w:line="480" w:lineRule="auto"/>
              <w:rPr>
                <w:bCs/>
                <w:sz w:val="22"/>
                <w:szCs w:val="22"/>
              </w:rPr>
            </w:pPr>
            <w:r>
              <w:rPr>
                <w:bCs/>
                <w:sz w:val="22"/>
                <w:szCs w:val="22"/>
                <w:lang w:val="el-GR"/>
              </w:rPr>
              <w:t>β-</w:t>
            </w:r>
            <w:r>
              <w:rPr>
                <w:bCs/>
                <w:sz w:val="22"/>
                <w:szCs w:val="22"/>
                <w:lang w:val="en-US"/>
              </w:rPr>
              <w:t>b</w:t>
            </w:r>
            <w:r>
              <w:rPr>
                <w:bCs/>
                <w:sz w:val="22"/>
                <w:szCs w:val="22"/>
              </w:rPr>
              <w:t>locker</w:t>
            </w:r>
          </w:p>
        </w:tc>
        <w:tc>
          <w:tcPr>
            <w:tcW w:w="2276" w:type="dxa"/>
            <w:tcBorders>
              <w:top w:val="nil"/>
              <w:left w:val="nil"/>
              <w:bottom w:val="nil"/>
              <w:right w:val="nil"/>
            </w:tcBorders>
            <w:shd w:val="clear" w:color="auto" w:fill="FFFFFF" w:themeFill="background1"/>
          </w:tcPr>
          <w:p w14:paraId="6AFF1A93">
            <w:pPr>
              <w:spacing w:line="480" w:lineRule="auto"/>
              <w:jc w:val="center"/>
              <w:rPr>
                <w:bCs/>
                <w:sz w:val="22"/>
                <w:szCs w:val="22"/>
              </w:rPr>
            </w:pPr>
            <w:r>
              <w:rPr>
                <w:rFonts w:hint="eastAsia"/>
                <w:bCs/>
                <w:sz w:val="22"/>
                <w:szCs w:val="22"/>
              </w:rPr>
              <w:t>46 (70.8%)</w:t>
            </w:r>
          </w:p>
        </w:tc>
        <w:tc>
          <w:tcPr>
            <w:tcW w:w="1620" w:type="dxa"/>
            <w:tcBorders>
              <w:top w:val="nil"/>
              <w:left w:val="nil"/>
              <w:bottom w:val="nil"/>
              <w:right w:val="nil"/>
            </w:tcBorders>
            <w:shd w:val="clear" w:color="auto" w:fill="FFFFFF" w:themeFill="background1"/>
          </w:tcPr>
          <w:p w14:paraId="57AB7063">
            <w:pPr>
              <w:spacing w:line="480" w:lineRule="auto"/>
              <w:jc w:val="center"/>
              <w:rPr>
                <w:bCs/>
                <w:sz w:val="22"/>
                <w:szCs w:val="22"/>
              </w:rPr>
            </w:pPr>
            <w:r>
              <w:rPr>
                <w:rFonts w:hint="eastAsia"/>
                <w:bCs/>
                <w:sz w:val="22"/>
                <w:szCs w:val="22"/>
              </w:rPr>
              <w:t>12 (92.3%)</w:t>
            </w:r>
          </w:p>
        </w:tc>
        <w:tc>
          <w:tcPr>
            <w:tcW w:w="1080" w:type="dxa"/>
            <w:tcBorders>
              <w:top w:val="nil"/>
              <w:left w:val="nil"/>
              <w:bottom w:val="nil"/>
              <w:right w:val="nil"/>
            </w:tcBorders>
            <w:shd w:val="clear" w:color="auto" w:fill="FFFFFF" w:themeFill="background1"/>
          </w:tcPr>
          <w:p w14:paraId="670370E3">
            <w:pPr>
              <w:spacing w:line="480" w:lineRule="auto"/>
              <w:jc w:val="center"/>
              <w:rPr>
                <w:bCs/>
                <w:sz w:val="22"/>
                <w:szCs w:val="22"/>
              </w:rPr>
            </w:pPr>
            <w:r>
              <w:rPr>
                <w:bCs/>
                <w:sz w:val="22"/>
                <w:szCs w:val="22"/>
              </w:rPr>
              <w:t>0.156</w:t>
            </w:r>
          </w:p>
        </w:tc>
      </w:tr>
      <w:tr w14:paraId="057FE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4" w:type="dxa"/>
            <w:tcBorders>
              <w:top w:val="nil"/>
              <w:left w:val="nil"/>
              <w:bottom w:val="single" w:color="auto" w:sz="4" w:space="0"/>
              <w:right w:val="nil"/>
            </w:tcBorders>
            <w:shd w:val="clear" w:color="auto" w:fill="FFFFFF" w:themeFill="background1"/>
          </w:tcPr>
          <w:p w14:paraId="6C9E2AAF">
            <w:pPr>
              <w:spacing w:line="480" w:lineRule="auto"/>
              <w:rPr>
                <w:bCs/>
                <w:sz w:val="22"/>
                <w:szCs w:val="22"/>
              </w:rPr>
            </w:pPr>
            <w:r>
              <w:rPr>
                <w:bCs/>
                <w:sz w:val="22"/>
                <w:szCs w:val="22"/>
              </w:rPr>
              <w:t>RAAS inhibitor</w:t>
            </w:r>
          </w:p>
        </w:tc>
        <w:tc>
          <w:tcPr>
            <w:tcW w:w="2276" w:type="dxa"/>
            <w:tcBorders>
              <w:top w:val="nil"/>
              <w:left w:val="nil"/>
              <w:bottom w:val="single" w:color="auto" w:sz="4" w:space="0"/>
              <w:right w:val="nil"/>
            </w:tcBorders>
            <w:shd w:val="clear" w:color="auto" w:fill="FFFFFF" w:themeFill="background1"/>
          </w:tcPr>
          <w:p w14:paraId="0AD878DC">
            <w:pPr>
              <w:spacing w:line="480" w:lineRule="auto"/>
              <w:jc w:val="center"/>
              <w:rPr>
                <w:bCs/>
                <w:sz w:val="22"/>
                <w:szCs w:val="22"/>
              </w:rPr>
            </w:pPr>
            <w:r>
              <w:rPr>
                <w:rFonts w:hint="eastAsia"/>
                <w:bCs/>
                <w:sz w:val="22"/>
                <w:szCs w:val="22"/>
              </w:rPr>
              <w:t>33 (50.8%)</w:t>
            </w:r>
          </w:p>
        </w:tc>
        <w:tc>
          <w:tcPr>
            <w:tcW w:w="1620" w:type="dxa"/>
            <w:tcBorders>
              <w:top w:val="nil"/>
              <w:left w:val="nil"/>
              <w:bottom w:val="single" w:color="auto" w:sz="4" w:space="0"/>
              <w:right w:val="nil"/>
            </w:tcBorders>
            <w:shd w:val="clear" w:color="auto" w:fill="FFFFFF" w:themeFill="background1"/>
          </w:tcPr>
          <w:p w14:paraId="2DA13803">
            <w:pPr>
              <w:spacing w:line="480" w:lineRule="auto"/>
              <w:jc w:val="center"/>
              <w:rPr>
                <w:bCs/>
                <w:sz w:val="22"/>
                <w:szCs w:val="22"/>
              </w:rPr>
            </w:pPr>
            <w:r>
              <w:rPr>
                <w:rFonts w:hint="eastAsia"/>
                <w:bCs/>
                <w:sz w:val="22"/>
                <w:szCs w:val="22"/>
              </w:rPr>
              <w:t>11 (84.6%)</w:t>
            </w:r>
          </w:p>
        </w:tc>
        <w:tc>
          <w:tcPr>
            <w:tcW w:w="1080" w:type="dxa"/>
            <w:tcBorders>
              <w:top w:val="nil"/>
              <w:left w:val="nil"/>
              <w:bottom w:val="single" w:color="auto" w:sz="4" w:space="0"/>
              <w:right w:val="nil"/>
            </w:tcBorders>
            <w:shd w:val="clear" w:color="auto" w:fill="FFFFFF" w:themeFill="background1"/>
          </w:tcPr>
          <w:p w14:paraId="1CEE8563">
            <w:pPr>
              <w:spacing w:line="480" w:lineRule="auto"/>
              <w:jc w:val="center"/>
              <w:rPr>
                <w:bCs/>
                <w:sz w:val="22"/>
                <w:szCs w:val="22"/>
              </w:rPr>
            </w:pPr>
            <w:r>
              <w:rPr>
                <w:bCs/>
                <w:sz w:val="22"/>
                <w:szCs w:val="22"/>
              </w:rPr>
              <w:t>0.037</w:t>
            </w:r>
          </w:p>
        </w:tc>
      </w:tr>
      <w:tr w14:paraId="53A88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4" w:type="dxa"/>
            <w:tcBorders>
              <w:left w:val="nil"/>
              <w:bottom w:val="single" w:color="auto" w:sz="4" w:space="0"/>
              <w:right w:val="nil"/>
            </w:tcBorders>
            <w:shd w:val="clear" w:color="auto" w:fill="BEBEBE" w:themeFill="background1" w:themeFillShade="BF"/>
          </w:tcPr>
          <w:p w14:paraId="16BD9DC6">
            <w:pPr>
              <w:spacing w:line="480" w:lineRule="auto"/>
              <w:rPr>
                <w:b/>
                <w:sz w:val="22"/>
                <w:szCs w:val="22"/>
              </w:rPr>
            </w:pPr>
            <w:r>
              <w:rPr>
                <w:b/>
                <w:sz w:val="22"/>
                <w:szCs w:val="22"/>
              </w:rPr>
              <w:t>Studied vessels</w:t>
            </w:r>
          </w:p>
        </w:tc>
        <w:tc>
          <w:tcPr>
            <w:tcW w:w="2276" w:type="dxa"/>
            <w:tcBorders>
              <w:left w:val="nil"/>
              <w:bottom w:val="single" w:color="auto" w:sz="4" w:space="0"/>
              <w:right w:val="nil"/>
            </w:tcBorders>
            <w:shd w:val="clear" w:color="auto" w:fill="BEBEBE" w:themeFill="background1" w:themeFillShade="BF"/>
          </w:tcPr>
          <w:p w14:paraId="035A7EE3">
            <w:pPr>
              <w:spacing w:line="480" w:lineRule="auto"/>
              <w:jc w:val="center"/>
              <w:rPr>
                <w:b/>
                <w:sz w:val="22"/>
                <w:szCs w:val="22"/>
              </w:rPr>
            </w:pPr>
            <w:r>
              <w:rPr>
                <w:b/>
                <w:sz w:val="22"/>
                <w:szCs w:val="22"/>
              </w:rPr>
              <w:t>(n=197)</w:t>
            </w:r>
          </w:p>
        </w:tc>
        <w:tc>
          <w:tcPr>
            <w:tcW w:w="1620" w:type="dxa"/>
            <w:tcBorders>
              <w:left w:val="nil"/>
              <w:bottom w:val="single" w:color="auto" w:sz="4" w:space="0"/>
              <w:right w:val="nil"/>
            </w:tcBorders>
            <w:shd w:val="clear" w:color="auto" w:fill="BEBEBE" w:themeFill="background1" w:themeFillShade="BF"/>
          </w:tcPr>
          <w:p w14:paraId="41C288A8">
            <w:pPr>
              <w:spacing w:line="480" w:lineRule="auto"/>
              <w:jc w:val="center"/>
              <w:rPr>
                <w:b/>
                <w:sz w:val="22"/>
                <w:szCs w:val="22"/>
              </w:rPr>
            </w:pPr>
            <w:r>
              <w:rPr>
                <w:b/>
                <w:sz w:val="22"/>
                <w:szCs w:val="22"/>
              </w:rPr>
              <w:t>(n=30)</w:t>
            </w:r>
          </w:p>
        </w:tc>
        <w:tc>
          <w:tcPr>
            <w:tcW w:w="1080" w:type="dxa"/>
            <w:tcBorders>
              <w:left w:val="nil"/>
              <w:bottom w:val="single" w:color="auto" w:sz="4" w:space="0"/>
              <w:right w:val="nil"/>
            </w:tcBorders>
            <w:shd w:val="clear" w:color="auto" w:fill="BEBEBE" w:themeFill="background1" w:themeFillShade="BF"/>
          </w:tcPr>
          <w:p w14:paraId="5F0165BA">
            <w:pPr>
              <w:spacing w:line="480" w:lineRule="auto"/>
              <w:jc w:val="center"/>
              <w:rPr>
                <w:b/>
                <w:sz w:val="22"/>
                <w:szCs w:val="22"/>
              </w:rPr>
            </w:pPr>
            <w:r>
              <w:rPr>
                <w:b/>
                <w:sz w:val="22"/>
                <w:szCs w:val="22"/>
              </w:rPr>
              <w:t>0.563</w:t>
            </w:r>
          </w:p>
        </w:tc>
      </w:tr>
      <w:tr w14:paraId="4675F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4" w:type="dxa"/>
            <w:tcBorders>
              <w:left w:val="nil"/>
              <w:bottom w:val="nil"/>
              <w:right w:val="nil"/>
            </w:tcBorders>
          </w:tcPr>
          <w:p w14:paraId="02A1C64F">
            <w:pPr>
              <w:spacing w:line="480" w:lineRule="auto"/>
              <w:rPr>
                <w:bCs/>
                <w:sz w:val="22"/>
                <w:szCs w:val="22"/>
              </w:rPr>
            </w:pPr>
            <w:r>
              <w:rPr>
                <w:bCs/>
                <w:sz w:val="22"/>
                <w:szCs w:val="22"/>
              </w:rPr>
              <w:t>LAD/diagonal branches</w:t>
            </w:r>
          </w:p>
        </w:tc>
        <w:tc>
          <w:tcPr>
            <w:tcW w:w="2276" w:type="dxa"/>
            <w:tcBorders>
              <w:left w:val="nil"/>
              <w:bottom w:val="nil"/>
              <w:right w:val="nil"/>
            </w:tcBorders>
          </w:tcPr>
          <w:p w14:paraId="13416539">
            <w:pPr>
              <w:spacing w:line="480" w:lineRule="auto"/>
              <w:jc w:val="center"/>
              <w:rPr>
                <w:bCs/>
                <w:sz w:val="22"/>
                <w:szCs w:val="22"/>
              </w:rPr>
            </w:pPr>
            <w:r>
              <w:rPr>
                <w:rFonts w:hint="eastAsia"/>
                <w:bCs/>
                <w:sz w:val="22"/>
                <w:szCs w:val="22"/>
              </w:rPr>
              <w:t>6</w:t>
            </w:r>
            <w:r>
              <w:rPr>
                <w:bCs/>
                <w:sz w:val="22"/>
                <w:szCs w:val="22"/>
              </w:rPr>
              <w:t>7</w:t>
            </w:r>
            <w:r>
              <w:rPr>
                <w:rFonts w:hint="eastAsia"/>
                <w:bCs/>
                <w:sz w:val="22"/>
                <w:szCs w:val="22"/>
              </w:rPr>
              <w:t xml:space="preserve"> (</w:t>
            </w:r>
            <w:r>
              <w:rPr>
                <w:bCs/>
                <w:sz w:val="22"/>
                <w:szCs w:val="22"/>
              </w:rPr>
              <w:t>34.0</w:t>
            </w:r>
            <w:r>
              <w:rPr>
                <w:rFonts w:hint="eastAsia"/>
                <w:bCs/>
                <w:sz w:val="22"/>
                <w:szCs w:val="22"/>
              </w:rPr>
              <w:t>%)</w:t>
            </w:r>
          </w:p>
        </w:tc>
        <w:tc>
          <w:tcPr>
            <w:tcW w:w="1620" w:type="dxa"/>
            <w:tcBorders>
              <w:left w:val="nil"/>
              <w:bottom w:val="nil"/>
              <w:right w:val="nil"/>
            </w:tcBorders>
          </w:tcPr>
          <w:p w14:paraId="4ED4E8BE">
            <w:pPr>
              <w:spacing w:line="480" w:lineRule="auto"/>
              <w:jc w:val="center"/>
              <w:rPr>
                <w:bCs/>
                <w:sz w:val="22"/>
                <w:szCs w:val="22"/>
              </w:rPr>
            </w:pPr>
            <w:r>
              <w:rPr>
                <w:bCs/>
                <w:sz w:val="22"/>
                <w:szCs w:val="22"/>
              </w:rPr>
              <w:t>8 (26.7%)</w:t>
            </w:r>
          </w:p>
        </w:tc>
        <w:tc>
          <w:tcPr>
            <w:tcW w:w="1080" w:type="dxa"/>
            <w:tcBorders>
              <w:left w:val="nil"/>
              <w:bottom w:val="nil"/>
              <w:right w:val="nil"/>
            </w:tcBorders>
          </w:tcPr>
          <w:p w14:paraId="58F191DF">
            <w:pPr>
              <w:spacing w:line="480" w:lineRule="auto"/>
              <w:jc w:val="center"/>
              <w:rPr>
                <w:bCs/>
                <w:sz w:val="22"/>
                <w:szCs w:val="22"/>
              </w:rPr>
            </w:pPr>
          </w:p>
        </w:tc>
      </w:tr>
      <w:tr w14:paraId="0855A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4" w:type="dxa"/>
            <w:tcBorders>
              <w:top w:val="nil"/>
              <w:left w:val="nil"/>
              <w:bottom w:val="nil"/>
              <w:right w:val="nil"/>
            </w:tcBorders>
          </w:tcPr>
          <w:p w14:paraId="35BDAA84">
            <w:pPr>
              <w:spacing w:line="480" w:lineRule="auto"/>
              <w:rPr>
                <w:bCs/>
                <w:sz w:val="22"/>
                <w:szCs w:val="22"/>
              </w:rPr>
            </w:pPr>
            <w:r>
              <w:rPr>
                <w:bCs/>
                <w:sz w:val="22"/>
                <w:szCs w:val="22"/>
                <w:lang w:val="en-US" w:eastAsia="zh-CN" w:bidi="ar"/>
              </w:rPr>
              <w:t>LCx/intermediate/obtuse marginal branches</w:t>
            </w:r>
          </w:p>
        </w:tc>
        <w:tc>
          <w:tcPr>
            <w:tcW w:w="2276" w:type="dxa"/>
            <w:tcBorders>
              <w:top w:val="nil"/>
              <w:left w:val="nil"/>
              <w:bottom w:val="nil"/>
              <w:right w:val="nil"/>
            </w:tcBorders>
          </w:tcPr>
          <w:p w14:paraId="48435196">
            <w:pPr>
              <w:spacing w:line="480" w:lineRule="auto"/>
              <w:jc w:val="center"/>
              <w:rPr>
                <w:bCs/>
                <w:sz w:val="22"/>
                <w:szCs w:val="22"/>
              </w:rPr>
            </w:pPr>
            <w:r>
              <w:rPr>
                <w:bCs/>
                <w:sz w:val="22"/>
                <w:szCs w:val="22"/>
              </w:rPr>
              <w:t>81</w:t>
            </w:r>
            <w:r>
              <w:rPr>
                <w:rFonts w:hint="eastAsia"/>
                <w:bCs/>
                <w:sz w:val="22"/>
                <w:szCs w:val="22"/>
              </w:rPr>
              <w:t xml:space="preserve"> (</w:t>
            </w:r>
            <w:r>
              <w:rPr>
                <w:bCs/>
                <w:sz w:val="22"/>
                <w:szCs w:val="22"/>
              </w:rPr>
              <w:t>41.1</w:t>
            </w:r>
            <w:r>
              <w:rPr>
                <w:rFonts w:hint="eastAsia"/>
                <w:bCs/>
                <w:sz w:val="22"/>
                <w:szCs w:val="22"/>
              </w:rPr>
              <w:t>%)</w:t>
            </w:r>
          </w:p>
        </w:tc>
        <w:tc>
          <w:tcPr>
            <w:tcW w:w="1620" w:type="dxa"/>
            <w:tcBorders>
              <w:top w:val="nil"/>
              <w:left w:val="nil"/>
              <w:bottom w:val="nil"/>
              <w:right w:val="nil"/>
            </w:tcBorders>
          </w:tcPr>
          <w:p w14:paraId="599DB3D8">
            <w:pPr>
              <w:spacing w:line="480" w:lineRule="auto"/>
              <w:jc w:val="center"/>
              <w:rPr>
                <w:bCs/>
                <w:sz w:val="22"/>
                <w:szCs w:val="22"/>
              </w:rPr>
            </w:pPr>
            <w:r>
              <w:rPr>
                <w:bCs/>
                <w:sz w:val="22"/>
                <w:szCs w:val="22"/>
              </w:rPr>
              <w:t>12 (40.0%)</w:t>
            </w:r>
          </w:p>
        </w:tc>
        <w:tc>
          <w:tcPr>
            <w:tcW w:w="1080" w:type="dxa"/>
            <w:tcBorders>
              <w:top w:val="nil"/>
              <w:left w:val="nil"/>
              <w:bottom w:val="nil"/>
              <w:right w:val="nil"/>
            </w:tcBorders>
          </w:tcPr>
          <w:p w14:paraId="120942D5">
            <w:pPr>
              <w:spacing w:line="480" w:lineRule="auto"/>
              <w:jc w:val="center"/>
              <w:rPr>
                <w:bCs/>
                <w:sz w:val="22"/>
                <w:szCs w:val="22"/>
              </w:rPr>
            </w:pPr>
          </w:p>
        </w:tc>
      </w:tr>
      <w:tr w14:paraId="6304A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4" w:type="dxa"/>
            <w:tcBorders>
              <w:top w:val="nil"/>
              <w:left w:val="nil"/>
              <w:right w:val="nil"/>
            </w:tcBorders>
          </w:tcPr>
          <w:p w14:paraId="58B305C3">
            <w:pPr>
              <w:spacing w:line="480" w:lineRule="auto"/>
              <w:rPr>
                <w:bCs/>
                <w:sz w:val="22"/>
                <w:szCs w:val="22"/>
              </w:rPr>
            </w:pPr>
            <w:r>
              <w:rPr>
                <w:bCs/>
                <w:sz w:val="22"/>
                <w:szCs w:val="22"/>
              </w:rPr>
              <w:t>RCA</w:t>
            </w:r>
          </w:p>
        </w:tc>
        <w:tc>
          <w:tcPr>
            <w:tcW w:w="2276" w:type="dxa"/>
            <w:tcBorders>
              <w:top w:val="nil"/>
              <w:left w:val="nil"/>
              <w:right w:val="nil"/>
            </w:tcBorders>
          </w:tcPr>
          <w:p w14:paraId="66F0E9AC">
            <w:pPr>
              <w:spacing w:line="480" w:lineRule="auto"/>
              <w:jc w:val="center"/>
              <w:rPr>
                <w:bCs/>
                <w:sz w:val="22"/>
                <w:szCs w:val="22"/>
              </w:rPr>
            </w:pPr>
            <w:r>
              <w:rPr>
                <w:rFonts w:hint="eastAsia"/>
                <w:bCs/>
                <w:sz w:val="22"/>
                <w:szCs w:val="22"/>
              </w:rPr>
              <w:t>4</w:t>
            </w:r>
            <w:r>
              <w:rPr>
                <w:bCs/>
                <w:sz w:val="22"/>
                <w:szCs w:val="22"/>
              </w:rPr>
              <w:t>9</w:t>
            </w:r>
            <w:r>
              <w:rPr>
                <w:rFonts w:hint="eastAsia"/>
                <w:bCs/>
                <w:sz w:val="22"/>
                <w:szCs w:val="22"/>
              </w:rPr>
              <w:t xml:space="preserve"> (</w:t>
            </w:r>
            <w:r>
              <w:rPr>
                <w:bCs/>
                <w:sz w:val="22"/>
                <w:szCs w:val="22"/>
              </w:rPr>
              <w:t>24</w:t>
            </w:r>
            <w:r>
              <w:rPr>
                <w:rFonts w:hint="eastAsia"/>
                <w:bCs/>
                <w:sz w:val="22"/>
                <w:szCs w:val="22"/>
              </w:rPr>
              <w:t>.</w:t>
            </w:r>
            <w:r>
              <w:rPr>
                <w:bCs/>
                <w:sz w:val="22"/>
                <w:szCs w:val="22"/>
              </w:rPr>
              <w:t>9</w:t>
            </w:r>
            <w:r>
              <w:rPr>
                <w:rFonts w:hint="eastAsia"/>
                <w:bCs/>
                <w:sz w:val="22"/>
                <w:szCs w:val="22"/>
              </w:rPr>
              <w:t>%)</w:t>
            </w:r>
          </w:p>
        </w:tc>
        <w:tc>
          <w:tcPr>
            <w:tcW w:w="1620" w:type="dxa"/>
            <w:tcBorders>
              <w:top w:val="nil"/>
              <w:left w:val="nil"/>
              <w:right w:val="nil"/>
            </w:tcBorders>
          </w:tcPr>
          <w:p w14:paraId="43415189">
            <w:pPr>
              <w:spacing w:line="480" w:lineRule="auto"/>
              <w:jc w:val="center"/>
              <w:rPr>
                <w:bCs/>
                <w:sz w:val="22"/>
                <w:szCs w:val="22"/>
              </w:rPr>
            </w:pPr>
            <w:r>
              <w:rPr>
                <w:bCs/>
                <w:sz w:val="22"/>
                <w:szCs w:val="22"/>
              </w:rPr>
              <w:t>10 (33.3%)</w:t>
            </w:r>
          </w:p>
        </w:tc>
        <w:tc>
          <w:tcPr>
            <w:tcW w:w="1080" w:type="dxa"/>
            <w:tcBorders>
              <w:top w:val="nil"/>
              <w:left w:val="nil"/>
              <w:right w:val="nil"/>
            </w:tcBorders>
          </w:tcPr>
          <w:p w14:paraId="3BE1DDBF">
            <w:pPr>
              <w:spacing w:line="480" w:lineRule="auto"/>
              <w:jc w:val="center"/>
              <w:rPr>
                <w:bCs/>
                <w:sz w:val="22"/>
                <w:szCs w:val="22"/>
              </w:rPr>
            </w:pPr>
          </w:p>
        </w:tc>
      </w:tr>
    </w:tbl>
    <w:p w14:paraId="459C7F46">
      <w:pPr>
        <w:spacing w:line="480" w:lineRule="auto"/>
        <w:jc w:val="both"/>
        <w:rPr>
          <w:bCs/>
          <w:sz w:val="22"/>
          <w:szCs w:val="22"/>
        </w:rPr>
      </w:pPr>
      <w:r>
        <w:rPr>
          <w:b/>
          <w:sz w:val="22"/>
          <w:szCs w:val="22"/>
        </w:rPr>
        <w:t xml:space="preserve">Table footnote: </w:t>
      </w:r>
      <w:r>
        <w:rPr>
          <w:rFonts w:hint="eastAsia" w:eastAsia="宋体"/>
          <w:bCs/>
          <w:sz w:val="22"/>
          <w:szCs w:val="22"/>
          <w:lang w:val="en-US" w:eastAsia="zh-CN"/>
        </w:rPr>
        <w:t>ACS</w:t>
      </w:r>
      <w:r>
        <w:rPr>
          <w:rFonts w:eastAsia="宋体"/>
          <w:bCs/>
          <w:sz w:val="22"/>
          <w:szCs w:val="22"/>
          <w:lang w:val="en-US" w:eastAsia="zh-CN"/>
        </w:rPr>
        <w:t>,</w:t>
      </w:r>
      <w:r>
        <w:rPr>
          <w:rFonts w:hint="eastAsia" w:eastAsia="宋体"/>
          <w:bCs/>
          <w:sz w:val="22"/>
          <w:szCs w:val="22"/>
          <w:lang w:val="en-US" w:eastAsia="zh-CN"/>
        </w:rPr>
        <w:t xml:space="preserve"> acute coronary syndrome</w:t>
      </w:r>
      <w:r>
        <w:rPr>
          <w:rFonts w:eastAsia="宋体"/>
          <w:bCs/>
          <w:sz w:val="22"/>
          <w:szCs w:val="22"/>
          <w:lang w:val="en-US" w:eastAsia="zh-CN"/>
        </w:rPr>
        <w:t>;</w:t>
      </w:r>
      <w:r>
        <w:rPr>
          <w:rFonts w:hint="eastAsia" w:eastAsia="宋体"/>
          <w:bCs/>
          <w:sz w:val="22"/>
          <w:szCs w:val="22"/>
          <w:lang w:val="en-US" w:eastAsia="zh-CN"/>
        </w:rPr>
        <w:t xml:space="preserve"> </w:t>
      </w:r>
      <w:r>
        <w:rPr>
          <w:bCs/>
          <w:sz w:val="22"/>
          <w:szCs w:val="22"/>
        </w:rPr>
        <w:t>LAD, left anterior descending; LCx, left circumflex; PCI, percutaneous coronary intervention</w:t>
      </w:r>
      <w:r>
        <w:rPr>
          <w:rFonts w:eastAsia="宋体"/>
          <w:bCs/>
          <w:sz w:val="22"/>
          <w:szCs w:val="22"/>
          <w:lang w:val="en-US" w:eastAsia="zh-CN"/>
        </w:rPr>
        <w:t>;</w:t>
      </w:r>
      <w:r>
        <w:rPr>
          <w:rFonts w:hint="eastAsia" w:eastAsia="宋体"/>
          <w:bCs/>
          <w:sz w:val="22"/>
          <w:szCs w:val="22"/>
          <w:lang w:val="en-US" w:eastAsia="zh-CN"/>
        </w:rPr>
        <w:t xml:space="preserve"> </w:t>
      </w:r>
      <w:r>
        <w:rPr>
          <w:rFonts w:eastAsia="宋体"/>
          <w:bCs/>
          <w:sz w:val="22"/>
          <w:szCs w:val="22"/>
          <w:lang w:val="en-US" w:eastAsia="zh-CN"/>
        </w:rPr>
        <w:t>RAAS</w:t>
      </w:r>
      <w:r>
        <w:rPr>
          <w:bCs/>
          <w:sz w:val="22"/>
          <w:szCs w:val="22"/>
        </w:rPr>
        <w:t>, renin angiotensin aldosterone system; RCA, right coronary artery.</w:t>
      </w:r>
    </w:p>
    <w:p w14:paraId="66AABEA9">
      <w:pPr>
        <w:spacing w:line="480" w:lineRule="auto"/>
        <w:jc w:val="both"/>
        <w:rPr>
          <w:bCs/>
          <w:sz w:val="22"/>
          <w:szCs w:val="22"/>
          <w:vertAlign w:val="superscript"/>
        </w:rPr>
      </w:pPr>
      <w:r>
        <w:rPr>
          <w:bCs/>
          <w:sz w:val="22"/>
          <w:szCs w:val="22"/>
        </w:rPr>
        <w:t>*Renal failure was defined as estimated glomerular filtration rate &lt;90</w:t>
      </w:r>
      <w:r>
        <w:rPr>
          <w:rFonts w:ascii="Arial" w:hAnsi="Arial" w:cs="Arial"/>
          <w:bCs/>
          <w:color w:val="474747"/>
          <w:shd w:val="clear" w:color="auto" w:fill="FFFFFF"/>
        </w:rPr>
        <w:t xml:space="preserve"> </w:t>
      </w:r>
      <w:r>
        <w:rPr>
          <w:bCs/>
          <w:sz w:val="22"/>
          <w:szCs w:val="22"/>
        </w:rPr>
        <w:t>mL/min/1.73m</w:t>
      </w:r>
      <w:r>
        <w:rPr>
          <w:bCs/>
          <w:sz w:val="22"/>
          <w:szCs w:val="22"/>
          <w:vertAlign w:val="superscript"/>
        </w:rPr>
        <w:t>2</w:t>
      </w:r>
      <w:r>
        <w:rPr>
          <w:bCs/>
          <w:sz w:val="22"/>
          <w:szCs w:val="22"/>
        </w:rPr>
        <w:t>.</w:t>
      </w:r>
      <w:r>
        <w:rPr>
          <w:bCs/>
          <w:sz w:val="22"/>
          <w:szCs w:val="22"/>
          <w:vertAlign w:val="superscript"/>
        </w:rPr>
        <w:t xml:space="preserve"> </w:t>
      </w:r>
    </w:p>
    <w:p w14:paraId="614C66A2">
      <w:pPr>
        <w:spacing w:line="480" w:lineRule="auto"/>
        <w:jc w:val="both"/>
        <w:rPr>
          <w:bCs/>
          <w:sz w:val="22"/>
          <w:szCs w:val="22"/>
          <w:vertAlign w:val="superscript"/>
        </w:rPr>
      </w:pPr>
    </w:p>
    <w:p w14:paraId="4DF0BAB9">
      <w:pPr>
        <w:spacing w:line="480" w:lineRule="auto"/>
        <w:jc w:val="both"/>
        <w:rPr>
          <w:bCs/>
          <w:sz w:val="22"/>
          <w:szCs w:val="22"/>
          <w:vertAlign w:val="superscript"/>
        </w:rPr>
      </w:pPr>
    </w:p>
    <w:p w14:paraId="2598D3A2">
      <w:pPr>
        <w:spacing w:line="480" w:lineRule="auto"/>
        <w:jc w:val="both"/>
        <w:rPr>
          <w:bCs/>
          <w:sz w:val="22"/>
          <w:szCs w:val="22"/>
          <w:vertAlign w:val="superscript"/>
        </w:rPr>
      </w:pPr>
    </w:p>
    <w:p w14:paraId="7C32936A">
      <w:pPr>
        <w:spacing w:line="480" w:lineRule="auto"/>
        <w:jc w:val="both"/>
        <w:rPr>
          <w:bCs/>
          <w:sz w:val="22"/>
          <w:szCs w:val="22"/>
          <w:vertAlign w:val="superscript"/>
        </w:rPr>
      </w:pPr>
    </w:p>
    <w:p w14:paraId="349C3F10">
      <w:pPr>
        <w:spacing w:line="480" w:lineRule="auto"/>
        <w:jc w:val="both"/>
        <w:rPr>
          <w:bCs/>
          <w:sz w:val="22"/>
          <w:szCs w:val="22"/>
          <w:vertAlign w:val="superscript"/>
        </w:rPr>
      </w:pPr>
    </w:p>
    <w:p w14:paraId="37963958">
      <w:pPr>
        <w:spacing w:line="480" w:lineRule="auto"/>
        <w:jc w:val="both"/>
        <w:rPr>
          <w:bCs/>
          <w:sz w:val="22"/>
          <w:szCs w:val="22"/>
          <w:vertAlign w:val="superscript"/>
        </w:rPr>
      </w:pPr>
    </w:p>
    <w:p w14:paraId="790EABFC">
      <w:pPr>
        <w:spacing w:line="480" w:lineRule="auto"/>
        <w:jc w:val="both"/>
        <w:rPr>
          <w:bCs/>
          <w:sz w:val="22"/>
          <w:szCs w:val="22"/>
          <w:vertAlign w:val="superscript"/>
        </w:rPr>
      </w:pPr>
    </w:p>
    <w:p w14:paraId="0CB882FC">
      <w:pPr>
        <w:spacing w:line="480" w:lineRule="auto"/>
        <w:jc w:val="both"/>
        <w:rPr>
          <w:bCs/>
          <w:sz w:val="22"/>
          <w:szCs w:val="22"/>
          <w:vertAlign w:val="superscript"/>
        </w:rPr>
      </w:pPr>
    </w:p>
    <w:p w14:paraId="1112A4B8">
      <w:pPr>
        <w:spacing w:line="480" w:lineRule="auto"/>
        <w:jc w:val="both"/>
        <w:rPr>
          <w:bCs/>
          <w:sz w:val="22"/>
          <w:szCs w:val="22"/>
          <w:vertAlign w:val="superscript"/>
        </w:rPr>
      </w:pPr>
    </w:p>
    <w:p w14:paraId="445397F2">
      <w:pPr>
        <w:spacing w:line="480" w:lineRule="auto"/>
        <w:jc w:val="both"/>
        <w:rPr>
          <w:bCs/>
          <w:sz w:val="22"/>
          <w:szCs w:val="22"/>
          <w:vertAlign w:val="superscript"/>
        </w:rPr>
      </w:pPr>
    </w:p>
    <w:p w14:paraId="59401783">
      <w:pPr>
        <w:spacing w:line="480" w:lineRule="auto"/>
        <w:jc w:val="both"/>
        <w:rPr>
          <w:bCs/>
          <w:sz w:val="22"/>
          <w:szCs w:val="22"/>
          <w:vertAlign w:val="superscript"/>
        </w:rPr>
      </w:pPr>
    </w:p>
    <w:p w14:paraId="6F005E5B">
      <w:pPr>
        <w:spacing w:line="480" w:lineRule="auto"/>
        <w:jc w:val="both"/>
        <w:rPr>
          <w:bCs/>
          <w:sz w:val="22"/>
          <w:szCs w:val="22"/>
          <w:vertAlign w:val="superscript"/>
        </w:rPr>
      </w:pPr>
    </w:p>
    <w:p w14:paraId="1A30BDFF">
      <w:pPr>
        <w:spacing w:line="480" w:lineRule="auto"/>
        <w:jc w:val="both"/>
        <w:rPr>
          <w:bCs/>
          <w:sz w:val="22"/>
          <w:szCs w:val="22"/>
          <w:vertAlign w:val="superscript"/>
        </w:rPr>
      </w:pPr>
    </w:p>
    <w:p w14:paraId="56E5A04D">
      <w:pPr>
        <w:spacing w:line="480" w:lineRule="auto"/>
        <w:jc w:val="both"/>
        <w:rPr>
          <w:bCs/>
          <w:sz w:val="22"/>
          <w:szCs w:val="22"/>
          <w:vertAlign w:val="superscript"/>
        </w:rPr>
      </w:pPr>
    </w:p>
    <w:p w14:paraId="5DD8E89F">
      <w:pPr>
        <w:spacing w:line="480" w:lineRule="auto"/>
        <w:jc w:val="both"/>
        <w:rPr>
          <w:bCs/>
          <w:sz w:val="22"/>
          <w:szCs w:val="22"/>
          <w:vertAlign w:val="superscript"/>
        </w:rPr>
      </w:pPr>
    </w:p>
    <w:p w14:paraId="2288ABC6">
      <w:pPr>
        <w:spacing w:line="480" w:lineRule="auto"/>
        <w:jc w:val="both"/>
        <w:rPr>
          <w:b/>
          <w:bCs/>
        </w:rPr>
      </w:pPr>
    </w:p>
    <w:p w14:paraId="31A7FBB5">
      <w:pPr>
        <w:spacing w:line="480" w:lineRule="auto"/>
        <w:jc w:val="both"/>
        <w:rPr>
          <w:sz w:val="22"/>
          <w:szCs w:val="22"/>
          <w:lang w:val="en-US"/>
        </w:rPr>
      </w:pPr>
      <w:r>
        <w:rPr>
          <w:b/>
          <w:bCs/>
        </w:rPr>
        <w:t>Supplementary Figure 1.</w:t>
      </w:r>
      <w:r>
        <w:rPr>
          <w:sz w:val="22"/>
          <w:szCs w:val="22"/>
          <w:lang w:val="en-US"/>
        </w:rPr>
        <w:t xml:space="preserve"> </w:t>
      </w:r>
    </w:p>
    <w:p w14:paraId="6CE7114E">
      <w:pPr>
        <w:spacing w:line="480" w:lineRule="auto"/>
        <w:jc w:val="both"/>
        <w:rPr>
          <w:sz w:val="22"/>
          <w:szCs w:val="22"/>
          <w:lang w:val="en-US" w:eastAsia="zh-CN"/>
        </w:rPr>
      </w:pPr>
      <w:r>
        <w:rPr>
          <w:rFonts w:hint="eastAsia" w:eastAsia="宋体"/>
          <w:b/>
          <w:bCs/>
          <w:sz w:val="22"/>
          <w:szCs w:val="22"/>
          <w:lang w:val="en-US" w:eastAsia="zh-CN"/>
        </w:rPr>
        <w:t xml:space="preserve"> </w:t>
      </w:r>
      <w:r>
        <w:rPr>
          <w:sz w:val="22"/>
          <w:szCs w:val="22"/>
          <w:lang w:val="en-US" w:eastAsia="zh-CN" w:bidi="ar"/>
        </w:rPr>
        <w:t>Spread-out plots of the calcific tissue distribution</w:t>
      </w:r>
      <w:r>
        <w:rPr>
          <w:rFonts w:hint="eastAsia"/>
          <w:sz w:val="22"/>
          <w:szCs w:val="22"/>
          <w:lang w:val="en-US" w:eastAsia="zh-CN" w:bidi="ar"/>
        </w:rPr>
        <w:t xml:space="preserve"> </w:t>
      </w:r>
      <w:r>
        <w:rPr>
          <w:sz w:val="22"/>
          <w:szCs w:val="22"/>
          <w:lang w:val="en-US" w:eastAsia="zh-CN" w:bidi="ar"/>
        </w:rPr>
        <w:t xml:space="preserve">estimated by the </w:t>
      </w:r>
      <w:r>
        <w:rPr>
          <w:rFonts w:hint="eastAsia"/>
          <w:sz w:val="22"/>
          <w:szCs w:val="22"/>
          <w:lang w:val="en-US" w:eastAsia="zh-CN" w:bidi="ar"/>
        </w:rPr>
        <w:t xml:space="preserve">DL </w:t>
      </w:r>
      <w:r>
        <w:rPr>
          <w:sz w:val="22"/>
          <w:szCs w:val="22"/>
          <w:lang w:val="en-US" w:eastAsia="zh-CN" w:bidi="ar"/>
        </w:rPr>
        <w:t xml:space="preserve">(A) </w:t>
      </w:r>
      <w:r>
        <w:rPr>
          <w:sz w:val="22"/>
          <w:szCs w:val="22"/>
        </w:rPr>
        <w:t xml:space="preserve">method </w:t>
      </w:r>
      <w:r>
        <w:rPr>
          <w:sz w:val="22"/>
          <w:szCs w:val="22"/>
          <w:lang w:val="en-US" w:eastAsia="zh-CN" w:bidi="ar"/>
        </w:rPr>
        <w:t>and the experts; panel (B) indicates the estimations of the 1</w:t>
      </w:r>
      <w:r>
        <w:rPr>
          <w:sz w:val="22"/>
          <w:szCs w:val="22"/>
          <w:vertAlign w:val="superscript"/>
          <w:lang w:val="en-US" w:eastAsia="zh-CN" w:bidi="ar"/>
        </w:rPr>
        <w:t>st</w:t>
      </w:r>
      <w:r>
        <w:rPr>
          <w:sz w:val="22"/>
          <w:szCs w:val="22"/>
          <w:lang w:val="en-US" w:eastAsia="zh-CN" w:bidi="ar"/>
        </w:rPr>
        <w:t xml:space="preserve"> expert, (C) the estimations of the 1</w:t>
      </w:r>
      <w:r>
        <w:rPr>
          <w:sz w:val="22"/>
          <w:szCs w:val="22"/>
          <w:vertAlign w:val="superscript"/>
          <w:lang w:val="en-US" w:eastAsia="zh-CN" w:bidi="ar"/>
        </w:rPr>
        <w:t>st</w:t>
      </w:r>
      <w:r>
        <w:rPr>
          <w:sz w:val="22"/>
          <w:szCs w:val="22"/>
          <w:lang w:val="en-US" w:eastAsia="zh-CN" w:bidi="ar"/>
        </w:rPr>
        <w:t xml:space="preserve"> expert when he repeated the analysis and (D) the estimations of the 2</w:t>
      </w:r>
      <w:r>
        <w:rPr>
          <w:sz w:val="22"/>
          <w:szCs w:val="22"/>
          <w:vertAlign w:val="superscript"/>
          <w:lang w:val="en-US" w:eastAsia="zh-CN" w:bidi="ar"/>
        </w:rPr>
        <w:t>nd</w:t>
      </w:r>
      <w:r>
        <w:rPr>
          <w:sz w:val="22"/>
          <w:szCs w:val="22"/>
          <w:lang w:val="en-US" w:eastAsia="zh-CN" w:bidi="ar"/>
        </w:rPr>
        <w:t xml:space="preserve"> expert. The cross-sectional images below the spread-out plot indicate the annotated calcific tissue by the DL method and the experts and the defined calcific area shown in semi-transparent white – while the remaining plaque is illustrated in semi-transparent green - at the location of the minimum lumen area (left) and the maximum calcific burden (right)</w:t>
      </w:r>
      <w:r>
        <w:rPr>
          <w:sz w:val="22"/>
          <w:szCs w:val="22"/>
          <w:lang w:val="en-US" w:eastAsia="zh-CN"/>
        </w:rPr>
        <w:t>.</w:t>
      </w:r>
    </w:p>
    <w:p w14:paraId="528ABCB7">
      <w:pPr>
        <w:spacing w:line="480" w:lineRule="auto"/>
        <w:jc w:val="both"/>
        <w:rPr>
          <w:sz w:val="22"/>
          <w:szCs w:val="22"/>
          <w:lang w:val="en-US" w:eastAsia="zh-CN"/>
        </w:rPr>
      </w:pPr>
      <w:bookmarkStart w:id="2" w:name="_GoBack"/>
      <w:r>
        <w:rPr>
          <w:sz w:val="22"/>
          <w:szCs w:val="22"/>
          <w:lang w:val="en-US" w:eastAsia="zh-CN"/>
        </w:rPr>
        <w:drawing>
          <wp:inline distT="0" distB="0" distL="114300" distR="114300">
            <wp:extent cx="5267325" cy="8413115"/>
            <wp:effectExtent l="0" t="0" r="3175" b="6985"/>
            <wp:docPr id="1" name="图片 1"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3"/>
                    <pic:cNvPicPr>
                      <a:picLocks noChangeAspect="1"/>
                    </pic:cNvPicPr>
                  </pic:nvPicPr>
                  <pic:blipFill>
                    <a:blip r:embed="rId4"/>
                    <a:stretch>
                      <a:fillRect/>
                    </a:stretch>
                  </pic:blipFill>
                  <pic:spPr>
                    <a:xfrm>
                      <a:off x="0" y="0"/>
                      <a:ext cx="5267325" cy="8413115"/>
                    </a:xfrm>
                    <a:prstGeom prst="rect">
                      <a:avLst/>
                    </a:prstGeom>
                  </pic:spPr>
                </pic:pic>
              </a:graphicData>
            </a:graphic>
          </wp:inline>
        </w:drawing>
      </w:r>
      <w:bookmarkEnd w:id="2"/>
    </w:p>
    <w:p w14:paraId="618D2F29">
      <w:pPr>
        <w:spacing w:line="480" w:lineRule="auto"/>
        <w:jc w:val="both"/>
        <w:rPr>
          <w:sz w:val="22"/>
          <w:szCs w:val="22"/>
          <w:lang w:val="en-US"/>
        </w:rPr>
      </w:pPr>
      <w:r>
        <w:rPr>
          <w:b/>
          <w:bCs/>
        </w:rPr>
        <w:t xml:space="preserve">Supplementary Figure </w:t>
      </w:r>
      <w:r>
        <w:rPr>
          <w:rFonts w:hint="eastAsia" w:eastAsia="宋体"/>
          <w:b/>
          <w:bCs/>
          <w:lang w:val="en-US" w:eastAsia="zh-CN"/>
        </w:rPr>
        <w:t>2</w:t>
      </w:r>
      <w:r>
        <w:rPr>
          <w:b/>
          <w:bCs/>
        </w:rPr>
        <w:t>.</w:t>
      </w:r>
      <w:r>
        <w:rPr>
          <w:sz w:val="22"/>
          <w:szCs w:val="22"/>
          <w:lang w:val="en-US"/>
        </w:rPr>
        <w:t xml:space="preserve"> </w:t>
      </w:r>
    </w:p>
    <w:p w14:paraId="062916CD">
      <w:pPr>
        <w:spacing w:line="480" w:lineRule="auto"/>
        <w:jc w:val="both"/>
        <w:rPr>
          <w:sz w:val="22"/>
          <w:szCs w:val="22"/>
          <w:lang w:val="en-US"/>
        </w:rPr>
      </w:pPr>
      <w:r>
        <w:rPr>
          <w:sz w:val="22"/>
          <w:szCs w:val="22"/>
          <w:lang w:val="en-US"/>
        </w:rPr>
        <w:t xml:space="preserve">Bland-Altman plots displaying </w:t>
      </w:r>
      <w:r>
        <w:rPr>
          <w:rFonts w:hint="eastAsia" w:eastAsia="宋体"/>
          <w:sz w:val="22"/>
          <w:szCs w:val="22"/>
          <w:lang w:val="en-US" w:eastAsia="zh-CN"/>
        </w:rPr>
        <w:t xml:space="preserve">the </w:t>
      </w:r>
      <w:r>
        <w:rPr>
          <w:sz w:val="22"/>
          <w:szCs w:val="22"/>
        </w:rPr>
        <w:t>low bias and narrow limits of agreement between the estimations of the 1</w:t>
      </w:r>
      <w:r>
        <w:rPr>
          <w:sz w:val="22"/>
          <w:szCs w:val="22"/>
          <w:vertAlign w:val="superscript"/>
        </w:rPr>
        <w:t>st</w:t>
      </w:r>
      <w:r>
        <w:rPr>
          <w:sz w:val="22"/>
          <w:szCs w:val="22"/>
        </w:rPr>
        <w:t xml:space="preserve"> expert and 2</w:t>
      </w:r>
      <w:r>
        <w:rPr>
          <w:sz w:val="22"/>
          <w:szCs w:val="22"/>
          <w:vertAlign w:val="superscript"/>
        </w:rPr>
        <w:t>nd</w:t>
      </w:r>
      <w:r>
        <w:rPr>
          <w:sz w:val="22"/>
          <w:szCs w:val="22"/>
        </w:rPr>
        <w:t xml:space="preserve"> expert and for the two analyses of the 1</w:t>
      </w:r>
      <w:r>
        <w:rPr>
          <w:sz w:val="22"/>
          <w:szCs w:val="22"/>
          <w:vertAlign w:val="superscript"/>
        </w:rPr>
        <w:t>st</w:t>
      </w:r>
      <w:r>
        <w:rPr>
          <w:sz w:val="22"/>
          <w:szCs w:val="22"/>
        </w:rPr>
        <w:t xml:space="preserve"> expert for</w:t>
      </w:r>
      <w:r>
        <w:rPr>
          <w:sz w:val="22"/>
          <w:szCs w:val="22"/>
          <w:lang w:val="en-US"/>
        </w:rPr>
        <w:t xml:space="preserve"> the arc of calcific tissue (A and B) for the calcific area (C and D) and for the mean (E and F) and minimum (G and H) distance between the lumen and and calcific borders. </w:t>
      </w:r>
    </w:p>
    <w:p w14:paraId="715C68D2">
      <w:pPr>
        <w:spacing w:line="480" w:lineRule="auto"/>
        <w:jc w:val="both"/>
        <w:rPr>
          <w:rFonts w:eastAsia="宋体"/>
          <w:sz w:val="22"/>
          <w:szCs w:val="22"/>
          <w:lang w:val="en-US" w:eastAsia="zh-CN"/>
        </w:rPr>
      </w:pPr>
      <w:r>
        <w:rPr>
          <w:rFonts w:eastAsia="宋体"/>
          <w:sz w:val="22"/>
          <w:szCs w:val="22"/>
          <w:lang w:val="en-US" w:eastAsia="zh-CN"/>
        </w:rPr>
        <w:drawing>
          <wp:inline distT="0" distB="0" distL="114300" distR="114300">
            <wp:extent cx="5269230" cy="7492365"/>
            <wp:effectExtent l="0" t="0" r="1270" b="635"/>
            <wp:docPr id="3" name="图片 3" descr="Supplementary figure Bland-Altman analysis of the inter and intra-observer reproducibility-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upplementary figure Bland-Altman analysis of the inter and intra-observer reproducibility-01"/>
                    <pic:cNvPicPr>
                      <a:picLocks noChangeAspect="1"/>
                    </pic:cNvPicPr>
                  </pic:nvPicPr>
                  <pic:blipFill>
                    <a:blip r:embed="rId5"/>
                    <a:stretch>
                      <a:fillRect/>
                    </a:stretch>
                  </pic:blipFill>
                  <pic:spPr>
                    <a:xfrm>
                      <a:off x="0" y="0"/>
                      <a:ext cx="5269230" cy="7492365"/>
                    </a:xfrm>
                    <a:prstGeom prst="rect">
                      <a:avLst/>
                    </a:prstGeom>
                  </pic:spPr>
                </pic:pic>
              </a:graphicData>
            </a:graphic>
          </wp:inline>
        </w:drawing>
      </w:r>
    </w:p>
    <w:p w14:paraId="012E42E5">
      <w:pPr>
        <w:spacing w:line="480" w:lineRule="auto"/>
        <w:jc w:val="both"/>
        <w:rPr>
          <w:rFonts w:eastAsia="宋体"/>
          <w:sz w:val="22"/>
          <w:szCs w:val="22"/>
          <w:lang w:val="en-US" w:eastAsia="zh-CN"/>
        </w:rPr>
      </w:pPr>
    </w:p>
    <w:p w14:paraId="66C8EF61">
      <w:pPr>
        <w:spacing w:line="480" w:lineRule="auto"/>
        <w:jc w:val="both"/>
        <w:rPr>
          <w:rFonts w:eastAsia="宋体"/>
          <w:sz w:val="22"/>
          <w:szCs w:val="22"/>
          <w:lang w:val="en-US" w:eastAsia="zh-CN"/>
        </w:rPr>
      </w:pPr>
    </w:p>
    <w:p w14:paraId="4594522D">
      <w:pPr>
        <w:spacing w:line="480" w:lineRule="auto"/>
        <w:jc w:val="both"/>
        <w:rPr>
          <w:rFonts w:eastAsia="宋体"/>
          <w:sz w:val="22"/>
          <w:szCs w:val="22"/>
          <w:lang w:val="en-US" w:eastAsia="zh-CN"/>
        </w:rPr>
      </w:pPr>
    </w:p>
    <w:p w14:paraId="3BACAF4D">
      <w:pPr>
        <w:spacing w:line="480" w:lineRule="auto"/>
        <w:jc w:val="both"/>
        <w:rPr>
          <w:sz w:val="22"/>
          <w:szCs w:val="22"/>
          <w:lang w:val="en-US" w:eastAsia="zh-CN"/>
        </w:rPr>
      </w:pPr>
      <w:r>
        <w:rPr>
          <w:b/>
          <w:bCs/>
        </w:rPr>
        <w:t xml:space="preserve">Supplementary Figure </w:t>
      </w:r>
      <w:r>
        <w:rPr>
          <w:rFonts w:hint="eastAsia" w:eastAsia="宋体"/>
          <w:b/>
          <w:bCs/>
          <w:lang w:val="en-US" w:eastAsia="zh-CN"/>
        </w:rPr>
        <w:t>3</w:t>
      </w:r>
      <w:r>
        <w:rPr>
          <w:b/>
          <w:bCs/>
        </w:rPr>
        <w:t>.</w:t>
      </w:r>
      <w:r>
        <w:rPr>
          <w:sz w:val="22"/>
          <w:szCs w:val="22"/>
          <w:lang w:val="en-US"/>
        </w:rPr>
        <w:t xml:space="preserve"> Bland-Altman plots displaying</w:t>
      </w:r>
      <w:r>
        <w:rPr>
          <w:rFonts w:hint="eastAsia" w:eastAsia="宋体"/>
          <w:sz w:val="22"/>
          <w:szCs w:val="22"/>
          <w:lang w:val="en-US" w:eastAsia="zh-CN"/>
        </w:rPr>
        <w:t xml:space="preserve"> </w:t>
      </w:r>
      <w:r>
        <w:rPr>
          <w:sz w:val="22"/>
          <w:szCs w:val="22"/>
          <w:lang w:val="en-US"/>
        </w:rPr>
        <w:t>the bias and limits of agreement between the estimations of</w:t>
      </w:r>
      <w:r>
        <w:rPr>
          <w:sz w:val="22"/>
          <w:szCs w:val="22"/>
        </w:rPr>
        <w:t xml:space="preserve"> the 1</w:t>
      </w:r>
      <w:r>
        <w:rPr>
          <w:sz w:val="22"/>
          <w:szCs w:val="22"/>
          <w:vertAlign w:val="superscript"/>
        </w:rPr>
        <w:t>st</w:t>
      </w:r>
      <w:r>
        <w:rPr>
          <w:sz w:val="22"/>
          <w:szCs w:val="22"/>
        </w:rPr>
        <w:t xml:space="preserve"> expert and 2</w:t>
      </w:r>
      <w:r>
        <w:rPr>
          <w:sz w:val="22"/>
          <w:szCs w:val="22"/>
          <w:vertAlign w:val="superscript"/>
        </w:rPr>
        <w:t>nd</w:t>
      </w:r>
      <w:r>
        <w:rPr>
          <w:sz w:val="22"/>
          <w:szCs w:val="22"/>
        </w:rPr>
        <w:t xml:space="preserve"> expert and for the two analyses of the 1</w:t>
      </w:r>
      <w:r>
        <w:rPr>
          <w:sz w:val="22"/>
          <w:szCs w:val="22"/>
          <w:vertAlign w:val="superscript"/>
        </w:rPr>
        <w:t>st</w:t>
      </w:r>
      <w:r>
        <w:rPr>
          <w:sz w:val="22"/>
          <w:szCs w:val="22"/>
        </w:rPr>
        <w:t xml:space="preserve"> expert</w:t>
      </w:r>
      <w:r>
        <w:rPr>
          <w:rFonts w:hint="eastAsia" w:eastAsia="宋体"/>
          <w:sz w:val="22"/>
          <w:szCs w:val="22"/>
          <w:lang w:val="en-US" w:eastAsia="zh-CN"/>
        </w:rPr>
        <w:t xml:space="preserve"> </w:t>
      </w:r>
      <w:r>
        <w:rPr>
          <w:sz w:val="22"/>
          <w:szCs w:val="22"/>
          <w:lang w:val="en-US"/>
        </w:rPr>
        <w:t xml:space="preserve">for the CaBI estimated from the lesion- (A and B) and segment level analysis (C and D). </w:t>
      </w:r>
    </w:p>
    <w:p w14:paraId="6ACDEB6C">
      <w:pPr>
        <w:spacing w:line="480" w:lineRule="auto"/>
        <w:jc w:val="both"/>
        <w:rPr>
          <w:rFonts w:eastAsia="宋体"/>
          <w:sz w:val="22"/>
          <w:szCs w:val="22"/>
          <w:lang w:val="en-US" w:eastAsia="zh-CN"/>
        </w:rPr>
      </w:pPr>
      <w:r>
        <w:rPr>
          <w:rFonts w:eastAsia="宋体"/>
          <w:sz w:val="22"/>
          <w:szCs w:val="22"/>
          <w:lang w:val="en-US" w:eastAsia="zh-CN"/>
        </w:rPr>
        <w:drawing>
          <wp:inline distT="0" distB="0" distL="114300" distR="114300">
            <wp:extent cx="5272405" cy="3449955"/>
            <wp:effectExtent l="0" t="0" r="10795" b="4445"/>
            <wp:docPr id="4" name="图片 4" descr="Figure 6-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 6-01-01"/>
                    <pic:cNvPicPr>
                      <a:picLocks noChangeAspect="1"/>
                    </pic:cNvPicPr>
                  </pic:nvPicPr>
                  <pic:blipFill>
                    <a:blip r:embed="rId6"/>
                    <a:stretch>
                      <a:fillRect/>
                    </a:stretch>
                  </pic:blipFill>
                  <pic:spPr>
                    <a:xfrm>
                      <a:off x="0" y="0"/>
                      <a:ext cx="5272405" cy="3449955"/>
                    </a:xfrm>
                    <a:prstGeom prst="rect">
                      <a:avLst/>
                    </a:prstGeom>
                  </pic:spPr>
                </pic:pic>
              </a:graphicData>
            </a:graphic>
          </wp:inline>
        </w:drawing>
      </w:r>
    </w:p>
    <w:p w14:paraId="78CD6EE4"/>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20B0604020202020204"/>
    <w:charset w:val="00"/>
    <w:family w:val="auto"/>
    <w:pitch w:val="default"/>
    <w:sig w:usb0="00000000" w:usb1="00000000" w:usb2="00000000" w:usb3="00000000" w:csb0="0000019F" w:csb1="00000000"/>
  </w:font>
  <w:font w:name="Arial Unicode MS">
    <w:altName w:val="Yu Gothic"/>
    <w:panose1 w:val="020B0604020202020204"/>
    <w:charset w:val="80"/>
    <w:family w:val="swiss"/>
    <w:pitch w:val="default"/>
    <w:sig w:usb0="00000000" w:usb1="00000000" w:usb2="0000003F" w:usb3="00000000" w:csb0="003F01FF" w:csb1="00000000"/>
  </w:font>
  <w:font w:name="Yu Gothic">
    <w:panose1 w:val="020B0400000000000000"/>
    <w:charset w:val="80"/>
    <w:family w:val="auto"/>
    <w:pitch w:val="default"/>
    <w:sig w:usb0="E00002FF" w:usb1="2AC7FDFF" w:usb2="00000016" w:usb3="00000000" w:csb0="2002009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6"/>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DC2"/>
    <w:rsid w:val="00225A55"/>
    <w:rsid w:val="003B3DC2"/>
    <w:rsid w:val="008A5703"/>
    <w:rsid w:val="03332032"/>
    <w:rsid w:val="0E1A4111"/>
    <w:rsid w:val="187970F2"/>
    <w:rsid w:val="1A0A3EFF"/>
    <w:rsid w:val="1DD94995"/>
    <w:rsid w:val="217F0D7B"/>
    <w:rsid w:val="2A0A6D7F"/>
    <w:rsid w:val="37605403"/>
    <w:rsid w:val="595B7A06"/>
    <w:rsid w:val="6CC379FD"/>
    <w:rsid w:val="720F40FC"/>
    <w:rsid w:val="7BEF62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GB" w:eastAsia="en-US" w:bidi="ar-SA"/>
      <w14:ligatures w14:val="standardContextual"/>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0"/>
    <w:qFormat/>
    <w:uiPriority w:val="0"/>
    <w:rPr>
      <w:sz w:val="20"/>
      <w:szCs w:val="20"/>
    </w:rPr>
  </w:style>
  <w:style w:type="paragraph" w:styleId="3">
    <w:name w:val="Normal (Web)"/>
    <w:basedOn w:val="1"/>
    <w:qFormat/>
    <w:uiPriority w:val="0"/>
    <w:pPr>
      <w:spacing w:beforeAutospacing="1" w:afterAutospacing="1"/>
    </w:pPr>
    <w:rPr>
      <w:lang w:val="en-US" w:eastAsia="zh-CN"/>
    </w:rPr>
  </w:style>
  <w:style w:type="paragraph" w:styleId="4">
    <w:name w:val="annotation subject"/>
    <w:basedOn w:val="2"/>
    <w:next w:val="2"/>
    <w:link w:val="11"/>
    <w:qFormat/>
    <w:uiPriority w:val="0"/>
    <w:rPr>
      <w:b/>
      <w:bCs/>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annotation reference"/>
    <w:basedOn w:val="7"/>
    <w:qFormat/>
    <w:uiPriority w:val="0"/>
    <w:rPr>
      <w:sz w:val="16"/>
      <w:szCs w:val="16"/>
    </w:rPr>
  </w:style>
  <w:style w:type="paragraph" w:customStyle="1" w:styleId="9">
    <w:name w:val="Default"/>
    <w:qFormat/>
    <w:uiPriority w:val="0"/>
    <w:rPr>
      <w:rFonts w:ascii="Helvetica" w:hAnsi="Helvetica" w:eastAsia="Arial Unicode MS" w:cs="Arial Unicode MS"/>
      <w:color w:val="000000"/>
      <w:sz w:val="22"/>
      <w:szCs w:val="22"/>
      <w:lang w:val="en-US" w:eastAsia="en-US" w:bidi="ar-SA"/>
    </w:rPr>
  </w:style>
  <w:style w:type="character" w:customStyle="1" w:styleId="10">
    <w:name w:val="Comment Text Char"/>
    <w:basedOn w:val="7"/>
    <w:link w:val="2"/>
    <w:qFormat/>
    <w:uiPriority w:val="0"/>
    <w:rPr>
      <w:rFonts w:ascii="Times New Roman" w:hAnsi="Times New Roman" w:eastAsia="Times New Roman" w:cs="Times New Roman"/>
      <w:lang w:eastAsia="en-US"/>
      <w14:ligatures w14:val="standardContextual"/>
    </w:rPr>
  </w:style>
  <w:style w:type="character" w:customStyle="1" w:styleId="11">
    <w:name w:val="Comment Subject Char"/>
    <w:basedOn w:val="10"/>
    <w:link w:val="4"/>
    <w:qFormat/>
    <w:uiPriority w:val="0"/>
    <w:rPr>
      <w:rFonts w:ascii="Times New Roman" w:hAnsi="Times New Roman" w:eastAsia="Times New Roman" w:cs="Times New Roman"/>
      <w:b/>
      <w:bCs/>
      <w:lang w:eastAsia="en-US"/>
      <w14:ligatures w14:val="standardContextual"/>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492</Words>
  <Characters>2829</Characters>
  <Lines>15</Lines>
  <Paragraphs>4</Paragraphs>
  <TotalTime>1</TotalTime>
  <ScaleCrop>false</ScaleCrop>
  <LinksUpToDate>false</LinksUpToDate>
  <CharactersWithSpaces>3234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2024-12-28T11:11:00Z</dcterms:created>
  <dc:creator>hexingwei</dc:creator>
  <cp:lastModifiedBy>贺行巍</cp:lastModifiedBy>
  <dcterms:modified xsi:type="dcterms:W3CDTF">2025-09-01T14:40:53Z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eyJoZGlkIjoiYWIyYjEwYmIzZGY0NzkxNWU4ZWVlNDFkZTdmYjg0MjIiLCJ1c2VySWQiOiI5MTY5MzA0MTgifQ==</vt:lpwstr>
  </property>
  <property fmtid="{D5CDD505-2E9C-101B-9397-08002B2CF9AE}" pid="4" name="ICV">
    <vt:lpwstr>2AB50678108945038353208CFB263124_12</vt:lpwstr>
  </property>
</Properties>
</file>