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BD811" w14:textId="77777777" w:rsidR="00705011" w:rsidRDefault="00705011" w:rsidP="00705011">
      <w:r>
        <w:rPr>
          <w:noProof/>
        </w:rPr>
        <w:drawing>
          <wp:inline distT="0" distB="0" distL="0" distR="0" wp14:anchorId="50CEB2DD" wp14:editId="24B09C6E">
            <wp:extent cx="5274310" cy="56019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0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CEF8D" w14:textId="6CA56227" w:rsidR="00705011" w:rsidRDefault="00705011" w:rsidP="00705011">
      <w:pPr>
        <w:pStyle w:val="EndNoteBibliography"/>
        <w:spacing w:line="360" w:lineRule="auto"/>
        <w:rPr>
          <w:rFonts w:ascii="Times New Roman" w:eastAsiaTheme="minorEastAsia" w:hAnsi="Times New Roman" w:cs="Times New Roman"/>
          <w:sz w:val="24"/>
          <w:szCs w:val="24"/>
          <w:shd w:val="clear" w:color="auto" w:fill="FFFFFF"/>
        </w:rPr>
      </w:pPr>
      <w:r w:rsidRPr="00B85CE4">
        <w:rPr>
          <w:rFonts w:ascii="Times New Roman" w:eastAsiaTheme="minorEastAsia" w:hAnsi="Times New Roman" w:cs="Times New Roman"/>
          <w:b/>
          <w:bCs/>
          <w:sz w:val="24"/>
          <w:szCs w:val="24"/>
          <w:shd w:val="clear" w:color="auto" w:fill="FFFFFF"/>
        </w:rPr>
        <w:t xml:space="preserve">Supplementary Figure 1: GO, and KEGG of DEGs in lung cancer tissues and adjacent tissues were analyzed. </w:t>
      </w:r>
      <w:r w:rsidRPr="00B85CE4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</w:rPr>
        <w:t>(A) Heatmap of the 141 DEGs with |log2fold change | &gt; 1, P &lt;0 .05. Red: higher expression; blue: lower expression. (B) A volcano plot of 141 DEGs. Red: upregulation with |log2fold change | &gt; 1, P &lt;0 .05; blue: downregulation with |log2fold change | &gt; 1, P &lt;0 .05; black: unchanged genes. (C-F) GO and KEGG enrichment analysis on 141 differential genes. BP: biological process; CC: cellular component; MF: molecular function; KEGG: Kyoto Encyclopedia of Genes and Genomes.</w:t>
      </w:r>
    </w:p>
    <w:p w14:paraId="1FB37585" w14:textId="42B032D4" w:rsidR="00705011" w:rsidRDefault="00705011" w:rsidP="00705011">
      <w:pPr>
        <w:pStyle w:val="EndNoteBibliography"/>
        <w:spacing w:line="360" w:lineRule="auto"/>
        <w:rPr>
          <w:rFonts w:ascii="Times New Roman" w:eastAsiaTheme="minorEastAsia" w:hAnsi="Times New Roman" w:cs="Times New Roman"/>
          <w:sz w:val="24"/>
          <w:szCs w:val="24"/>
          <w:shd w:val="clear" w:color="auto" w:fill="FFFFFF"/>
        </w:rPr>
      </w:pPr>
    </w:p>
    <w:p w14:paraId="7C9ABBBD" w14:textId="572141DD" w:rsidR="00705011" w:rsidRDefault="00705011" w:rsidP="00705011">
      <w:pPr>
        <w:pStyle w:val="EndNoteBibliography"/>
        <w:spacing w:line="360" w:lineRule="auto"/>
        <w:rPr>
          <w:rFonts w:ascii="Times New Roman" w:eastAsiaTheme="minorEastAsia" w:hAnsi="Times New Roman" w:cs="Times New Roman"/>
          <w:sz w:val="24"/>
          <w:szCs w:val="24"/>
          <w:shd w:val="clear" w:color="auto" w:fill="FFFFFF"/>
        </w:rPr>
      </w:pPr>
    </w:p>
    <w:p w14:paraId="09674F54" w14:textId="77777777" w:rsidR="00705011" w:rsidRDefault="00705011" w:rsidP="00705011">
      <w:r>
        <w:rPr>
          <w:noProof/>
        </w:rPr>
        <w:lastRenderedPageBreak/>
        <w:drawing>
          <wp:inline distT="0" distB="0" distL="0" distR="0" wp14:anchorId="4FCD49BC" wp14:editId="119287B1">
            <wp:extent cx="4126865" cy="636905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865" cy="636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B11F8" w14:textId="77777777" w:rsidR="00705011" w:rsidRDefault="00705011" w:rsidP="00705011">
      <w:pPr>
        <w:pStyle w:val="EndNoteBibliography"/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B85CE4">
        <w:rPr>
          <w:rFonts w:ascii="Times New Roman" w:eastAsiaTheme="minorEastAsia" w:hAnsi="Times New Roman" w:cs="Times New Roman"/>
          <w:b/>
          <w:bCs/>
          <w:sz w:val="24"/>
          <w:szCs w:val="24"/>
          <w:shd w:val="clear" w:color="auto" w:fill="FFFFFF"/>
        </w:rPr>
        <w:t xml:space="preserve">Supplementary Figure 2: Clinicopathological characteristics between clusters. </w:t>
      </w:r>
      <w:r w:rsidRPr="00B85CE4">
        <w:rPr>
          <w:rFonts w:ascii="Times New Roman" w:eastAsiaTheme="minorEastAsia" w:hAnsi="Times New Roman" w:cs="Times New Roman"/>
          <w:sz w:val="24"/>
          <w:szCs w:val="24"/>
        </w:rPr>
        <w:t>Different clinicopathological parameters between the clusters, including TNM classification (A-I), tumor stage (J-L), and drug response (M-O).</w:t>
      </w:r>
    </w:p>
    <w:p w14:paraId="18B596CF" w14:textId="77777777" w:rsidR="00705011" w:rsidRPr="00705011" w:rsidRDefault="00705011" w:rsidP="00705011">
      <w:pPr>
        <w:pStyle w:val="EndNoteBibliography"/>
        <w:spacing w:line="360" w:lineRule="auto"/>
        <w:rPr>
          <w:rFonts w:ascii="Times New Roman" w:eastAsiaTheme="minorEastAsia" w:hAnsi="Times New Roman" w:cs="Times New Roman" w:hint="eastAsia"/>
          <w:sz w:val="24"/>
          <w:szCs w:val="24"/>
          <w:shd w:val="clear" w:color="auto" w:fill="FFFFFF"/>
        </w:rPr>
      </w:pPr>
    </w:p>
    <w:p w14:paraId="203091E1" w14:textId="4E1E78AF" w:rsidR="00250F80" w:rsidRDefault="00250F80">
      <w:r>
        <w:rPr>
          <w:noProof/>
        </w:rPr>
        <w:lastRenderedPageBreak/>
        <w:drawing>
          <wp:inline distT="0" distB="0" distL="0" distR="0" wp14:anchorId="1685D137" wp14:editId="0C5E8AE0">
            <wp:extent cx="4691380" cy="34664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1380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92242" w14:textId="77777777" w:rsidR="00250F80" w:rsidRPr="00B85CE4" w:rsidRDefault="00250F80" w:rsidP="00250F80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sz w:val="24"/>
          <w:szCs w:val="24"/>
          <w:shd w:val="clear" w:color="auto" w:fill="FFFFFF"/>
        </w:rPr>
      </w:pPr>
      <w:r w:rsidRPr="00B85CE4">
        <w:rPr>
          <w:rFonts w:ascii="Times New Roman" w:eastAsiaTheme="minorEastAsia" w:hAnsi="Times New Roman" w:cs="Times New Roman"/>
          <w:b/>
          <w:bCs/>
          <w:sz w:val="24"/>
          <w:szCs w:val="24"/>
          <w:shd w:val="clear" w:color="auto" w:fill="FFFFFF"/>
        </w:rPr>
        <w:t>Supplementary Figure 3: Venn diagram of genetic intersection.</w:t>
      </w:r>
    </w:p>
    <w:p w14:paraId="45CE1AE1" w14:textId="77777777" w:rsidR="00705011" w:rsidRDefault="00705011" w:rsidP="00705011">
      <w:r>
        <w:rPr>
          <w:noProof/>
        </w:rPr>
        <w:lastRenderedPageBreak/>
        <w:drawing>
          <wp:inline distT="0" distB="0" distL="0" distR="0" wp14:anchorId="4133A679" wp14:editId="5B2DBA77">
            <wp:extent cx="4642034" cy="7808181"/>
            <wp:effectExtent l="0" t="0" r="635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609" cy="781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9FA4A" w14:textId="77777777" w:rsidR="00705011" w:rsidRPr="00B85CE4" w:rsidRDefault="00705011" w:rsidP="00705011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sz w:val="24"/>
          <w:szCs w:val="24"/>
          <w:shd w:val="clear" w:color="auto" w:fill="FFFFFF"/>
        </w:rPr>
      </w:pPr>
      <w:r w:rsidRPr="00B85CE4">
        <w:rPr>
          <w:rFonts w:ascii="Times New Roman" w:eastAsiaTheme="minorEastAsia" w:hAnsi="Times New Roman" w:cs="Times New Roman"/>
          <w:b/>
          <w:bCs/>
          <w:sz w:val="24"/>
          <w:szCs w:val="24"/>
          <w:shd w:val="clear" w:color="auto" w:fill="FFFFFF"/>
        </w:rPr>
        <w:t xml:space="preserve">Supplementary Figure 4: Gene differential expression map in Pan-cancer. </w:t>
      </w:r>
      <w:r w:rsidRPr="00B85CE4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</w:rPr>
        <w:t>(A-E) Comparison of the expression levels of five hub genes (RRM2, HMMR, PFKP, TCN1 and TK1) in tumors and normal tissues.</w:t>
      </w:r>
    </w:p>
    <w:p w14:paraId="7543D1A2" w14:textId="77777777" w:rsidR="00705011" w:rsidRPr="00705011" w:rsidRDefault="00705011" w:rsidP="00250F80">
      <w:pPr>
        <w:pStyle w:val="EndNoteBibliography"/>
        <w:spacing w:line="360" w:lineRule="auto"/>
        <w:rPr>
          <w:rFonts w:ascii="Times New Roman" w:eastAsiaTheme="minorEastAsia" w:hAnsi="Times New Roman" w:cs="Times New Roman"/>
          <w:b/>
          <w:bCs/>
          <w:sz w:val="24"/>
          <w:szCs w:val="24"/>
          <w:shd w:val="clear" w:color="auto" w:fill="FFFFFF"/>
        </w:rPr>
      </w:pPr>
    </w:p>
    <w:p w14:paraId="796919E0" w14:textId="77777777" w:rsidR="00705011" w:rsidRDefault="00705011" w:rsidP="00705011">
      <w:r>
        <w:rPr>
          <w:noProof/>
        </w:rPr>
        <w:drawing>
          <wp:inline distT="0" distB="0" distL="0" distR="0" wp14:anchorId="7343137A" wp14:editId="6F4F28DA">
            <wp:extent cx="4158615" cy="5732780"/>
            <wp:effectExtent l="0" t="0" r="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615" cy="573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2909F" w14:textId="77777777" w:rsidR="00705011" w:rsidRPr="00B85CE4" w:rsidRDefault="00705011" w:rsidP="00705011">
      <w:pPr>
        <w:pStyle w:val="EndNoteBibliography"/>
        <w:spacing w:line="360" w:lineRule="auto"/>
        <w:rPr>
          <w:rFonts w:ascii="Times New Roman" w:eastAsiaTheme="minorEastAsia" w:hAnsi="Times New Roman" w:cs="Times New Roman"/>
          <w:sz w:val="24"/>
          <w:szCs w:val="24"/>
          <w:shd w:val="clear" w:color="auto" w:fill="FFFFFF"/>
        </w:rPr>
      </w:pPr>
      <w:r w:rsidRPr="00B85CE4">
        <w:rPr>
          <w:rFonts w:ascii="Times New Roman" w:eastAsiaTheme="minorEastAsia" w:hAnsi="Times New Roman" w:cs="Times New Roman"/>
          <w:b/>
          <w:bCs/>
          <w:sz w:val="24"/>
          <w:szCs w:val="24"/>
          <w:shd w:val="clear" w:color="auto" w:fill="FFFFFF"/>
        </w:rPr>
        <w:t>Supplementary Figure 5: Correlation map and survival map of genes and immune cells.</w:t>
      </w:r>
      <w:r w:rsidRPr="00B85CE4">
        <w:rPr>
          <w:rFonts w:ascii="Times New Roman" w:eastAsiaTheme="minorEastAsia" w:hAnsi="Times New Roman" w:cs="Times New Roman"/>
          <w:sz w:val="24"/>
          <w:szCs w:val="24"/>
          <w:shd w:val="clear" w:color="auto" w:fill="FFFFFF"/>
        </w:rPr>
        <w:t xml:space="preserve"> (A-D) Correlation map of HMMR, PFKP, TCN1 and TK1 with seven kinds of immune cells. (E-H) The survival time of HMMR, PFKP, TCN1 and TK1 expressions.</w:t>
      </w:r>
    </w:p>
    <w:p w14:paraId="27904240" w14:textId="77777777" w:rsidR="00250F80" w:rsidRPr="00705011" w:rsidRDefault="00250F80">
      <w:pPr>
        <w:rPr>
          <w:rFonts w:hint="eastAsia"/>
        </w:rPr>
      </w:pPr>
    </w:p>
    <w:sectPr w:rsidR="00250F80" w:rsidRPr="00705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A6195" w14:textId="77777777" w:rsidR="009B69F8" w:rsidRDefault="009B69F8" w:rsidP="00250F80">
      <w:r>
        <w:separator/>
      </w:r>
    </w:p>
  </w:endnote>
  <w:endnote w:type="continuationSeparator" w:id="0">
    <w:p w14:paraId="6D508E60" w14:textId="77777777" w:rsidR="009B69F8" w:rsidRDefault="009B69F8" w:rsidP="00250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31778" w14:textId="77777777" w:rsidR="009B69F8" w:rsidRDefault="009B69F8" w:rsidP="00250F80">
      <w:r>
        <w:separator/>
      </w:r>
    </w:p>
  </w:footnote>
  <w:footnote w:type="continuationSeparator" w:id="0">
    <w:p w14:paraId="6207CE19" w14:textId="77777777" w:rsidR="009B69F8" w:rsidRDefault="009B69F8" w:rsidP="00250F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9ED"/>
    <w:rsid w:val="0013044A"/>
    <w:rsid w:val="00250F80"/>
    <w:rsid w:val="00705011"/>
    <w:rsid w:val="009B69F8"/>
    <w:rsid w:val="00C6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08FE3"/>
  <w15:chartTrackingRefBased/>
  <w15:docId w15:val="{F13D8B0B-62F8-4F2E-82E3-6E004D7E6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F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F80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qFormat/>
    <w:rsid w:val="00250F8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250F80"/>
    <w:rPr>
      <w:rFonts w:ascii="等线" w:eastAsia="等线" w:hAnsi="等线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fazhan</dc:creator>
  <cp:keywords/>
  <dc:description/>
  <cp:lastModifiedBy>li fazhan</cp:lastModifiedBy>
  <cp:revision>2</cp:revision>
  <dcterms:created xsi:type="dcterms:W3CDTF">2021-11-16T03:37:00Z</dcterms:created>
  <dcterms:modified xsi:type="dcterms:W3CDTF">2021-11-16T03:45:00Z</dcterms:modified>
</cp:coreProperties>
</file>