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2E9" w:rsidRPr="00D14F5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Table A1</w:t>
      </w:r>
      <w:r w:rsidRPr="00D14F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9C12E9" w:rsidRPr="00D14F56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F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List of main comorbidities in order of frequency in subjects with / without healthcare associated infection group (HAI). Data are reported as N. of cases (%), difference as Odds Ratio (OR) with 95% Confidence Intervals (95% CI). Percent of subjects referred to the total number of cases. </w:t>
      </w:r>
      <w:r w:rsidRPr="00D14F56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proofErr w:type="spellStart"/>
      <w:r w:rsidRPr="00D14F56"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spellEnd"/>
      <w:r w:rsidRPr="00D14F56">
        <w:rPr>
          <w:rFonts w:ascii="Times New Roman" w:eastAsia="Times New Roman" w:hAnsi="Times New Roman" w:cs="Times New Roman"/>
          <w:sz w:val="24"/>
          <w:szCs w:val="24"/>
        </w:rPr>
        <w:t xml:space="preserve"> &lt;0.001 for </w:t>
      </w:r>
      <w:proofErr w:type="spellStart"/>
      <w:r w:rsidRPr="00D14F56">
        <w:rPr>
          <w:rFonts w:ascii="Times New Roman" w:eastAsia="Times New Roman" w:hAnsi="Times New Roman" w:cs="Times New Roman"/>
          <w:sz w:val="24"/>
          <w:szCs w:val="24"/>
        </w:rPr>
        <w:t>significance</w:t>
      </w:r>
      <w:proofErr w:type="spellEnd"/>
      <w:r w:rsidRPr="00D14F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12E9" w:rsidRPr="00D14F56" w:rsidRDefault="009C12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1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560"/>
        <w:gridCol w:w="1417"/>
        <w:gridCol w:w="1701"/>
        <w:gridCol w:w="1701"/>
        <w:gridCol w:w="1843"/>
        <w:gridCol w:w="992"/>
      </w:tblGrid>
      <w:tr w:rsidR="009C12E9" w:rsidRPr="00D14F56">
        <w:trPr>
          <w:trHeight w:val="300"/>
        </w:trPr>
        <w:tc>
          <w:tcPr>
            <w:tcW w:w="1560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2E9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4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Comorbidities</w:t>
            </w:r>
            <w:proofErr w:type="spellEnd"/>
          </w:p>
          <w:p w:rsidR="00484788" w:rsidRPr="00D14F56" w:rsidRDefault="0048478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Total, No. (%)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HAI group, </w:t>
            </w:r>
          </w:p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(%)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Non-HAI group, No. (%)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4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Odds</w:t>
            </w:r>
            <w:proofErr w:type="spellEnd"/>
            <w:r w:rsidRPr="00D14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Ratio</w:t>
            </w:r>
          </w:p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(95% CI)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2E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P-</w:t>
            </w:r>
            <w:proofErr w:type="spellStart"/>
            <w:r w:rsidRPr="00D14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</w:t>
            </w:r>
            <w:proofErr w:type="spellEnd"/>
          </w:p>
          <w:p w:rsidR="00484788" w:rsidRPr="00D14F56" w:rsidRDefault="004847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2E9" w:rsidRPr="00D14F56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DM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4,768 (16.5)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503 (19.7)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4,265 (16.2)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1.26 (1.14–1.40)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C12E9" w:rsidRPr="00D14F56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4,628 (16.1)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499 (19.5)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4,129 (15.7)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1.30 (1.17–1.44)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C12E9" w:rsidRPr="00D14F56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3,861 (13.4)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500 (19.6)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3,361 (12.8)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1.66 (1.49–1.84)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C12E9" w:rsidRPr="00D14F56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COPD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3,750 (13.0)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400 (15.6)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3,350 (12.8)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1.27 (1.13–1.42)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C12E9" w:rsidRPr="00D14F56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9945E2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3,051 (10.6)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311 (12.1)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2,740 (10.4)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1.19 (1.05–1.35)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9C12E9" w:rsidRPr="00D14F56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CKD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2,564 (8.9)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348 (13.6)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2,216 (8.4)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1.71 (1.51–1.93)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C12E9" w:rsidRPr="00D14F56">
        <w:trPr>
          <w:trHeight w:val="300"/>
        </w:trPr>
        <w:tc>
          <w:tcPr>
            <w:tcW w:w="156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2E9" w:rsidRPr="00D14F5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2,342 (8.1)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227 (8.9)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2,115 (8.1)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1.11 (0.96–1.28)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0.146</w:t>
            </w:r>
          </w:p>
        </w:tc>
      </w:tr>
      <w:tr w:rsidR="009C12E9" w:rsidRPr="00D14F56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CHF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2,207 (7.7)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233 (9.1)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1,974 (7.5)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1.23 (1.07–1.42)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9C12E9" w:rsidRPr="00D14F56">
        <w:trPr>
          <w:trHeight w:val="315"/>
        </w:trPr>
        <w:tc>
          <w:tcPr>
            <w:tcW w:w="156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2E9" w:rsidRPr="00D14F5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HM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2,168 (7.5)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246 (9.6)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1,922 (7.3)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1.35 (1.17–1.55)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C12E9" w:rsidRPr="00D14F56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LD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1,613 (5.6)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172 (6.7)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1,441 (5.5)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1.24 (1.05–1.46)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9C12E9" w:rsidRPr="00D14F56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CTD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1,395 (4.8)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157 (6.1)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1,238 (4.7)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1.32 (1.11–1.57)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9C12E9" w:rsidRPr="00D14F56">
        <w:trPr>
          <w:trHeight w:val="300"/>
        </w:trPr>
        <w:tc>
          <w:tcPr>
            <w:tcW w:w="156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2E9" w:rsidRPr="00D14F5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PVD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766 (2.7)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86 (3.4)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680 (2.6)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1.31 (1.04–1.64)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0.020</w:t>
            </w:r>
          </w:p>
        </w:tc>
      </w:tr>
      <w:tr w:rsidR="009C12E9" w:rsidRPr="00D14F56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PUD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592 (2.1)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57 (2.2)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535 (2.0)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1.10 (0.83–1.44)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0.514</w:t>
            </w:r>
          </w:p>
        </w:tc>
      </w:tr>
      <w:tr w:rsidR="009C12E9" w:rsidRPr="00D14F56">
        <w:trPr>
          <w:trHeight w:val="315"/>
        </w:trPr>
        <w:tc>
          <w:tcPr>
            <w:tcW w:w="156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12E9" w:rsidRPr="00D14F5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385 (1.3)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55 (2.1)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330 (1.3)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1.73 (1.29–2.30)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9C12E9" w:rsidRPr="00D14F56">
        <w:trPr>
          <w:trHeight w:val="315"/>
        </w:trPr>
        <w:tc>
          <w:tcPr>
            <w:tcW w:w="156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153 (0.5)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25 (0.9)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128 (0.5)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2.02 (1.31–3.10)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9C12E9" w:rsidRPr="00D14F56">
        <w:trPr>
          <w:trHeight w:val="44"/>
        </w:trPr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AIDS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 (0.0)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0 (0.0)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1 (0.0)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12E9" w:rsidRPr="00D14F56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56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</w:tr>
    </w:tbl>
    <w:p w:rsidR="009C12E9" w:rsidRPr="00D14F56" w:rsidRDefault="009C12E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E0681B" w:rsidRPr="00D14F56" w:rsidRDefault="00000000" w:rsidP="00E0681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4F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Abbreviations: </w:t>
      </w:r>
      <w:r w:rsidR="00E0681B" w:rsidRPr="00D14F56"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  <w:t>diabetes mellitus (DM), solid tumors (ST), dementia (D),</w:t>
      </w:r>
      <w:r w:rsidR="00E0681B" w:rsidRPr="00E0681B"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  <w:t xml:space="preserve"> </w:t>
      </w:r>
      <w:r w:rsidR="00E0681B" w:rsidRPr="00D14F56"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  <w:t>chronic obstructive pulmonary disease (COPD)</w:t>
      </w:r>
      <w:r w:rsidR="00E0681B"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  <w:t xml:space="preserve">, </w:t>
      </w:r>
      <w:r w:rsidR="00E0681B" w:rsidRPr="00D14F56"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  <w:t xml:space="preserve">acute cerebrovascular accidents or transient ischemic attacks (CVA), chronic kidney disease (CKD), </w:t>
      </w:r>
      <w:r w:rsidRPr="00D14F56"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  <w:t xml:space="preserve">history of myocardial infarction (MI), congestive heart failure (CHF), </w:t>
      </w:r>
      <w:r w:rsidR="00E0681B" w:rsidRPr="00D14F56"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  <w:t>hemiplegia (HM),</w:t>
      </w:r>
      <w:r w:rsidR="00E0681B" w:rsidRPr="00E0681B"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  <w:t xml:space="preserve"> </w:t>
      </w:r>
      <w:r w:rsidR="00E0681B" w:rsidRPr="00D14F56"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  <w:t>liver disease (LD),</w:t>
      </w:r>
      <w:r w:rsidR="00E0681B" w:rsidRPr="00E0681B"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  <w:t xml:space="preserve"> </w:t>
      </w:r>
      <w:r w:rsidR="00E0681B" w:rsidRPr="00D14F56"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  <w:t>connective tissue diseases (CTD),</w:t>
      </w:r>
      <w:r w:rsidR="00E0681B" w:rsidRPr="00E0681B"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  <w:t xml:space="preserve"> </w:t>
      </w:r>
      <w:r w:rsidR="00E0681B" w:rsidRPr="00D14F56"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  <w:lastRenderedPageBreak/>
        <w:t>peripheral vascular disease (PVD), peptic ulcer disease (PUD),</w:t>
      </w:r>
      <w:r w:rsidR="00E0681B" w:rsidRPr="00E0681B"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  <w:t xml:space="preserve"> </w:t>
      </w:r>
      <w:r w:rsidR="00E0681B" w:rsidRPr="00D14F56"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  <w:t>leukemia (L),</w:t>
      </w:r>
      <w:r w:rsidR="00E0681B" w:rsidRPr="00E0681B"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  <w:t xml:space="preserve"> </w:t>
      </w:r>
      <w:r w:rsidR="00E0681B" w:rsidRPr="00D14F56"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  <w:t xml:space="preserve">lymphoma (Ly), </w:t>
      </w:r>
      <w:r w:rsidR="00E0681B"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  <w:t>Acquired Immune Deficiency Syndrome (AIDS).</w:t>
      </w:r>
    </w:p>
    <w:p w:rsidR="00E0681B" w:rsidRDefault="00E0681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111A18"/>
          <w:sz w:val="24"/>
          <w:szCs w:val="24"/>
          <w:lang w:val="en-US"/>
        </w:rPr>
      </w:pPr>
    </w:p>
    <w:p w:rsidR="00E0681B" w:rsidRPr="00D14F56" w:rsidRDefault="00E0681B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E0681B" w:rsidRPr="00D14F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E9"/>
    <w:rsid w:val="00484788"/>
    <w:rsid w:val="009945E2"/>
    <w:rsid w:val="009C12E9"/>
    <w:rsid w:val="00D14F56"/>
    <w:rsid w:val="00E0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C93DE4"/>
  <w15:docId w15:val="{71BECC0C-CDB5-E444-BFB1-B8CF875D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Palatino Linotype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commento">
    <w:name w:val="annotation text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link w:val="TestofumettoCarattere"/>
    <w:uiPriority w:val="99"/>
    <w:semiHidden/>
    <w:unhideWhenUsed/>
    <w:rsid w:val="00FE22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225E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KsjMOWBzSvKwDJpWQyuv/Q8JGQ==">CgMxLjA4AHIhMXlYV1NEU3dUTHA5aHhacVhFS3RGWnhxWHR3UXFJSnpz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1609</Characters>
  <Application>Microsoft Office Word</Application>
  <DocSecurity>0</DocSecurity>
  <Lines>25</Lines>
  <Paragraphs>9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Fabbri</dc:creator>
  <cp:lastModifiedBy>Andrea Fabbri</cp:lastModifiedBy>
  <cp:revision>5</cp:revision>
  <dcterms:created xsi:type="dcterms:W3CDTF">2025-07-08T14:57:00Z</dcterms:created>
  <dcterms:modified xsi:type="dcterms:W3CDTF">2025-08-29T13:44:00Z</dcterms:modified>
</cp:coreProperties>
</file>