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549A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b/>
          <w:bCs/>
          <w:color w:val="231F20"/>
          <w:sz w:val="21"/>
          <w:szCs w:val="21"/>
          <w:lang w:val="en-US" w:eastAsia="zh-CN"/>
        </w:rPr>
        <w:t xml:space="preserve">Supplement Table 1 . </w:t>
      </w:r>
      <w:r>
        <w:rPr>
          <w:rFonts w:hint="default" w:ascii="Times New Roman" w:hAnsi="Times New Roman" w:cs="Times New Roman"/>
          <w:sz w:val="21"/>
          <w:szCs w:val="21"/>
        </w:rPr>
        <w:t xml:space="preserve">Quality statistics of </w:t>
      </w:r>
      <w:r>
        <w:rPr>
          <w:rFonts w:hint="default" w:ascii="Times New Roman" w:hAnsi="Times New Roman" w:cs="Times New Roman"/>
          <w:sz w:val="21"/>
          <w:szCs w:val="21"/>
          <w:lang w:val="en-US" w:eastAsia="zh-CN"/>
        </w:rPr>
        <w:t>Clean</w:t>
      </w:r>
      <w:r>
        <w:rPr>
          <w:rFonts w:hint="default" w:ascii="Times New Roman" w:hAnsi="Times New Roman" w:cs="Times New Roman"/>
          <w:sz w:val="21"/>
          <w:szCs w:val="21"/>
        </w:rPr>
        <w:t xml:space="preserve"> reads.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476"/>
        <w:gridCol w:w="1415"/>
        <w:gridCol w:w="1405"/>
        <w:gridCol w:w="1406"/>
        <w:gridCol w:w="1405"/>
      </w:tblGrid>
      <w:tr w14:paraId="3903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left w:val="nil"/>
              <w:bottom w:val="single" w:color="auto" w:sz="4" w:space="0"/>
              <w:right w:val="nil"/>
            </w:tcBorders>
            <w:vAlign w:val="center"/>
          </w:tcPr>
          <w:p w14:paraId="4C5A199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Samples ID</w:t>
            </w:r>
          </w:p>
        </w:tc>
        <w:tc>
          <w:tcPr>
            <w:tcW w:w="1476" w:type="dxa"/>
            <w:tcBorders>
              <w:left w:val="nil"/>
              <w:bottom w:val="single" w:color="auto" w:sz="4" w:space="0"/>
              <w:right w:val="nil"/>
            </w:tcBorders>
            <w:vAlign w:val="center"/>
          </w:tcPr>
          <w:p w14:paraId="46F0663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Clean reads</w:t>
            </w:r>
          </w:p>
        </w:tc>
        <w:tc>
          <w:tcPr>
            <w:tcW w:w="1415" w:type="dxa"/>
            <w:tcBorders>
              <w:left w:val="nil"/>
              <w:bottom w:val="single" w:color="auto" w:sz="4" w:space="0"/>
              <w:right w:val="nil"/>
            </w:tcBorders>
            <w:vAlign w:val="center"/>
          </w:tcPr>
          <w:p w14:paraId="463CBAA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Clean bases (Mb)</w:t>
            </w:r>
          </w:p>
        </w:tc>
        <w:tc>
          <w:tcPr>
            <w:tcW w:w="1405" w:type="dxa"/>
            <w:tcBorders>
              <w:left w:val="nil"/>
              <w:bottom w:val="single" w:color="auto" w:sz="4" w:space="0"/>
              <w:right w:val="nil"/>
            </w:tcBorders>
            <w:vAlign w:val="center"/>
          </w:tcPr>
          <w:p w14:paraId="02EC32A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Clean read Q20 (%)</w:t>
            </w:r>
          </w:p>
        </w:tc>
        <w:tc>
          <w:tcPr>
            <w:tcW w:w="1406" w:type="dxa"/>
            <w:tcBorders>
              <w:left w:val="nil"/>
              <w:bottom w:val="single" w:color="auto" w:sz="4" w:space="0"/>
              <w:right w:val="nil"/>
            </w:tcBorders>
            <w:vAlign w:val="center"/>
          </w:tcPr>
          <w:p w14:paraId="1BAB39E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Clean read Q30 (%)</w:t>
            </w:r>
          </w:p>
        </w:tc>
        <w:tc>
          <w:tcPr>
            <w:tcW w:w="1405" w:type="dxa"/>
            <w:tcBorders>
              <w:left w:val="nil"/>
              <w:bottom w:val="single" w:color="auto" w:sz="4" w:space="0"/>
              <w:right w:val="nil"/>
            </w:tcBorders>
            <w:vAlign w:val="center"/>
          </w:tcPr>
          <w:p w14:paraId="72FE58D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center"/>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GC content (%)</w:t>
            </w:r>
          </w:p>
        </w:tc>
      </w:tr>
      <w:tr w14:paraId="2288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single" w:color="auto" w:sz="4" w:space="0"/>
              <w:left w:val="nil"/>
              <w:bottom w:val="nil"/>
              <w:right w:val="nil"/>
            </w:tcBorders>
            <w:vAlign w:val="center"/>
          </w:tcPr>
          <w:p w14:paraId="4A38FD3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A1</w:t>
            </w:r>
          </w:p>
        </w:tc>
        <w:tc>
          <w:tcPr>
            <w:tcW w:w="1476" w:type="dxa"/>
            <w:tcBorders>
              <w:top w:val="single" w:color="auto" w:sz="4" w:space="0"/>
              <w:left w:val="nil"/>
              <w:bottom w:val="nil"/>
              <w:right w:val="nil"/>
            </w:tcBorders>
            <w:vAlign w:val="center"/>
          </w:tcPr>
          <w:p w14:paraId="495E177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31460216</w:t>
            </w:r>
          </w:p>
        </w:tc>
        <w:tc>
          <w:tcPr>
            <w:tcW w:w="1415" w:type="dxa"/>
            <w:tcBorders>
              <w:top w:val="single" w:color="auto" w:sz="4" w:space="0"/>
              <w:left w:val="nil"/>
              <w:bottom w:val="nil"/>
              <w:right w:val="nil"/>
            </w:tcBorders>
            <w:vAlign w:val="center"/>
          </w:tcPr>
          <w:p w14:paraId="36CCE94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4719.03</w:t>
            </w:r>
          </w:p>
        </w:tc>
        <w:tc>
          <w:tcPr>
            <w:tcW w:w="1405" w:type="dxa"/>
            <w:tcBorders>
              <w:top w:val="single" w:color="auto" w:sz="4" w:space="0"/>
              <w:left w:val="nil"/>
              <w:bottom w:val="nil"/>
              <w:right w:val="nil"/>
            </w:tcBorders>
            <w:vAlign w:val="center"/>
          </w:tcPr>
          <w:p w14:paraId="3C5B9D7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97.69</w:t>
            </w:r>
          </w:p>
        </w:tc>
        <w:tc>
          <w:tcPr>
            <w:tcW w:w="1406" w:type="dxa"/>
            <w:tcBorders>
              <w:top w:val="single" w:color="auto" w:sz="4" w:space="0"/>
              <w:left w:val="nil"/>
              <w:bottom w:val="nil"/>
              <w:right w:val="nil"/>
            </w:tcBorders>
            <w:vAlign w:val="center"/>
          </w:tcPr>
          <w:p w14:paraId="0FBC62E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92.89</w:t>
            </w:r>
          </w:p>
        </w:tc>
        <w:tc>
          <w:tcPr>
            <w:tcW w:w="1405" w:type="dxa"/>
            <w:tcBorders>
              <w:top w:val="single" w:color="auto" w:sz="4" w:space="0"/>
              <w:left w:val="nil"/>
              <w:bottom w:val="nil"/>
              <w:right w:val="nil"/>
            </w:tcBorders>
            <w:vAlign w:val="center"/>
          </w:tcPr>
          <w:p w14:paraId="08027EA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54.69</w:t>
            </w:r>
          </w:p>
        </w:tc>
      </w:tr>
      <w:tr w14:paraId="7F20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2916018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A2</w:t>
            </w:r>
          </w:p>
        </w:tc>
        <w:tc>
          <w:tcPr>
            <w:tcW w:w="1476" w:type="dxa"/>
            <w:tcBorders>
              <w:top w:val="nil"/>
              <w:left w:val="nil"/>
              <w:bottom w:val="nil"/>
              <w:right w:val="nil"/>
            </w:tcBorders>
            <w:vAlign w:val="center"/>
          </w:tcPr>
          <w:p w14:paraId="7320B89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31693458</w:t>
            </w:r>
          </w:p>
        </w:tc>
        <w:tc>
          <w:tcPr>
            <w:tcW w:w="1415" w:type="dxa"/>
            <w:tcBorders>
              <w:top w:val="nil"/>
              <w:left w:val="nil"/>
              <w:bottom w:val="nil"/>
              <w:right w:val="nil"/>
            </w:tcBorders>
            <w:vAlign w:val="center"/>
          </w:tcPr>
          <w:p w14:paraId="5DE5666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4754.02</w:t>
            </w:r>
          </w:p>
        </w:tc>
        <w:tc>
          <w:tcPr>
            <w:tcW w:w="1405" w:type="dxa"/>
            <w:tcBorders>
              <w:top w:val="nil"/>
              <w:left w:val="nil"/>
              <w:bottom w:val="nil"/>
              <w:right w:val="nil"/>
            </w:tcBorders>
            <w:vAlign w:val="center"/>
          </w:tcPr>
          <w:p w14:paraId="651C754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97.75</w:t>
            </w:r>
          </w:p>
        </w:tc>
        <w:tc>
          <w:tcPr>
            <w:tcW w:w="1406" w:type="dxa"/>
            <w:tcBorders>
              <w:top w:val="nil"/>
              <w:left w:val="nil"/>
              <w:bottom w:val="nil"/>
              <w:right w:val="nil"/>
            </w:tcBorders>
            <w:vAlign w:val="center"/>
          </w:tcPr>
          <w:p w14:paraId="44D6065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93.02</w:t>
            </w:r>
          </w:p>
        </w:tc>
        <w:tc>
          <w:tcPr>
            <w:tcW w:w="1405" w:type="dxa"/>
            <w:tcBorders>
              <w:top w:val="nil"/>
              <w:left w:val="nil"/>
              <w:bottom w:val="nil"/>
              <w:right w:val="nil"/>
            </w:tcBorders>
            <w:vAlign w:val="center"/>
          </w:tcPr>
          <w:p w14:paraId="26FE28C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53.98</w:t>
            </w:r>
          </w:p>
        </w:tc>
      </w:tr>
      <w:tr w14:paraId="2BEF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7DE7C95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A3</w:t>
            </w:r>
          </w:p>
        </w:tc>
        <w:tc>
          <w:tcPr>
            <w:tcW w:w="1476" w:type="dxa"/>
            <w:tcBorders>
              <w:top w:val="nil"/>
              <w:left w:val="nil"/>
              <w:bottom w:val="nil"/>
              <w:right w:val="nil"/>
            </w:tcBorders>
            <w:vAlign w:val="center"/>
          </w:tcPr>
          <w:p w14:paraId="3B31AFF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31812378</w:t>
            </w:r>
          </w:p>
        </w:tc>
        <w:tc>
          <w:tcPr>
            <w:tcW w:w="1415" w:type="dxa"/>
            <w:tcBorders>
              <w:top w:val="nil"/>
              <w:left w:val="nil"/>
              <w:bottom w:val="nil"/>
              <w:right w:val="nil"/>
            </w:tcBorders>
            <w:vAlign w:val="center"/>
          </w:tcPr>
          <w:p w14:paraId="5E2EF37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4771.86</w:t>
            </w:r>
          </w:p>
        </w:tc>
        <w:tc>
          <w:tcPr>
            <w:tcW w:w="1405" w:type="dxa"/>
            <w:tcBorders>
              <w:top w:val="nil"/>
              <w:left w:val="nil"/>
              <w:bottom w:val="nil"/>
              <w:right w:val="nil"/>
            </w:tcBorders>
            <w:vAlign w:val="center"/>
          </w:tcPr>
          <w:p w14:paraId="2F209C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98.14</w:t>
            </w:r>
          </w:p>
        </w:tc>
        <w:tc>
          <w:tcPr>
            <w:tcW w:w="1406" w:type="dxa"/>
            <w:tcBorders>
              <w:top w:val="nil"/>
              <w:left w:val="nil"/>
              <w:bottom w:val="nil"/>
              <w:right w:val="nil"/>
            </w:tcBorders>
            <w:vAlign w:val="center"/>
          </w:tcPr>
          <w:p w14:paraId="662960A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94.14</w:t>
            </w:r>
          </w:p>
        </w:tc>
        <w:tc>
          <w:tcPr>
            <w:tcW w:w="1405" w:type="dxa"/>
            <w:tcBorders>
              <w:top w:val="nil"/>
              <w:left w:val="nil"/>
              <w:bottom w:val="nil"/>
              <w:right w:val="nil"/>
            </w:tcBorders>
            <w:vAlign w:val="center"/>
          </w:tcPr>
          <w:p w14:paraId="794610B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54.25</w:t>
            </w:r>
          </w:p>
        </w:tc>
      </w:tr>
      <w:tr w14:paraId="5ED7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6FD52DD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B1</w:t>
            </w:r>
          </w:p>
        </w:tc>
        <w:tc>
          <w:tcPr>
            <w:tcW w:w="1476" w:type="dxa"/>
            <w:tcBorders>
              <w:top w:val="nil"/>
              <w:left w:val="nil"/>
              <w:bottom w:val="nil"/>
              <w:right w:val="nil"/>
            </w:tcBorders>
            <w:vAlign w:val="center"/>
          </w:tcPr>
          <w:p w14:paraId="676A0D9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31562028</w:t>
            </w:r>
          </w:p>
        </w:tc>
        <w:tc>
          <w:tcPr>
            <w:tcW w:w="1415" w:type="dxa"/>
            <w:tcBorders>
              <w:top w:val="nil"/>
              <w:left w:val="nil"/>
              <w:bottom w:val="nil"/>
              <w:right w:val="nil"/>
            </w:tcBorders>
            <w:vAlign w:val="center"/>
          </w:tcPr>
          <w:p w14:paraId="0EB8535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4734.3</w:t>
            </w:r>
          </w:p>
        </w:tc>
        <w:tc>
          <w:tcPr>
            <w:tcW w:w="1405" w:type="dxa"/>
            <w:tcBorders>
              <w:top w:val="nil"/>
              <w:left w:val="nil"/>
              <w:bottom w:val="nil"/>
              <w:right w:val="nil"/>
            </w:tcBorders>
            <w:vAlign w:val="center"/>
          </w:tcPr>
          <w:p w14:paraId="47C49A3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97.68</w:t>
            </w:r>
          </w:p>
        </w:tc>
        <w:tc>
          <w:tcPr>
            <w:tcW w:w="1406" w:type="dxa"/>
            <w:tcBorders>
              <w:top w:val="nil"/>
              <w:left w:val="nil"/>
              <w:bottom w:val="nil"/>
              <w:right w:val="nil"/>
            </w:tcBorders>
            <w:vAlign w:val="center"/>
          </w:tcPr>
          <w:p w14:paraId="06F594E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92.81</w:t>
            </w:r>
          </w:p>
        </w:tc>
        <w:tc>
          <w:tcPr>
            <w:tcW w:w="1405" w:type="dxa"/>
            <w:tcBorders>
              <w:top w:val="nil"/>
              <w:left w:val="nil"/>
              <w:bottom w:val="nil"/>
              <w:right w:val="nil"/>
            </w:tcBorders>
            <w:vAlign w:val="center"/>
          </w:tcPr>
          <w:p w14:paraId="4CC4ECB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54.35</w:t>
            </w:r>
          </w:p>
        </w:tc>
      </w:tr>
      <w:tr w14:paraId="57EC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5DA562C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B2</w:t>
            </w:r>
          </w:p>
        </w:tc>
        <w:tc>
          <w:tcPr>
            <w:tcW w:w="1476" w:type="dxa"/>
            <w:tcBorders>
              <w:top w:val="nil"/>
              <w:left w:val="nil"/>
              <w:bottom w:val="nil"/>
              <w:right w:val="nil"/>
            </w:tcBorders>
            <w:vAlign w:val="center"/>
          </w:tcPr>
          <w:p w14:paraId="5DD8186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31673652</w:t>
            </w:r>
          </w:p>
        </w:tc>
        <w:tc>
          <w:tcPr>
            <w:tcW w:w="1415" w:type="dxa"/>
            <w:tcBorders>
              <w:top w:val="nil"/>
              <w:left w:val="nil"/>
              <w:bottom w:val="nil"/>
              <w:right w:val="nil"/>
            </w:tcBorders>
            <w:vAlign w:val="center"/>
          </w:tcPr>
          <w:p w14:paraId="6C1BDE1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4751.05</w:t>
            </w:r>
          </w:p>
        </w:tc>
        <w:tc>
          <w:tcPr>
            <w:tcW w:w="1405" w:type="dxa"/>
            <w:tcBorders>
              <w:top w:val="nil"/>
              <w:left w:val="nil"/>
              <w:bottom w:val="nil"/>
              <w:right w:val="nil"/>
            </w:tcBorders>
            <w:vAlign w:val="center"/>
          </w:tcPr>
          <w:p w14:paraId="71F0D91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97.44</w:t>
            </w:r>
          </w:p>
        </w:tc>
        <w:tc>
          <w:tcPr>
            <w:tcW w:w="1406" w:type="dxa"/>
            <w:tcBorders>
              <w:top w:val="nil"/>
              <w:left w:val="nil"/>
              <w:bottom w:val="nil"/>
              <w:right w:val="nil"/>
            </w:tcBorders>
            <w:vAlign w:val="center"/>
          </w:tcPr>
          <w:p w14:paraId="18C8830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92.14</w:t>
            </w:r>
          </w:p>
        </w:tc>
        <w:tc>
          <w:tcPr>
            <w:tcW w:w="1405" w:type="dxa"/>
            <w:tcBorders>
              <w:top w:val="nil"/>
              <w:left w:val="nil"/>
              <w:bottom w:val="nil"/>
              <w:right w:val="nil"/>
            </w:tcBorders>
            <w:vAlign w:val="center"/>
          </w:tcPr>
          <w:p w14:paraId="2678B9A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54.05</w:t>
            </w:r>
          </w:p>
        </w:tc>
      </w:tr>
      <w:tr w14:paraId="13C6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2E54BC4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B3</w:t>
            </w:r>
          </w:p>
        </w:tc>
        <w:tc>
          <w:tcPr>
            <w:tcW w:w="1476" w:type="dxa"/>
            <w:tcBorders>
              <w:top w:val="nil"/>
              <w:left w:val="nil"/>
              <w:bottom w:val="nil"/>
              <w:right w:val="nil"/>
            </w:tcBorders>
            <w:vAlign w:val="center"/>
          </w:tcPr>
          <w:p w14:paraId="7F21900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32737776</w:t>
            </w:r>
          </w:p>
        </w:tc>
        <w:tc>
          <w:tcPr>
            <w:tcW w:w="1415" w:type="dxa"/>
            <w:tcBorders>
              <w:top w:val="nil"/>
              <w:left w:val="nil"/>
              <w:bottom w:val="nil"/>
              <w:right w:val="nil"/>
            </w:tcBorders>
            <w:vAlign w:val="center"/>
          </w:tcPr>
          <w:p w14:paraId="2C1732E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4910.67</w:t>
            </w:r>
          </w:p>
        </w:tc>
        <w:tc>
          <w:tcPr>
            <w:tcW w:w="1405" w:type="dxa"/>
            <w:tcBorders>
              <w:top w:val="nil"/>
              <w:left w:val="nil"/>
              <w:bottom w:val="nil"/>
              <w:right w:val="nil"/>
            </w:tcBorders>
            <w:vAlign w:val="center"/>
          </w:tcPr>
          <w:p w14:paraId="6D865A6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97.86</w:t>
            </w:r>
          </w:p>
        </w:tc>
        <w:tc>
          <w:tcPr>
            <w:tcW w:w="1406" w:type="dxa"/>
            <w:tcBorders>
              <w:top w:val="nil"/>
              <w:left w:val="nil"/>
              <w:bottom w:val="nil"/>
              <w:right w:val="nil"/>
            </w:tcBorders>
            <w:vAlign w:val="center"/>
          </w:tcPr>
          <w:p w14:paraId="02CC33D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93.26</w:t>
            </w:r>
          </w:p>
        </w:tc>
        <w:tc>
          <w:tcPr>
            <w:tcW w:w="1405" w:type="dxa"/>
            <w:tcBorders>
              <w:top w:val="nil"/>
              <w:left w:val="nil"/>
              <w:bottom w:val="nil"/>
              <w:right w:val="nil"/>
            </w:tcBorders>
            <w:vAlign w:val="center"/>
          </w:tcPr>
          <w:p w14:paraId="206711B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54.48</w:t>
            </w:r>
          </w:p>
        </w:tc>
      </w:tr>
      <w:tr w14:paraId="0105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7096918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C1</w:t>
            </w:r>
          </w:p>
        </w:tc>
        <w:tc>
          <w:tcPr>
            <w:tcW w:w="1476" w:type="dxa"/>
            <w:tcBorders>
              <w:top w:val="nil"/>
              <w:left w:val="nil"/>
              <w:bottom w:val="nil"/>
              <w:right w:val="nil"/>
            </w:tcBorders>
            <w:vAlign w:val="center"/>
          </w:tcPr>
          <w:p w14:paraId="72769AE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32637290</w:t>
            </w:r>
          </w:p>
        </w:tc>
        <w:tc>
          <w:tcPr>
            <w:tcW w:w="1415" w:type="dxa"/>
            <w:tcBorders>
              <w:top w:val="nil"/>
              <w:left w:val="nil"/>
              <w:bottom w:val="nil"/>
              <w:right w:val="nil"/>
            </w:tcBorders>
            <w:vAlign w:val="center"/>
          </w:tcPr>
          <w:p w14:paraId="2A719E1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4895.59</w:t>
            </w:r>
          </w:p>
        </w:tc>
        <w:tc>
          <w:tcPr>
            <w:tcW w:w="1405" w:type="dxa"/>
            <w:tcBorders>
              <w:top w:val="nil"/>
              <w:left w:val="nil"/>
              <w:bottom w:val="nil"/>
              <w:right w:val="nil"/>
            </w:tcBorders>
            <w:vAlign w:val="center"/>
          </w:tcPr>
          <w:p w14:paraId="66C48B6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97.72</w:t>
            </w:r>
          </w:p>
        </w:tc>
        <w:tc>
          <w:tcPr>
            <w:tcW w:w="1406" w:type="dxa"/>
            <w:tcBorders>
              <w:top w:val="nil"/>
              <w:left w:val="nil"/>
              <w:bottom w:val="nil"/>
              <w:right w:val="nil"/>
            </w:tcBorders>
            <w:vAlign w:val="center"/>
          </w:tcPr>
          <w:p w14:paraId="0180BF5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92.89</w:t>
            </w:r>
          </w:p>
        </w:tc>
        <w:tc>
          <w:tcPr>
            <w:tcW w:w="1405" w:type="dxa"/>
            <w:tcBorders>
              <w:top w:val="nil"/>
              <w:left w:val="nil"/>
              <w:bottom w:val="nil"/>
              <w:right w:val="nil"/>
            </w:tcBorders>
            <w:vAlign w:val="center"/>
          </w:tcPr>
          <w:p w14:paraId="2ED43DB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54.33</w:t>
            </w:r>
          </w:p>
        </w:tc>
      </w:tr>
      <w:tr w14:paraId="05B1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bottom w:val="nil"/>
              <w:right w:val="nil"/>
            </w:tcBorders>
            <w:vAlign w:val="center"/>
          </w:tcPr>
          <w:p w14:paraId="1542243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C2</w:t>
            </w:r>
          </w:p>
        </w:tc>
        <w:tc>
          <w:tcPr>
            <w:tcW w:w="1476" w:type="dxa"/>
            <w:tcBorders>
              <w:top w:val="nil"/>
              <w:left w:val="nil"/>
              <w:bottom w:val="nil"/>
              <w:right w:val="nil"/>
            </w:tcBorders>
            <w:vAlign w:val="center"/>
          </w:tcPr>
          <w:p w14:paraId="55BC4A9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32384244</w:t>
            </w:r>
          </w:p>
        </w:tc>
        <w:tc>
          <w:tcPr>
            <w:tcW w:w="1415" w:type="dxa"/>
            <w:tcBorders>
              <w:top w:val="nil"/>
              <w:left w:val="nil"/>
              <w:bottom w:val="nil"/>
              <w:right w:val="nil"/>
            </w:tcBorders>
            <w:vAlign w:val="center"/>
          </w:tcPr>
          <w:p w14:paraId="617AD09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4857.64</w:t>
            </w:r>
          </w:p>
        </w:tc>
        <w:tc>
          <w:tcPr>
            <w:tcW w:w="1405" w:type="dxa"/>
            <w:tcBorders>
              <w:top w:val="nil"/>
              <w:left w:val="nil"/>
              <w:bottom w:val="nil"/>
              <w:right w:val="nil"/>
            </w:tcBorders>
            <w:vAlign w:val="center"/>
          </w:tcPr>
          <w:p w14:paraId="2F431C8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97.61</w:t>
            </w:r>
          </w:p>
        </w:tc>
        <w:tc>
          <w:tcPr>
            <w:tcW w:w="1406" w:type="dxa"/>
            <w:tcBorders>
              <w:top w:val="nil"/>
              <w:left w:val="nil"/>
              <w:bottom w:val="nil"/>
              <w:right w:val="nil"/>
            </w:tcBorders>
            <w:vAlign w:val="center"/>
          </w:tcPr>
          <w:p w14:paraId="63B3B8E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92.56</w:t>
            </w:r>
          </w:p>
        </w:tc>
        <w:tc>
          <w:tcPr>
            <w:tcW w:w="1405" w:type="dxa"/>
            <w:tcBorders>
              <w:top w:val="nil"/>
              <w:left w:val="nil"/>
              <w:bottom w:val="nil"/>
              <w:right w:val="nil"/>
            </w:tcBorders>
            <w:vAlign w:val="center"/>
          </w:tcPr>
          <w:p w14:paraId="283E71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54.81</w:t>
            </w:r>
          </w:p>
        </w:tc>
      </w:tr>
      <w:tr w14:paraId="5802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tcBorders>
              <w:top w:val="nil"/>
              <w:left w:val="nil"/>
              <w:right w:val="nil"/>
            </w:tcBorders>
            <w:vAlign w:val="center"/>
          </w:tcPr>
          <w:p w14:paraId="0965190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C3</w:t>
            </w:r>
          </w:p>
        </w:tc>
        <w:tc>
          <w:tcPr>
            <w:tcW w:w="1476" w:type="dxa"/>
            <w:tcBorders>
              <w:top w:val="nil"/>
              <w:left w:val="nil"/>
              <w:right w:val="nil"/>
            </w:tcBorders>
            <w:vAlign w:val="center"/>
          </w:tcPr>
          <w:p w14:paraId="5D3E070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33043758</w:t>
            </w:r>
          </w:p>
        </w:tc>
        <w:tc>
          <w:tcPr>
            <w:tcW w:w="1415" w:type="dxa"/>
            <w:tcBorders>
              <w:top w:val="nil"/>
              <w:left w:val="nil"/>
              <w:right w:val="nil"/>
            </w:tcBorders>
            <w:vAlign w:val="center"/>
          </w:tcPr>
          <w:p w14:paraId="4D3A8AC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4956.56</w:t>
            </w:r>
          </w:p>
        </w:tc>
        <w:tc>
          <w:tcPr>
            <w:tcW w:w="1405" w:type="dxa"/>
            <w:tcBorders>
              <w:top w:val="nil"/>
              <w:left w:val="nil"/>
              <w:right w:val="nil"/>
            </w:tcBorders>
            <w:vAlign w:val="center"/>
          </w:tcPr>
          <w:p w14:paraId="06E99FB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97.86</w:t>
            </w:r>
          </w:p>
        </w:tc>
        <w:tc>
          <w:tcPr>
            <w:tcW w:w="1406" w:type="dxa"/>
            <w:tcBorders>
              <w:top w:val="nil"/>
              <w:left w:val="nil"/>
              <w:right w:val="nil"/>
            </w:tcBorders>
            <w:vAlign w:val="center"/>
          </w:tcPr>
          <w:p w14:paraId="600BA03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93.15</w:t>
            </w:r>
          </w:p>
        </w:tc>
        <w:tc>
          <w:tcPr>
            <w:tcW w:w="1405" w:type="dxa"/>
            <w:tcBorders>
              <w:top w:val="nil"/>
              <w:left w:val="nil"/>
              <w:right w:val="nil"/>
            </w:tcBorders>
            <w:vAlign w:val="center"/>
          </w:tcPr>
          <w:p w14:paraId="71D5D90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i w:val="0"/>
                <w:color w:val="000000"/>
                <w:kern w:val="2"/>
                <w:sz w:val="21"/>
                <w:szCs w:val="21"/>
                <w:lang w:val="en-US" w:eastAsia="zh-CN" w:bidi="ar-SA"/>
              </w:rPr>
            </w:pPr>
            <w:r>
              <w:rPr>
                <w:rFonts w:hint="default" w:ascii="Times New Roman" w:hAnsi="Times New Roman" w:eastAsia="宋体" w:cs="Times New Roman"/>
                <w:i w:val="0"/>
                <w:color w:val="000000"/>
                <w:kern w:val="2"/>
                <w:sz w:val="21"/>
                <w:szCs w:val="21"/>
                <w:lang w:val="en-US" w:eastAsia="zh-CN" w:bidi="ar-SA"/>
              </w:rPr>
              <w:t>54.31</w:t>
            </w:r>
          </w:p>
        </w:tc>
      </w:tr>
    </w:tbl>
    <w:p w14:paraId="487E4081">
      <w:pPr>
        <w:rPr>
          <w:rFonts w:hint="default" w:ascii="Times New Roman" w:hAnsi="Times New Roman" w:cs="Times New Roman"/>
          <w:sz w:val="21"/>
          <w:szCs w:val="21"/>
          <w:lang w:val="en-US" w:eastAsia="zh-CN"/>
        </w:rPr>
      </w:pPr>
    </w:p>
    <w:p w14:paraId="21C0E669">
      <w:pPr>
        <w:rPr>
          <w:rFonts w:hint="default"/>
          <w:lang w:val="en-US" w:eastAsia="zh-CN"/>
        </w:rPr>
      </w:pPr>
    </w:p>
    <w:p w14:paraId="2619D2BD">
      <w:pPr>
        <w:rPr>
          <w:rFonts w:hint="default"/>
          <w:lang w:val="en-US" w:eastAsia="zh-CN"/>
        </w:rPr>
      </w:pPr>
    </w:p>
    <w:p w14:paraId="3852FF5A">
      <w:pPr>
        <w:rPr>
          <w:rFonts w:hint="default"/>
          <w:lang w:val="en-US" w:eastAsia="zh-CN"/>
        </w:rPr>
      </w:pPr>
    </w:p>
    <w:p w14:paraId="7D24E48C">
      <w:pPr>
        <w:rPr>
          <w:rFonts w:hint="default"/>
          <w:lang w:val="en-US" w:eastAsia="zh-CN"/>
        </w:rPr>
      </w:pPr>
    </w:p>
    <w:p w14:paraId="3A2600B0">
      <w:pPr>
        <w:rPr>
          <w:rFonts w:hint="default"/>
          <w:lang w:val="en-US" w:eastAsia="zh-CN"/>
        </w:rPr>
      </w:pPr>
    </w:p>
    <w:p w14:paraId="227E3B94">
      <w:pPr>
        <w:rPr>
          <w:rFonts w:hint="default"/>
          <w:lang w:val="en-US" w:eastAsia="zh-CN"/>
        </w:rPr>
      </w:pPr>
    </w:p>
    <w:p w14:paraId="2F6D4BD6">
      <w:pPr>
        <w:rPr>
          <w:rFonts w:hint="default"/>
          <w:lang w:val="en-US" w:eastAsia="zh-CN"/>
        </w:rPr>
      </w:pPr>
    </w:p>
    <w:p w14:paraId="047C6384">
      <w:pPr>
        <w:rPr>
          <w:rFonts w:hint="default"/>
          <w:lang w:val="en-US" w:eastAsia="zh-CN"/>
        </w:rPr>
      </w:pPr>
    </w:p>
    <w:p w14:paraId="73072D37">
      <w:pPr>
        <w:rPr>
          <w:rFonts w:hint="default"/>
          <w:lang w:val="en-US" w:eastAsia="zh-CN"/>
        </w:rPr>
      </w:pPr>
    </w:p>
    <w:p w14:paraId="19BC286B">
      <w:pPr>
        <w:rPr>
          <w:rFonts w:hint="default"/>
          <w:lang w:val="en-US" w:eastAsia="zh-CN"/>
        </w:rPr>
      </w:pPr>
      <w:r>
        <w:rPr>
          <w:rFonts w:hint="default"/>
          <w:lang w:val="en-US" w:eastAsia="zh-CN"/>
        </w:rPr>
        <w:drawing>
          <wp:inline distT="0" distB="0" distL="114300" distR="114300">
            <wp:extent cx="5259705" cy="4623435"/>
            <wp:effectExtent l="0" t="0" r="17145" b="5715"/>
            <wp:docPr id="2" name="图片 2" descr="V-J配对修剪好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V-J配对修剪好的图"/>
                    <pic:cNvPicPr>
                      <a:picLocks noChangeAspect="1"/>
                    </pic:cNvPicPr>
                  </pic:nvPicPr>
                  <pic:blipFill>
                    <a:blip r:embed="rId4"/>
                    <a:stretch>
                      <a:fillRect/>
                    </a:stretch>
                  </pic:blipFill>
                  <pic:spPr>
                    <a:xfrm>
                      <a:off x="0" y="0"/>
                      <a:ext cx="5259705" cy="4623435"/>
                    </a:xfrm>
                    <a:prstGeom prst="rect">
                      <a:avLst/>
                    </a:prstGeom>
                  </pic:spPr>
                </pic:pic>
              </a:graphicData>
            </a:graphic>
          </wp:inline>
        </w:drawing>
      </w:r>
    </w:p>
    <w:p w14:paraId="3E7ED9E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lang w:val="en-US"/>
        </w:rPr>
      </w:pPr>
      <w:r>
        <w:rPr>
          <w:rFonts w:hint="default" w:ascii="Times New Roman" w:hAnsi="Times New Roman" w:cs="Times New Roman"/>
          <w:b/>
          <w:bCs/>
          <w:sz w:val="21"/>
          <w:szCs w:val="21"/>
          <w:lang w:val="en-US" w:eastAsia="zh-CN"/>
        </w:rPr>
        <w:t>Supplementary Fig</w:t>
      </w:r>
      <w:r>
        <w:rPr>
          <w:rFonts w:hint="eastAsia" w:ascii="Times New Roman" w:hAnsi="Times New Roman" w:cs="Times New Roman"/>
          <w:b/>
          <w:bCs/>
          <w:sz w:val="21"/>
          <w:szCs w:val="21"/>
          <w:lang w:val="en-US" w:eastAsia="zh-CN"/>
        </w:rPr>
        <w:t>.</w:t>
      </w:r>
      <w:r>
        <w:rPr>
          <w:rFonts w:hint="default" w:ascii="Times New Roman" w:hAnsi="Times New Roman" w:cs="Times New Roman"/>
          <w:b/>
          <w:bCs/>
          <w:sz w:val="21"/>
          <w:szCs w:val="21"/>
          <w:lang w:val="en-US" w:eastAsia="zh-CN"/>
        </w:rPr>
        <w:t xml:space="preserve"> 1.</w:t>
      </w:r>
      <w:r>
        <w:rPr>
          <w:rFonts w:hint="default" w:ascii="Times New Roman" w:hAnsi="Times New Roman" w:cs="Times New Roman"/>
          <w:sz w:val="21"/>
          <w:szCs w:val="21"/>
          <w:lang w:val="en-US" w:eastAsia="zh-CN"/>
        </w:rPr>
        <w:t xml:space="preserve"> </w:t>
      </w:r>
      <w:r>
        <w:rPr>
          <w:rFonts w:hint="default" w:ascii="Times New Roman" w:hAnsi="Times New Roman" w:eastAsia="var(--s-font-base)" w:cs="Times New Roman"/>
          <w:i w:val="0"/>
          <w:iCs w:val="0"/>
          <w:caps w:val="0"/>
          <w:color w:val="1C1F23"/>
          <w:spacing w:val="0"/>
          <w:kern w:val="0"/>
          <w:sz w:val="21"/>
          <w:szCs w:val="21"/>
          <w:shd w:val="clear" w:fill="FFFFFF"/>
          <w:lang w:val="en-US" w:eastAsia="zh-CN" w:bidi="ar"/>
        </w:rPr>
        <w:t xml:space="preserve">Circos plot of </w:t>
      </w:r>
      <w:r>
        <w:rPr>
          <w:rFonts w:hint="default" w:ascii="Times New Roman" w:hAnsi="Times New Roman" w:eastAsia="var(--s-font-base)" w:cs="Times New Roman"/>
          <w:i/>
          <w:iCs/>
          <w:caps w:val="0"/>
          <w:color w:val="1C1F23"/>
          <w:spacing w:val="0"/>
          <w:kern w:val="0"/>
          <w:sz w:val="21"/>
          <w:szCs w:val="21"/>
          <w:shd w:val="clear" w:fill="FFFFFF"/>
          <w:lang w:val="en-US" w:eastAsia="zh-CN" w:bidi="ar"/>
        </w:rPr>
        <w:t xml:space="preserve">V-J </w:t>
      </w:r>
      <w:r>
        <w:rPr>
          <w:rFonts w:hint="default" w:ascii="Times New Roman" w:hAnsi="Times New Roman" w:eastAsia="var(--s-font-base)" w:cs="Times New Roman"/>
          <w:i w:val="0"/>
          <w:iCs w:val="0"/>
          <w:caps w:val="0"/>
          <w:color w:val="1C1F23"/>
          <w:spacing w:val="0"/>
          <w:kern w:val="0"/>
          <w:sz w:val="21"/>
          <w:szCs w:val="21"/>
          <w:shd w:val="clear" w:fill="FFFFFF"/>
          <w:lang w:val="en-US" w:eastAsia="zh-CN" w:bidi="ar"/>
        </w:rPr>
        <w:t>gene combination frequency</w:t>
      </w:r>
      <w:r>
        <w:rPr>
          <w:rFonts w:hint="eastAsia" w:ascii="Times New Roman" w:hAnsi="Times New Roman" w:eastAsia="var(--s-font-base)" w:cs="Times New Roman"/>
          <w:i w:val="0"/>
          <w:iCs w:val="0"/>
          <w:caps w:val="0"/>
          <w:color w:val="1C1F23"/>
          <w:spacing w:val="0"/>
          <w:kern w:val="0"/>
          <w:sz w:val="21"/>
          <w:szCs w:val="21"/>
          <w:shd w:val="clear" w:fill="FFFFFF"/>
          <w:lang w:val="en-US" w:eastAsia="zh-CN" w:bidi="ar"/>
        </w:rPr>
        <w:t xml:space="preserve">. </w:t>
      </w:r>
      <w:r>
        <w:rPr>
          <w:rFonts w:hint="default" w:ascii="Times New Roman" w:hAnsi="Times New Roman" w:cs="Times New Roman"/>
          <w:b/>
          <w:bCs/>
          <w:sz w:val="21"/>
          <w:szCs w:val="21"/>
          <w:lang w:val="en-US" w:eastAsia="zh-CN"/>
        </w:rPr>
        <w:t>a1-a3</w:t>
      </w:r>
      <w:r>
        <w:rPr>
          <w:rFonts w:hint="default" w:ascii="Times New Roman" w:hAnsi="Times New Roman" w:cs="Times New Roman"/>
          <w:sz w:val="21"/>
          <w:szCs w:val="21"/>
          <w:lang w:val="en-US" w:eastAsia="zh-CN"/>
        </w:rPr>
        <w:t xml:space="preserve"> </w:t>
      </w:r>
      <w:r>
        <w:rPr>
          <w:rFonts w:hint="default" w:ascii="Times New Roman" w:hAnsi="Times New Roman" w:eastAsia="Segoe UI" w:cs="Times New Roman"/>
          <w:i w:val="0"/>
          <w:iCs w:val="0"/>
          <w:caps w:val="0"/>
          <w:spacing w:val="0"/>
          <w:sz w:val="21"/>
          <w:szCs w:val="21"/>
          <w:shd w:val="clear" w:fill="FFFFFF"/>
        </w:rPr>
        <w:t xml:space="preserve">Circos plot of </w:t>
      </w:r>
      <w:r>
        <w:rPr>
          <w:rFonts w:hint="default" w:ascii="Times New Roman" w:hAnsi="Times New Roman" w:eastAsia="Segoe UI" w:cs="Times New Roman"/>
          <w:i/>
          <w:iCs/>
          <w:caps w:val="0"/>
          <w:spacing w:val="0"/>
          <w:sz w:val="21"/>
          <w:szCs w:val="21"/>
          <w:shd w:val="clear" w:fill="FFFFFF"/>
        </w:rPr>
        <w:t>V-J</w:t>
      </w:r>
      <w:r>
        <w:rPr>
          <w:rFonts w:hint="default" w:ascii="Times New Roman" w:hAnsi="Times New Roman" w:eastAsia="Segoe UI" w:cs="Times New Roman"/>
          <w:i w:val="0"/>
          <w:iCs w:val="0"/>
          <w:caps w:val="0"/>
          <w:spacing w:val="0"/>
          <w:sz w:val="21"/>
          <w:szCs w:val="21"/>
          <w:shd w:val="clear" w:fill="FFFFFF"/>
        </w:rPr>
        <w:t xml:space="preserve"> gene combination frequency in Group A</w:t>
      </w:r>
      <w:r>
        <w:rPr>
          <w:rFonts w:hint="eastAsia" w:ascii="Times New Roman" w:hAnsi="Times New Roman" w:eastAsia="宋体" w:cs="Times New Roman"/>
          <w:i w:val="0"/>
          <w:iCs w:val="0"/>
          <w:caps w:val="0"/>
          <w:spacing w:val="0"/>
          <w:sz w:val="21"/>
          <w:szCs w:val="21"/>
          <w:shd w:val="clear" w:fill="FFFFFF"/>
          <w:lang w:val="en-US" w:eastAsia="zh-CN"/>
        </w:rPr>
        <w:t>.</w:t>
      </w:r>
      <w:r>
        <w:rPr>
          <w:rFonts w:hint="eastAsia" w:ascii="Times New Roman" w:hAnsi="Times New Roman" w:eastAsia="宋体" w:cs="Times New Roman"/>
          <w:b/>
          <w:bCs/>
          <w:i w:val="0"/>
          <w:iCs w:val="0"/>
          <w:caps w:val="0"/>
          <w:spacing w:val="0"/>
          <w:sz w:val="21"/>
          <w:szCs w:val="21"/>
          <w:shd w:val="clear" w:fill="FFFFFF"/>
          <w:lang w:val="en-US" w:eastAsia="zh-CN"/>
        </w:rPr>
        <w:t xml:space="preserve"> </w:t>
      </w:r>
      <w:r>
        <w:rPr>
          <w:rFonts w:hint="default" w:ascii="Times New Roman" w:hAnsi="Times New Roman" w:eastAsia="WenQuanYiMicroHei" w:cs="Times New Roman"/>
          <w:b/>
          <w:bCs/>
          <w:color w:val="000000"/>
          <w:kern w:val="0"/>
          <w:sz w:val="21"/>
          <w:szCs w:val="21"/>
          <w:lang w:val="en-US" w:eastAsia="zh-CN" w:bidi="ar"/>
        </w:rPr>
        <w:t xml:space="preserve">b1-b3 </w:t>
      </w:r>
      <w:r>
        <w:rPr>
          <w:rFonts w:hint="default" w:ascii="Times New Roman" w:hAnsi="Times New Roman" w:eastAsia="Segoe UI" w:cs="Times New Roman"/>
          <w:i w:val="0"/>
          <w:iCs w:val="0"/>
          <w:caps w:val="0"/>
          <w:spacing w:val="0"/>
          <w:sz w:val="21"/>
          <w:szCs w:val="21"/>
          <w:shd w:val="clear" w:fill="FFFFFF"/>
        </w:rPr>
        <w:t xml:space="preserve">Circos plot of </w:t>
      </w:r>
      <w:r>
        <w:rPr>
          <w:rFonts w:hint="default" w:ascii="Times New Roman" w:hAnsi="Times New Roman" w:eastAsia="Segoe UI" w:cs="Times New Roman"/>
          <w:i/>
          <w:iCs/>
          <w:caps w:val="0"/>
          <w:spacing w:val="0"/>
          <w:sz w:val="21"/>
          <w:szCs w:val="21"/>
          <w:shd w:val="clear" w:fill="FFFFFF"/>
        </w:rPr>
        <w:t xml:space="preserve">V-J </w:t>
      </w:r>
      <w:r>
        <w:rPr>
          <w:rFonts w:hint="default" w:ascii="Times New Roman" w:hAnsi="Times New Roman" w:eastAsia="Segoe UI" w:cs="Times New Roman"/>
          <w:i w:val="0"/>
          <w:iCs w:val="0"/>
          <w:caps w:val="0"/>
          <w:spacing w:val="0"/>
          <w:sz w:val="21"/>
          <w:szCs w:val="21"/>
          <w:shd w:val="clear" w:fill="FFFFFF"/>
        </w:rPr>
        <w:t xml:space="preserve">gene combination frequency in Group </w:t>
      </w:r>
      <w:r>
        <w:rPr>
          <w:rFonts w:hint="default" w:ascii="Times New Roman" w:hAnsi="Times New Roman" w:eastAsia="宋体" w:cs="Times New Roman"/>
          <w:i w:val="0"/>
          <w:iCs w:val="0"/>
          <w:caps w:val="0"/>
          <w:spacing w:val="0"/>
          <w:sz w:val="21"/>
          <w:szCs w:val="21"/>
          <w:shd w:val="clear" w:fill="FFFFFF"/>
          <w:lang w:val="en-US" w:eastAsia="zh-CN"/>
        </w:rPr>
        <w:t>B</w:t>
      </w:r>
      <w:r>
        <w:rPr>
          <w:rFonts w:hint="eastAsia" w:ascii="Times New Roman" w:hAnsi="Times New Roman" w:eastAsia="宋体" w:cs="Times New Roman"/>
          <w:i w:val="0"/>
          <w:iCs w:val="0"/>
          <w:caps w:val="0"/>
          <w:spacing w:val="0"/>
          <w:sz w:val="21"/>
          <w:szCs w:val="21"/>
          <w:shd w:val="clear" w:fill="FFFFFF"/>
          <w:lang w:val="en-US" w:eastAsia="zh-CN"/>
        </w:rPr>
        <w:t xml:space="preserve">. </w:t>
      </w:r>
      <w:r>
        <w:rPr>
          <w:rFonts w:hint="default" w:ascii="Times New Roman" w:hAnsi="Times New Roman" w:eastAsia="WenQuanYiMicroHei" w:cs="Times New Roman"/>
          <w:b/>
          <w:bCs/>
          <w:color w:val="000000"/>
          <w:kern w:val="0"/>
          <w:sz w:val="21"/>
          <w:szCs w:val="21"/>
          <w:lang w:val="en-US" w:eastAsia="zh-CN" w:bidi="ar"/>
        </w:rPr>
        <w:t>c1-c3</w:t>
      </w:r>
      <w:r>
        <w:rPr>
          <w:rFonts w:hint="default" w:ascii="Times New Roman" w:hAnsi="Times New Roman" w:eastAsia="WenQuanYiMicroHei" w:cs="Times New Roman"/>
          <w:color w:val="000000"/>
          <w:kern w:val="0"/>
          <w:sz w:val="21"/>
          <w:szCs w:val="21"/>
          <w:lang w:val="en-US" w:eastAsia="zh-CN" w:bidi="ar"/>
        </w:rPr>
        <w:t xml:space="preserve"> </w:t>
      </w:r>
      <w:r>
        <w:rPr>
          <w:rFonts w:hint="default" w:ascii="Times New Roman" w:hAnsi="Times New Roman" w:eastAsia="Segoe UI" w:cs="Times New Roman"/>
          <w:i w:val="0"/>
          <w:iCs w:val="0"/>
          <w:caps w:val="0"/>
          <w:spacing w:val="0"/>
          <w:sz w:val="21"/>
          <w:szCs w:val="21"/>
          <w:shd w:val="clear" w:fill="FFFFFF"/>
        </w:rPr>
        <w:t xml:space="preserve">Circos plot of </w:t>
      </w:r>
      <w:r>
        <w:rPr>
          <w:rFonts w:hint="default" w:ascii="Times New Roman" w:hAnsi="Times New Roman" w:eastAsia="Segoe UI" w:cs="Times New Roman"/>
          <w:i/>
          <w:iCs/>
          <w:caps w:val="0"/>
          <w:spacing w:val="0"/>
          <w:sz w:val="21"/>
          <w:szCs w:val="21"/>
          <w:shd w:val="clear" w:fill="FFFFFF"/>
        </w:rPr>
        <w:t>V-J</w:t>
      </w:r>
      <w:r>
        <w:rPr>
          <w:rFonts w:hint="default" w:ascii="Times New Roman" w:hAnsi="Times New Roman" w:eastAsia="Segoe UI" w:cs="Times New Roman"/>
          <w:i w:val="0"/>
          <w:iCs w:val="0"/>
          <w:caps w:val="0"/>
          <w:spacing w:val="0"/>
          <w:sz w:val="21"/>
          <w:szCs w:val="21"/>
          <w:shd w:val="clear" w:fill="FFFFFF"/>
        </w:rPr>
        <w:t xml:space="preserve"> gene combination frequency in Group </w:t>
      </w:r>
      <w:r>
        <w:rPr>
          <w:rFonts w:hint="default" w:ascii="Times New Roman" w:hAnsi="Times New Roman" w:eastAsia="宋体" w:cs="Times New Roman"/>
          <w:i w:val="0"/>
          <w:iCs w:val="0"/>
          <w:caps w:val="0"/>
          <w:spacing w:val="0"/>
          <w:sz w:val="21"/>
          <w:szCs w:val="21"/>
          <w:shd w:val="clear" w:fill="FFFFFF"/>
          <w:lang w:val="en-US" w:eastAsia="zh-CN"/>
        </w:rPr>
        <w:t>C</w:t>
      </w:r>
      <w:r>
        <w:rPr>
          <w:rFonts w:hint="eastAsia" w:ascii="Times New Roman" w:hAnsi="Times New Roman" w:eastAsia="宋体" w:cs="Times New Roman"/>
          <w:i w:val="0"/>
          <w:iCs w:val="0"/>
          <w:caps w:val="0"/>
          <w:spacing w:val="0"/>
          <w:sz w:val="21"/>
          <w:szCs w:val="21"/>
          <w:shd w:val="clear" w:fill="FFFFFF"/>
          <w:lang w:val="en-US" w:eastAsia="zh-CN"/>
        </w:rPr>
        <w:t>.</w:t>
      </w:r>
    </w:p>
    <w:p w14:paraId="6696B9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Segoe UI" w:cs="Times New Roman"/>
          <w:i w:val="0"/>
          <w:iCs w:val="0"/>
          <w:caps w:val="0"/>
          <w:spacing w:val="0"/>
          <w:sz w:val="21"/>
          <w:szCs w:val="21"/>
          <w:shd w:val="clear" w:fill="FFFFFF"/>
        </w:rPr>
        <w:t>Note: Each color block represents a g</w:t>
      </w:r>
      <w:bookmarkStart w:id="0" w:name="_GoBack"/>
      <w:bookmarkEnd w:id="0"/>
      <w:r>
        <w:rPr>
          <w:rFonts w:hint="default" w:ascii="Times New Roman" w:hAnsi="Times New Roman" w:eastAsia="Segoe UI" w:cs="Times New Roman"/>
          <w:i w:val="0"/>
          <w:iCs w:val="0"/>
          <w:caps w:val="0"/>
          <w:spacing w:val="0"/>
          <w:sz w:val="21"/>
          <w:szCs w:val="21"/>
          <w:shd w:val="clear" w:fill="FFFFFF"/>
        </w:rPr>
        <w:t xml:space="preserve">ene, and the wider the color band, the higher the frequency. The connecting lines between color blocks represent a </w:t>
      </w:r>
      <w:r>
        <w:rPr>
          <w:rFonts w:hint="default" w:ascii="Times New Roman" w:hAnsi="Times New Roman" w:eastAsia="Segoe UI" w:cs="Times New Roman"/>
          <w:i/>
          <w:iCs/>
          <w:caps w:val="0"/>
          <w:spacing w:val="0"/>
          <w:sz w:val="21"/>
          <w:szCs w:val="21"/>
          <w:shd w:val="clear" w:fill="FFFFFF"/>
        </w:rPr>
        <w:t>V-J</w:t>
      </w:r>
      <w:r>
        <w:rPr>
          <w:rFonts w:hint="default" w:ascii="Times New Roman" w:hAnsi="Times New Roman" w:eastAsia="Segoe UI" w:cs="Times New Roman"/>
          <w:i w:val="0"/>
          <w:iCs w:val="0"/>
          <w:caps w:val="0"/>
          <w:spacing w:val="0"/>
          <w:sz w:val="21"/>
          <w:szCs w:val="21"/>
          <w:shd w:val="clear" w:fill="FFFFFF"/>
        </w:rPr>
        <w:t xml:space="preserve"> gene combination mode.</w:t>
      </w:r>
    </w:p>
    <w:p w14:paraId="2C720232">
      <w:pPr>
        <w:rPr>
          <w:rFonts w:hint="default"/>
          <w:lang w:val="en-US" w:eastAsia="zh-CN"/>
        </w:rPr>
      </w:pPr>
      <w:r>
        <w:rPr>
          <w:rFonts w:hint="default"/>
          <w:lang w:val="en-US" w:eastAsia="zh-CN"/>
        </w:rPr>
        <w:drawing>
          <wp:inline distT="0" distB="0" distL="114300" distR="114300">
            <wp:extent cx="5268595" cy="4775835"/>
            <wp:effectExtent l="0" t="0" r="8255" b="5715"/>
            <wp:docPr id="4" name="图片 4" descr="D50组图剪切好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0组图剪切好的"/>
                    <pic:cNvPicPr>
                      <a:picLocks noChangeAspect="1"/>
                    </pic:cNvPicPr>
                  </pic:nvPicPr>
                  <pic:blipFill>
                    <a:blip r:embed="rId5"/>
                    <a:stretch>
                      <a:fillRect/>
                    </a:stretch>
                  </pic:blipFill>
                  <pic:spPr>
                    <a:xfrm>
                      <a:off x="0" y="0"/>
                      <a:ext cx="5268595" cy="4775835"/>
                    </a:xfrm>
                    <a:prstGeom prst="rect">
                      <a:avLst/>
                    </a:prstGeom>
                  </pic:spPr>
                </pic:pic>
              </a:graphicData>
            </a:graphic>
          </wp:inline>
        </w:drawing>
      </w:r>
    </w:p>
    <w:p w14:paraId="2B7233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WenQuanYiMicroHei" w:cs="Times New Roman"/>
          <w:color w:val="000000"/>
          <w:kern w:val="0"/>
          <w:sz w:val="21"/>
          <w:szCs w:val="21"/>
          <w:lang w:val="en-US" w:eastAsia="zh-CN" w:bidi="ar"/>
        </w:rPr>
      </w:pPr>
      <w:r>
        <w:rPr>
          <w:rFonts w:hint="default" w:ascii="Times New Roman" w:hAnsi="Times New Roman" w:cs="Times New Roman"/>
          <w:b/>
          <w:bCs/>
          <w:sz w:val="21"/>
          <w:szCs w:val="21"/>
          <w:lang w:val="en-US" w:eastAsia="zh-CN"/>
        </w:rPr>
        <w:t>Supplementary Fig</w:t>
      </w:r>
      <w:r>
        <w:rPr>
          <w:rFonts w:hint="eastAsia" w:ascii="Times New Roman" w:hAnsi="Times New Roman" w:cs="Times New Roman"/>
          <w:b/>
          <w:bCs/>
          <w:sz w:val="21"/>
          <w:szCs w:val="21"/>
          <w:lang w:val="en-US" w:eastAsia="zh-CN"/>
        </w:rPr>
        <w:t>.</w:t>
      </w:r>
      <w:r>
        <w:rPr>
          <w:rFonts w:hint="default" w:ascii="Times New Roman" w:hAnsi="Times New Roman" w:cs="Times New Roman"/>
          <w:b/>
          <w:bCs/>
          <w:sz w:val="21"/>
          <w:szCs w:val="21"/>
          <w:lang w:val="en-US" w:eastAsia="zh-CN"/>
        </w:rPr>
        <w:t xml:space="preserve"> 2. </w:t>
      </w:r>
      <w:r>
        <w:rPr>
          <w:rFonts w:hint="default" w:ascii="Times New Roman" w:hAnsi="Times New Roman" w:eastAsia="Segoe UI" w:cs="Times New Roman"/>
          <w:i w:val="0"/>
          <w:iCs w:val="0"/>
          <w:caps w:val="0"/>
          <w:spacing w:val="0"/>
          <w:sz w:val="21"/>
          <w:szCs w:val="21"/>
          <w:shd w:val="clear" w:fill="FFFFFF"/>
        </w:rPr>
        <w:t>D50 curve diagram of each sample</w:t>
      </w:r>
      <w:r>
        <w:rPr>
          <w:rFonts w:hint="eastAsia" w:ascii="Times New Roman" w:hAnsi="Times New Roman" w:eastAsia="宋体" w:cs="Times New Roman"/>
          <w:i w:val="0"/>
          <w:iCs w:val="0"/>
          <w:caps w:val="0"/>
          <w:spacing w:val="0"/>
          <w:sz w:val="21"/>
          <w:szCs w:val="21"/>
          <w:shd w:val="clear" w:fill="FFFFFF"/>
          <w:lang w:val="en-US" w:eastAsia="zh-CN"/>
        </w:rPr>
        <w:t xml:space="preserve">. </w:t>
      </w:r>
      <w:r>
        <w:rPr>
          <w:rFonts w:hint="default" w:ascii="Times New Roman" w:hAnsi="Times New Roman" w:eastAsia="WenQuanYiMicroHei" w:cs="Times New Roman"/>
          <w:b/>
          <w:bCs/>
          <w:color w:val="000000"/>
          <w:kern w:val="0"/>
          <w:sz w:val="21"/>
          <w:szCs w:val="21"/>
          <w:lang w:val="en-US" w:eastAsia="zh-CN" w:bidi="ar"/>
        </w:rPr>
        <w:t>a1-a3</w:t>
      </w:r>
      <w:r>
        <w:rPr>
          <w:rFonts w:hint="default" w:ascii="Times New Roman" w:hAnsi="Times New Roman" w:eastAsia="WenQuanYiMicroHei" w:cs="Times New Roman"/>
          <w:color w:val="000000"/>
          <w:kern w:val="0"/>
          <w:sz w:val="21"/>
          <w:szCs w:val="21"/>
          <w:lang w:val="en-US" w:eastAsia="zh-CN" w:bidi="ar"/>
        </w:rPr>
        <w:t xml:space="preserve"> D50 curve diagram of samples in Group A</w:t>
      </w:r>
      <w:r>
        <w:rPr>
          <w:rFonts w:hint="eastAsia" w:ascii="Times New Roman" w:hAnsi="Times New Roman" w:eastAsia="WenQuanYiMicroHei" w:cs="Times New Roman"/>
          <w:color w:val="000000"/>
          <w:kern w:val="0"/>
          <w:sz w:val="21"/>
          <w:szCs w:val="21"/>
          <w:lang w:val="en-US" w:eastAsia="zh-CN" w:bidi="ar"/>
        </w:rPr>
        <w:t xml:space="preserve">. </w:t>
      </w:r>
      <w:r>
        <w:rPr>
          <w:rFonts w:hint="default" w:ascii="Times New Roman" w:hAnsi="Times New Roman" w:eastAsia="WenQuanYiMicroHei" w:cs="Times New Roman"/>
          <w:b/>
          <w:bCs/>
          <w:color w:val="000000"/>
          <w:kern w:val="0"/>
          <w:sz w:val="21"/>
          <w:szCs w:val="21"/>
          <w:lang w:val="en-US" w:eastAsia="zh-CN" w:bidi="ar"/>
        </w:rPr>
        <w:t>b1-b3</w:t>
      </w:r>
      <w:r>
        <w:rPr>
          <w:rFonts w:hint="default" w:ascii="Times New Roman" w:hAnsi="Times New Roman" w:eastAsia="WenQuanYiMicroHei" w:cs="Times New Roman"/>
          <w:color w:val="000000"/>
          <w:kern w:val="0"/>
          <w:sz w:val="21"/>
          <w:szCs w:val="21"/>
          <w:lang w:val="en-US" w:eastAsia="zh-CN" w:bidi="ar"/>
        </w:rPr>
        <w:t xml:space="preserve"> D50 curve diagram of samples in Group B</w:t>
      </w:r>
      <w:r>
        <w:rPr>
          <w:rFonts w:hint="eastAsia" w:ascii="Times New Roman" w:hAnsi="Times New Roman" w:eastAsia="WenQuanYiMicroHei" w:cs="Times New Roman"/>
          <w:color w:val="000000"/>
          <w:kern w:val="0"/>
          <w:sz w:val="21"/>
          <w:szCs w:val="21"/>
          <w:lang w:val="en-US" w:eastAsia="zh-CN" w:bidi="ar"/>
        </w:rPr>
        <w:t xml:space="preserve">. </w:t>
      </w:r>
      <w:r>
        <w:rPr>
          <w:rFonts w:hint="default" w:ascii="Times New Roman" w:hAnsi="Times New Roman" w:eastAsia="WenQuanYiMicroHei" w:cs="Times New Roman"/>
          <w:b/>
          <w:bCs/>
          <w:color w:val="000000"/>
          <w:kern w:val="0"/>
          <w:sz w:val="21"/>
          <w:szCs w:val="21"/>
          <w:lang w:val="en-US" w:eastAsia="zh-CN" w:bidi="ar"/>
        </w:rPr>
        <w:t>c1-c3</w:t>
      </w:r>
      <w:r>
        <w:rPr>
          <w:rFonts w:hint="default" w:ascii="Times New Roman" w:hAnsi="Times New Roman" w:eastAsia="WenQuanYiMicroHei" w:cs="Times New Roman"/>
          <w:color w:val="000000"/>
          <w:kern w:val="0"/>
          <w:sz w:val="21"/>
          <w:szCs w:val="21"/>
          <w:lang w:val="en-US" w:eastAsia="zh-CN" w:bidi="ar"/>
        </w:rPr>
        <w:t xml:space="preserve"> D50 curve diagram of samples in Group C</w:t>
      </w:r>
      <w:r>
        <w:rPr>
          <w:rFonts w:hint="eastAsia" w:ascii="Times New Roman" w:hAnsi="Times New Roman" w:eastAsia="WenQuanYiMicroHei" w:cs="Times New Roman"/>
          <w:color w:val="000000"/>
          <w:kern w:val="0"/>
          <w:sz w:val="21"/>
          <w:szCs w:val="21"/>
          <w:lang w:val="en-US" w:eastAsia="zh-CN" w:bidi="ar"/>
        </w:rPr>
        <w:t>.</w:t>
      </w:r>
    </w:p>
    <w:p w14:paraId="554763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WenQuanYiMicroHei" w:cs="Times New Roman"/>
          <w:color w:val="000000"/>
          <w:kern w:val="0"/>
          <w:sz w:val="21"/>
          <w:szCs w:val="21"/>
          <w:lang w:val="en-US" w:eastAsia="zh-CN" w:bidi="ar"/>
        </w:rPr>
      </w:pPr>
      <w:r>
        <w:rPr>
          <w:rFonts w:hint="default" w:ascii="Times New Roman" w:hAnsi="Times New Roman" w:eastAsia="Segoe UI" w:cs="Times New Roman"/>
          <w:i w:val="0"/>
          <w:iCs w:val="0"/>
          <w:caps w:val="0"/>
          <w:spacing w:val="0"/>
          <w:sz w:val="21"/>
          <w:szCs w:val="21"/>
          <w:shd w:val="clear" w:fill="FFFFFF"/>
        </w:rPr>
        <w:t>Note: The X-axis represents the cumulative percentage of sample clone composition, the left Y-axis represents the frequency of a single type of clone, and the right Y-axis represents the cumulative percentage of clone frequency. Each point indicates the specific frequency of an individual clone, and the curve shows the cumulative distribution of all clones. The D50 refers to the position of the clone where the cumulative frequency reaches 50%.</w:t>
      </w:r>
    </w:p>
    <w:p w14:paraId="0ACCD99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ar(--s-font-bas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WenQuanYiMicroHei">
    <w:altName w:val="ksdb"/>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60A9B"/>
    <w:rsid w:val="0C386378"/>
    <w:rsid w:val="0FCA71BD"/>
    <w:rsid w:val="19A70543"/>
    <w:rsid w:val="226C4866"/>
    <w:rsid w:val="246665CA"/>
    <w:rsid w:val="2CD46EB2"/>
    <w:rsid w:val="3B350FC9"/>
    <w:rsid w:val="3C0E5024"/>
    <w:rsid w:val="3F386932"/>
    <w:rsid w:val="46A51B89"/>
    <w:rsid w:val="53BE31B8"/>
    <w:rsid w:val="5F2A78F5"/>
    <w:rsid w:val="6F8E5F9F"/>
    <w:rsid w:val="704534DB"/>
    <w:rsid w:val="70D03E59"/>
    <w:rsid w:val="742D44EF"/>
    <w:rsid w:val="79EF4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258</Words>
  <Characters>1321</Characters>
  <Lines>0</Lines>
  <Paragraphs>0</Paragraphs>
  <TotalTime>10</TotalTime>
  <ScaleCrop>false</ScaleCrop>
  <LinksUpToDate>false</LinksUpToDate>
  <CharactersWithSpaces>1514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2025-07-21T13:00:00Z</dcterms:created>
  <dc:creator>admin</dc:creator>
  <cp:lastModifiedBy>Maryna</cp:lastModifiedBy>
  <dcterms:modified xsi:type="dcterms:W3CDTF">2025-08-22T12:28:22Z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eyJoZGlkIjoiZWI5MTBjYTRlYTRiNGRkZTZlNTI5Yzk0YmM1N2M5YTAiLCJ1c2VySWQiOiI0NTQzNzE1ODYifQ==</vt:lpwstr>
  </property>
  <property fmtid="{D5CDD505-2E9C-101B-9397-08002B2CF9AE}" pid="4" name="ICV">
    <vt:lpwstr>AD2CEFF0F47F437294310D9E3E0AB665_12</vt:lpwstr>
  </property>
</Properties>
</file>