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EBAB66" w14:textId="77777777" w:rsidR="006363A8" w:rsidRPr="00EE7674" w:rsidRDefault="006363A8" w:rsidP="006363A8">
      <w:pPr>
        <w:jc w:val="center"/>
        <w:rPr>
          <w:sz w:val="20"/>
        </w:rPr>
      </w:pPr>
      <w:bookmarkStart w:id="0" w:name="_Hlk202735399"/>
    </w:p>
    <w:p w14:paraId="685A0DB6" w14:textId="77777777" w:rsidR="006363A8" w:rsidRPr="00EE7674" w:rsidRDefault="006363A8" w:rsidP="00EE7674">
      <w:pPr>
        <w:spacing w:line="360" w:lineRule="auto"/>
        <w:rPr>
          <w:sz w:val="20"/>
        </w:rPr>
      </w:pPr>
    </w:p>
    <w:p w14:paraId="61CCF248" w14:textId="77777777" w:rsidR="006363A8" w:rsidRDefault="006363A8" w:rsidP="00EE7674">
      <w:pPr>
        <w:spacing w:line="360" w:lineRule="auto"/>
        <w:jc w:val="center"/>
        <w:rPr>
          <w:b/>
          <w:sz w:val="28"/>
          <w:szCs w:val="28"/>
        </w:rPr>
      </w:pPr>
      <w:r w:rsidRPr="00EE7674">
        <w:rPr>
          <w:b/>
          <w:sz w:val="28"/>
          <w:szCs w:val="28"/>
        </w:rPr>
        <w:t>Supporting Information for</w:t>
      </w:r>
    </w:p>
    <w:p w14:paraId="6E22186B" w14:textId="77777777" w:rsidR="0070024C" w:rsidRPr="00EE7674" w:rsidRDefault="0070024C" w:rsidP="00EE7674">
      <w:pPr>
        <w:spacing w:line="360" w:lineRule="auto"/>
        <w:jc w:val="center"/>
        <w:rPr>
          <w:b/>
          <w:sz w:val="28"/>
          <w:szCs w:val="28"/>
        </w:rPr>
      </w:pPr>
    </w:p>
    <w:p w14:paraId="1C9A9549" w14:textId="56CE3DF2" w:rsidR="006363A8" w:rsidRDefault="005E4C41" w:rsidP="005E4C41">
      <w:pPr>
        <w:jc w:val="center"/>
        <w:rPr>
          <w:b/>
          <w:bCs/>
          <w:sz w:val="28"/>
          <w:szCs w:val="28"/>
        </w:rPr>
      </w:pPr>
      <w:r w:rsidRPr="005E4C41">
        <w:rPr>
          <w:b/>
          <w:bCs/>
          <w:sz w:val="28"/>
          <w:szCs w:val="28"/>
        </w:rPr>
        <w:t>Inverse-Designed Plasmonic Biosensors with LSPR-SPP-Wood Anomaly Coupling Enhenced for Biomolecular Analysis</w:t>
      </w:r>
    </w:p>
    <w:p w14:paraId="7F9CEA7A" w14:textId="77777777" w:rsidR="005E4C41" w:rsidRDefault="005E4C41" w:rsidP="006363A8">
      <w:pPr>
        <w:rPr>
          <w:sz w:val="20"/>
        </w:rPr>
      </w:pPr>
    </w:p>
    <w:p w14:paraId="3782390D" w14:textId="77777777" w:rsidR="00167A3F" w:rsidRPr="00EE7674" w:rsidRDefault="00167A3F" w:rsidP="006363A8">
      <w:pPr>
        <w:rPr>
          <w:sz w:val="20"/>
        </w:rPr>
      </w:pPr>
    </w:p>
    <w:p w14:paraId="715DC4EB" w14:textId="77777777" w:rsidR="006363A8" w:rsidRPr="00EE7674" w:rsidRDefault="006363A8" w:rsidP="006363A8">
      <w:pPr>
        <w:pStyle w:val="AuthorsFull"/>
        <w:spacing w:line="360" w:lineRule="auto"/>
        <w:rPr>
          <w:color w:val="000000" w:themeColor="text1"/>
          <w:lang w:eastAsia="zh-CN"/>
        </w:rPr>
      </w:pPr>
      <w:r w:rsidRPr="00EE7674">
        <w:rPr>
          <w:color w:val="000000" w:themeColor="text1"/>
        </w:rPr>
        <w:t>Yihui Yang</w:t>
      </w:r>
      <w:r w:rsidRPr="00EE7674">
        <w:rPr>
          <w:iCs/>
          <w:vertAlign w:val="superscript"/>
        </w:rPr>
        <w:t>1</w:t>
      </w:r>
      <w:r w:rsidRPr="00EE7674">
        <w:rPr>
          <w:color w:val="000000"/>
        </w:rPr>
        <w:t>*</w:t>
      </w:r>
      <w:r w:rsidRPr="00EE7674">
        <w:rPr>
          <w:color w:val="000000" w:themeColor="text1"/>
        </w:rPr>
        <w:t xml:space="preserve">, </w:t>
      </w:r>
      <w:r w:rsidRPr="00EE7674">
        <w:rPr>
          <w:iCs/>
          <w:color w:val="000000" w:themeColor="text1"/>
        </w:rPr>
        <w:t>Youqian Chen</w:t>
      </w:r>
      <w:r w:rsidRPr="00EE7674">
        <w:rPr>
          <w:iCs/>
          <w:vertAlign w:val="superscript"/>
        </w:rPr>
        <w:t>1</w:t>
      </w:r>
      <w:r w:rsidRPr="00EE7674">
        <w:rPr>
          <w:color w:val="000000"/>
        </w:rPr>
        <w:t>*</w:t>
      </w:r>
      <w:r w:rsidRPr="00EE7674">
        <w:rPr>
          <w:color w:val="000000" w:themeColor="text1"/>
        </w:rPr>
        <w:t>, Rui Li</w:t>
      </w:r>
      <w:r w:rsidRPr="00EE7674">
        <w:rPr>
          <w:iCs/>
          <w:vertAlign w:val="superscript"/>
        </w:rPr>
        <w:t>1</w:t>
      </w:r>
      <w:r w:rsidRPr="00EE7674">
        <w:rPr>
          <w:color w:val="000000" w:themeColor="text1"/>
        </w:rPr>
        <w:t>, Wen Li</w:t>
      </w:r>
      <w:r w:rsidRPr="00EE7674">
        <w:rPr>
          <w:iCs/>
          <w:vertAlign w:val="superscript"/>
        </w:rPr>
        <w:t xml:space="preserve"> 1</w:t>
      </w:r>
      <w:r w:rsidRPr="00EE7674">
        <w:rPr>
          <w:color w:val="000000" w:themeColor="text1"/>
        </w:rPr>
        <w:t>, Mingqian Chen</w:t>
      </w:r>
      <w:r w:rsidRPr="00EE7674">
        <w:rPr>
          <w:iCs/>
          <w:vertAlign w:val="superscript"/>
        </w:rPr>
        <w:t xml:space="preserve"> 1</w:t>
      </w:r>
      <w:r w:rsidRPr="00EE7674">
        <w:rPr>
          <w:color w:val="000000" w:themeColor="text1"/>
        </w:rPr>
        <w:t>, Wenjun Hu</w:t>
      </w:r>
      <w:r w:rsidRPr="00EE7674">
        <w:rPr>
          <w:iCs/>
          <w:vertAlign w:val="superscript"/>
        </w:rPr>
        <w:t>1</w:t>
      </w:r>
      <w:r w:rsidRPr="00EE7674">
        <w:rPr>
          <w:color w:val="000000"/>
        </w:rPr>
        <w:t>†</w:t>
      </w:r>
      <w:r w:rsidRPr="00EE7674">
        <w:rPr>
          <w:color w:val="000000" w:themeColor="text1"/>
        </w:rPr>
        <w:t>,  Gang Logan Liu</w:t>
      </w:r>
      <w:r w:rsidRPr="00EE7674">
        <w:rPr>
          <w:iCs/>
          <w:vertAlign w:val="superscript"/>
        </w:rPr>
        <w:t>1</w:t>
      </w:r>
      <w:r w:rsidRPr="00EE7674">
        <w:rPr>
          <w:color w:val="000000"/>
        </w:rPr>
        <w:t>†</w:t>
      </w:r>
      <w:r w:rsidRPr="00EE7674">
        <w:rPr>
          <w:rFonts w:eastAsia="宋体"/>
          <w:color w:val="000000" w:themeColor="text1"/>
          <w:lang w:eastAsia="zh-CN"/>
        </w:rPr>
        <w:t xml:space="preserve">, </w:t>
      </w:r>
      <w:r w:rsidRPr="00EE7674">
        <w:rPr>
          <w:color w:val="000000" w:themeColor="text1"/>
          <w:spacing w:val="8"/>
          <w:kern w:val="36"/>
        </w:rPr>
        <w:t>Yanan Li</w:t>
      </w:r>
      <w:r w:rsidRPr="00EE7674">
        <w:rPr>
          <w:iCs/>
          <w:vertAlign w:val="superscript"/>
        </w:rPr>
        <w:t>2</w:t>
      </w:r>
      <w:r w:rsidRPr="00EE7674">
        <w:rPr>
          <w:color w:val="000000"/>
        </w:rPr>
        <w:t>†</w:t>
      </w:r>
      <w:r w:rsidRPr="00EE7674">
        <w:rPr>
          <w:rFonts w:eastAsia="宋体"/>
          <w:color w:val="000000" w:themeColor="text1"/>
          <w:lang w:eastAsia="zh-CN"/>
        </w:rPr>
        <w:t xml:space="preserve"> </w:t>
      </w:r>
      <w:r w:rsidRPr="00EE7674">
        <w:rPr>
          <w:color w:val="000000" w:themeColor="text1"/>
        </w:rPr>
        <w:t xml:space="preserve">and </w:t>
      </w:r>
      <w:bookmarkStart w:id="1" w:name="OLE_LINK118"/>
      <w:bookmarkStart w:id="2" w:name="OLE_LINK119"/>
      <w:r w:rsidRPr="00EE7674">
        <w:rPr>
          <w:iCs/>
          <w:color w:val="000000" w:themeColor="text1"/>
        </w:rPr>
        <w:t>Liping Huang</w:t>
      </w:r>
      <w:bookmarkEnd w:id="1"/>
      <w:bookmarkEnd w:id="2"/>
      <w:r w:rsidRPr="00EE7674">
        <w:rPr>
          <w:iCs/>
          <w:vertAlign w:val="superscript"/>
        </w:rPr>
        <w:t>2</w:t>
      </w:r>
      <w:r w:rsidRPr="00EE7674">
        <w:rPr>
          <w:color w:val="000000"/>
        </w:rPr>
        <w:t>†</w:t>
      </w:r>
    </w:p>
    <w:p w14:paraId="35585C70" w14:textId="77777777" w:rsidR="006363A8" w:rsidRPr="00EE7674" w:rsidRDefault="006363A8" w:rsidP="006363A8">
      <w:pPr>
        <w:rPr>
          <w:sz w:val="20"/>
        </w:rPr>
      </w:pPr>
    </w:p>
    <w:p w14:paraId="19DF1247" w14:textId="77777777" w:rsidR="006363A8" w:rsidRPr="00EE7674" w:rsidRDefault="006363A8" w:rsidP="006363A8">
      <w:pPr>
        <w:rPr>
          <w:sz w:val="20"/>
        </w:rPr>
      </w:pPr>
    </w:p>
    <w:p w14:paraId="1DCCDC40" w14:textId="4CDE8E85" w:rsidR="006363A8" w:rsidRPr="00EE7674" w:rsidRDefault="00482EA2" w:rsidP="00482EA2">
      <w:pPr>
        <w:spacing w:line="360" w:lineRule="auto"/>
        <w:rPr>
          <w:sz w:val="20"/>
        </w:rPr>
      </w:pPr>
      <w:r w:rsidRPr="002B42CC">
        <w:rPr>
          <w:b/>
          <w:bCs/>
          <w:szCs w:val="24"/>
        </w:rPr>
        <w:t>Corresponding author</w:t>
      </w:r>
      <w:r>
        <w:rPr>
          <w:b/>
          <w:bCs/>
          <w:szCs w:val="24"/>
        </w:rPr>
        <w:t xml:space="preserve">: </w:t>
      </w:r>
      <w:r w:rsidR="006363A8" w:rsidRPr="00EE7674">
        <w:rPr>
          <w:sz w:val="20"/>
        </w:rPr>
        <w:t>Wenjun Hu</w:t>
      </w:r>
      <w:r w:rsidR="006363A8" w:rsidRPr="00EE7674">
        <w:rPr>
          <w:iCs/>
          <w:vertAlign w:val="superscript"/>
        </w:rPr>
        <w:t>1</w:t>
      </w:r>
      <w:r w:rsidR="006363A8" w:rsidRPr="00EE7674">
        <w:rPr>
          <w:sz w:val="20"/>
        </w:rPr>
        <w:t>,  Gang Logan Liu</w:t>
      </w:r>
      <w:r w:rsidR="006363A8" w:rsidRPr="00EE7674">
        <w:rPr>
          <w:iCs/>
          <w:vertAlign w:val="superscript"/>
        </w:rPr>
        <w:t>1</w:t>
      </w:r>
      <w:r w:rsidR="006363A8" w:rsidRPr="00EE7674">
        <w:rPr>
          <w:sz w:val="20"/>
        </w:rPr>
        <w:t>, Yanan Li</w:t>
      </w:r>
      <w:r w:rsidR="006363A8" w:rsidRPr="00EE7674">
        <w:rPr>
          <w:iCs/>
          <w:vertAlign w:val="superscript"/>
        </w:rPr>
        <w:t>2</w:t>
      </w:r>
      <w:r w:rsidR="006363A8" w:rsidRPr="00EE7674">
        <w:rPr>
          <w:sz w:val="20"/>
        </w:rPr>
        <w:t xml:space="preserve"> and Liping Huang</w:t>
      </w:r>
      <w:r w:rsidR="006363A8" w:rsidRPr="00EE7674">
        <w:rPr>
          <w:iCs/>
          <w:vertAlign w:val="superscript"/>
        </w:rPr>
        <w:t>2</w:t>
      </w:r>
    </w:p>
    <w:p w14:paraId="572A4E67" w14:textId="6652F237" w:rsidR="006363A8" w:rsidRPr="00EE7674" w:rsidRDefault="006363A8" w:rsidP="00482EA2">
      <w:pPr>
        <w:spacing w:line="360" w:lineRule="auto"/>
        <w:rPr>
          <w:sz w:val="20"/>
        </w:rPr>
      </w:pPr>
      <w:r w:rsidRPr="00EE7674">
        <w:rPr>
          <w:b/>
          <w:sz w:val="20"/>
        </w:rPr>
        <w:t xml:space="preserve">Email: </w:t>
      </w:r>
      <w:r w:rsidRPr="00EE7674">
        <w:rPr>
          <w:sz w:val="20"/>
        </w:rPr>
        <w:t xml:space="preserve"> </w:t>
      </w:r>
      <w:r w:rsidR="00E069F6" w:rsidRPr="00EE7674">
        <w:rPr>
          <w:color w:val="000000" w:themeColor="text1"/>
        </w:rPr>
        <w:t>hu wenjun@hust.edu.cn</w:t>
      </w:r>
      <w:r w:rsidR="00E069F6" w:rsidRPr="00EE7674">
        <w:rPr>
          <w:rFonts w:eastAsia="DengXian"/>
          <w:color w:val="000000" w:themeColor="text1"/>
          <w:kern w:val="2"/>
          <w:lang w:eastAsia="zh-CN"/>
        </w:rPr>
        <w:t>(W. Hu)</w:t>
      </w:r>
      <w:r w:rsidR="00E069F6" w:rsidRPr="00EE7674">
        <w:rPr>
          <w:rFonts w:eastAsia="DengXian"/>
          <w:color w:val="000000" w:themeColor="text1"/>
          <w:kern w:val="2"/>
        </w:rPr>
        <w:t xml:space="preserve"> ;</w:t>
      </w:r>
      <w:r w:rsidR="00E069F6" w:rsidRPr="00EE7674">
        <w:rPr>
          <w:rFonts w:eastAsia="DengXian"/>
          <w:color w:val="000000" w:themeColor="text1"/>
          <w:kern w:val="2"/>
          <w:lang w:eastAsia="zh-CN"/>
        </w:rPr>
        <w:t xml:space="preserve"> </w:t>
      </w:r>
      <w:hyperlink r:id="rId10" w:history="1">
        <w:r w:rsidR="00E069F6" w:rsidRPr="00EE7674">
          <w:rPr>
            <w:rFonts w:eastAsia="DengXian"/>
            <w:color w:val="000000" w:themeColor="text1"/>
            <w:kern w:val="2"/>
          </w:rPr>
          <w:t>loganliu@hust.edu.cn</w:t>
        </w:r>
      </w:hyperlink>
      <w:r w:rsidR="00E069F6" w:rsidRPr="00EE7674">
        <w:rPr>
          <w:rFonts w:eastAsia="DengXian"/>
          <w:color w:val="000000" w:themeColor="text1"/>
          <w:kern w:val="2"/>
        </w:rPr>
        <w:t>(Gang L. Liu)</w:t>
      </w:r>
      <w:r w:rsidR="00E069F6" w:rsidRPr="00EE7674">
        <w:rPr>
          <w:rFonts w:eastAsia="DengXian"/>
          <w:color w:val="000000" w:themeColor="text1"/>
          <w:kern w:val="2"/>
          <w:lang w:eastAsia="zh-CN"/>
        </w:rPr>
        <w:t xml:space="preserve">; liyanan@njnu.edu.cn (Y.L.); </w:t>
      </w:r>
      <w:bookmarkStart w:id="3" w:name="OLE_LINK62"/>
      <w:bookmarkStart w:id="4" w:name="OLE_LINK63"/>
      <w:r w:rsidR="00E069F6" w:rsidRPr="00EE7674">
        <w:rPr>
          <w:rFonts w:eastAsia="DengXian"/>
          <w:color w:val="000000" w:themeColor="text1"/>
          <w:kern w:val="2"/>
        </w:rPr>
        <w:t>lphuang@</w:t>
      </w:r>
      <w:r w:rsidR="00E069F6" w:rsidRPr="00EE7674">
        <w:rPr>
          <w:rFonts w:eastAsia="DengXian"/>
          <w:color w:val="000000" w:themeColor="text1"/>
          <w:kern w:val="2"/>
          <w:lang w:eastAsia="zh-CN"/>
        </w:rPr>
        <w:t>nnu.edu.c</w:t>
      </w:r>
      <w:bookmarkEnd w:id="3"/>
      <w:bookmarkEnd w:id="4"/>
      <w:r w:rsidR="00E069F6" w:rsidRPr="00EE7674">
        <w:rPr>
          <w:rFonts w:eastAsia="DengXian"/>
          <w:color w:val="000000" w:themeColor="text1"/>
          <w:kern w:val="2"/>
          <w:lang w:eastAsia="zh-CN"/>
        </w:rPr>
        <w:t>n</w:t>
      </w:r>
      <w:r w:rsidR="00E069F6" w:rsidRPr="00EE7674">
        <w:rPr>
          <w:rFonts w:eastAsia="DengXian"/>
          <w:color w:val="000000" w:themeColor="text1"/>
          <w:kern w:val="2"/>
        </w:rPr>
        <w:t>(L. Huang)</w:t>
      </w:r>
    </w:p>
    <w:p w14:paraId="0D0EA661" w14:textId="77777777" w:rsidR="006363A8" w:rsidRPr="00EE7674" w:rsidRDefault="006363A8" w:rsidP="00482EA2">
      <w:pPr>
        <w:spacing w:line="360" w:lineRule="auto"/>
        <w:rPr>
          <w:sz w:val="20"/>
        </w:rPr>
      </w:pPr>
    </w:p>
    <w:p w14:paraId="06118C5E" w14:textId="77777777" w:rsidR="006363A8" w:rsidRPr="00EE7674" w:rsidRDefault="006363A8" w:rsidP="00482EA2">
      <w:pPr>
        <w:spacing w:line="360" w:lineRule="auto"/>
        <w:rPr>
          <w:b/>
          <w:sz w:val="20"/>
        </w:rPr>
      </w:pPr>
    </w:p>
    <w:p w14:paraId="6A429D4E" w14:textId="77777777" w:rsidR="006363A8" w:rsidRPr="00EE7674" w:rsidRDefault="006363A8" w:rsidP="00482EA2">
      <w:pPr>
        <w:spacing w:line="360" w:lineRule="auto"/>
        <w:rPr>
          <w:b/>
          <w:sz w:val="20"/>
        </w:rPr>
      </w:pPr>
      <w:r w:rsidRPr="00EE7674">
        <w:rPr>
          <w:b/>
          <w:sz w:val="20"/>
        </w:rPr>
        <w:t>This PDF file includes:</w:t>
      </w:r>
    </w:p>
    <w:p w14:paraId="1899AB28" w14:textId="77777777" w:rsidR="006363A8" w:rsidRPr="00EE7674" w:rsidRDefault="006363A8" w:rsidP="00482EA2">
      <w:pPr>
        <w:spacing w:line="360" w:lineRule="auto"/>
        <w:rPr>
          <w:sz w:val="20"/>
        </w:rPr>
      </w:pPr>
    </w:p>
    <w:p w14:paraId="5A47CDA2" w14:textId="77777777" w:rsidR="006363A8" w:rsidRPr="00EE7674" w:rsidRDefault="006363A8" w:rsidP="00482EA2">
      <w:pPr>
        <w:spacing w:line="360" w:lineRule="auto"/>
        <w:ind w:left="720"/>
        <w:rPr>
          <w:sz w:val="20"/>
        </w:rPr>
      </w:pPr>
      <w:r w:rsidRPr="00EE7674">
        <w:rPr>
          <w:sz w:val="20"/>
        </w:rPr>
        <w:t>Supporting text</w:t>
      </w:r>
    </w:p>
    <w:p w14:paraId="0FA8B139" w14:textId="16F747C9" w:rsidR="006363A8" w:rsidRPr="00EE7674" w:rsidRDefault="006363A8" w:rsidP="00482EA2">
      <w:pPr>
        <w:spacing w:line="360" w:lineRule="auto"/>
        <w:ind w:left="720"/>
        <w:rPr>
          <w:sz w:val="20"/>
        </w:rPr>
      </w:pPr>
      <w:r w:rsidRPr="00EE7674">
        <w:rPr>
          <w:sz w:val="20"/>
        </w:rPr>
        <w:t>Figures S1 to S2</w:t>
      </w:r>
      <w:r w:rsidR="00167A3F">
        <w:rPr>
          <w:sz w:val="20"/>
        </w:rPr>
        <w:t>6</w:t>
      </w:r>
    </w:p>
    <w:p w14:paraId="55A3845D" w14:textId="77777777" w:rsidR="006363A8" w:rsidRPr="00EE7674" w:rsidRDefault="006363A8" w:rsidP="00482EA2">
      <w:pPr>
        <w:spacing w:line="360" w:lineRule="auto"/>
        <w:ind w:left="720"/>
        <w:rPr>
          <w:sz w:val="20"/>
        </w:rPr>
      </w:pPr>
      <w:r w:rsidRPr="00EE7674">
        <w:rPr>
          <w:sz w:val="20"/>
        </w:rPr>
        <w:t>Tables S1 to S2</w:t>
      </w:r>
    </w:p>
    <w:p w14:paraId="7D19C783" w14:textId="77777777" w:rsidR="006363A8" w:rsidRPr="00EE7674" w:rsidRDefault="006363A8" w:rsidP="00482EA2">
      <w:pPr>
        <w:spacing w:line="360" w:lineRule="auto"/>
        <w:ind w:left="720"/>
        <w:rPr>
          <w:sz w:val="20"/>
        </w:rPr>
      </w:pPr>
      <w:r w:rsidRPr="00EE7674">
        <w:rPr>
          <w:sz w:val="20"/>
        </w:rPr>
        <w:t xml:space="preserve">SI References </w:t>
      </w:r>
    </w:p>
    <w:p w14:paraId="6107E3B9" w14:textId="77777777" w:rsidR="006363A8" w:rsidRPr="00EE7674" w:rsidRDefault="006363A8" w:rsidP="006363A8">
      <w:pPr>
        <w:rPr>
          <w:sz w:val="20"/>
        </w:rPr>
      </w:pPr>
    </w:p>
    <w:p w14:paraId="06B82912" w14:textId="77777777" w:rsidR="006363A8" w:rsidRPr="00EE7674" w:rsidRDefault="006363A8" w:rsidP="006363A8">
      <w:pPr>
        <w:rPr>
          <w:b/>
          <w:bCs/>
          <w:kern w:val="32"/>
          <w:sz w:val="20"/>
        </w:rPr>
      </w:pPr>
      <w:r w:rsidRPr="00EE7674">
        <w:rPr>
          <w:sz w:val="20"/>
        </w:rPr>
        <w:br w:type="page"/>
      </w:r>
    </w:p>
    <w:p w14:paraId="1EC331CC" w14:textId="77777777" w:rsidR="0046486F" w:rsidRPr="00EE7674" w:rsidRDefault="0046486F" w:rsidP="0046486F">
      <w:pPr>
        <w:pStyle w:val="1"/>
        <w:rPr>
          <w:color w:val="000000" w:themeColor="text1"/>
        </w:rPr>
      </w:pPr>
      <w:r w:rsidRPr="00EE7674">
        <w:rPr>
          <w:color w:val="000000" w:themeColor="text1"/>
        </w:rPr>
        <w:lastRenderedPageBreak/>
        <w:t xml:space="preserve">S1. Principle for metasurface plasma excitation </w:t>
      </w:r>
    </w:p>
    <w:p w14:paraId="415A276A" w14:textId="54BECE87" w:rsidR="0046486F" w:rsidRPr="00EE7674" w:rsidRDefault="0046486F" w:rsidP="0046486F">
      <w:pPr>
        <w:spacing w:line="360" w:lineRule="auto"/>
        <w:ind w:firstLineChars="200" w:firstLine="480"/>
        <w:rPr>
          <w:color w:val="000000" w:themeColor="text1"/>
          <w:lang w:val="en-IN"/>
        </w:rPr>
      </w:pPr>
      <w:r w:rsidRPr="00EE7674">
        <w:rPr>
          <w:color w:val="000000" w:themeColor="text1"/>
          <w:lang w:val="en-IN"/>
        </w:rPr>
        <w:t>The wave propagates along the metal dielectric interface, and its lateral extension gradually decays to both sides of the interface (rapidly decays away from the interface). Compared to the metal side, the attenuation wave has a longer penetration length in the dielectric.</w:t>
      </w:r>
      <w:r w:rsidRPr="00EE7674">
        <w:rPr>
          <w:color w:val="000000" w:themeColor="text1"/>
          <w:lang w:val="en-IN"/>
        </w:rPr>
        <w:fldChar w:fldCharType="begin"/>
      </w:r>
      <w:r w:rsidR="00C9505E">
        <w:rPr>
          <w:color w:val="000000" w:themeColor="text1"/>
          <w:lang w:val="en-IN"/>
        </w:rPr>
        <w:instrText xml:space="preserve"> ADDIN ZOTERO_ITEM CSL_CITATION {"citationID":"X7bJ3eLH","properties":{"formattedCitation":"[1]","plainCitation":"[1]","noteIndex":0},"citationItems":[{"id":1201,"uris":["http://zotero.org/users/local/389ubzLc/items/VC93Y7GD"],"itemData":{"id":1201,"type":"chapter","abstract":"Biosensing requires a highly sensitive real-time detection of the biomolecules. These properties are granted by nanoplasmonic sensing techniques. SPR-based optical sensors have evolved as a sensitive and versatile biosensing tool. A growing number of SPR-based sensing applications in the solution of clinical problems are reported in the recent years. This refers to the point that these sensors provide label-free detection of the living cells and non-destructive analysis techniques. In this study, we will review the mechanism of the detection in SPR biosensing, followed by the methods used to develop sensors to detect gases and the chemical, biological, and molecular interaction. The device sensitivity improvement based on plasmonic effects is also addressed in this study, and accordingly, the size and material dependence of the resonance frequency are discussed. The reviewed articles are categorized into three groups, depending on the SPR excitation configuration. In the first group of the sensors, the sensitivity of LSPR-based sensors in prism coupler configurations is reviewed. The second group, SPR excitation by optical fiber, slightly improved the sensitivity of the detections. The unique capability of the third group, photonic crystal fiber SPR sensors, in providing greatly improved sensitivity, generated a vast field of researches and applications in biosensing devices.","container-title":"Recent Advances in Nanophotonics - Fundamentals and Applications","ISBN":"978-1-83962-843-6","language":"en","license":"https://creativecommons.org/licenses/by/3.0/legalcode","note":"DOI: 10.5772/intechopen.93001","publisher":"IntechOpen","source":"DOI.org (Crossref)","title":"Principles and Applications of Nanoplasmonics in Biological and Chemical Sensing: A Review","title-short":"Principles and Applications of Nanoplasmonics in Biological and Chemical Sensing","URL":"https://www.intechopen.com/books/recent-advances-in-nanophotonics-fundamentals-and-applications/principles-and-applications-of-nanoplasmonics-in-biological-and-chemical-sensing-a-review","editor":[{"family":"Kahrizi","given":"Mojtaba"},{"family":"A. Sohi","given":"Parsoua"}],"author":[{"family":"A. Sohi","given":"Parsoua"},{"family":"Kahrizi","given":"Mojtaba"}],"accessed":{"date-parts":[["2025",1,2]]},"issued":{"date-parts":[["2020",11,26]]}}}],"schema":"https://github.com/citation-style-language/schema/raw/master/csl-citation.json"} </w:instrText>
      </w:r>
      <w:r w:rsidRPr="00EE7674">
        <w:rPr>
          <w:color w:val="000000" w:themeColor="text1"/>
          <w:lang w:val="en-IN"/>
        </w:rPr>
        <w:fldChar w:fldCharType="separate"/>
      </w:r>
      <w:r w:rsidR="00C9505E">
        <w:rPr>
          <w:color w:val="000000"/>
          <w:szCs w:val="24"/>
        </w:rPr>
        <w:t>[1]</w:t>
      </w:r>
      <w:r w:rsidRPr="00EE7674">
        <w:rPr>
          <w:color w:val="000000" w:themeColor="text1"/>
          <w:lang w:val="en-IN"/>
        </w:rPr>
        <w:fldChar w:fldCharType="end"/>
      </w:r>
    </w:p>
    <w:p w14:paraId="3AA6F236" w14:textId="2E4DEDD3" w:rsidR="0046486F" w:rsidRPr="00EE7674" w:rsidRDefault="0046486F" w:rsidP="0046486F">
      <w:pPr>
        <w:spacing w:line="360" w:lineRule="auto"/>
        <w:ind w:firstLineChars="200" w:firstLine="480"/>
        <w:rPr>
          <w:color w:val="000000" w:themeColor="text1"/>
          <w:lang w:val="en-IN"/>
        </w:rPr>
      </w:pPr>
      <w:r w:rsidRPr="00EE7674">
        <w:rPr>
          <w:color w:val="000000" w:themeColor="text1"/>
          <w:lang w:val="en-IN"/>
        </w:rPr>
        <w:t>In addition, the dispersion relation is shown for the surface plasmon polaritons (SPPs) at an interface of two materials is:</w:t>
      </w:r>
      <w:r w:rsidRPr="00EE7674">
        <w:rPr>
          <w:color w:val="000000" w:themeColor="text1"/>
          <w:lang w:val="en-IN"/>
        </w:rPr>
        <w:fldChar w:fldCharType="begin"/>
      </w:r>
      <w:r w:rsidR="00C9505E">
        <w:rPr>
          <w:color w:val="000000" w:themeColor="text1"/>
          <w:lang w:val="en-IN"/>
        </w:rPr>
        <w:instrText xml:space="preserve"> ADDIN ZOTERO_ITEM CSL_CITATION {"citationID":"Levf59UM","properties":{"formattedCitation":"[2]","plainCitation":"[2]","noteIndex":0},"citationItems":[{"id":1194,"uris":["http://zotero.org/users/local/389ubzLc/items/J3R9KT76"],"itemData":{"id":1194,"type":"book","collection-title":"Springer Tracts in Modern Physics","event-place":"Berlin, Heidelberg","ISBN":"978-3-540-17363-2","license":"http://www.springer.com/tdm","note":"DOI: 10.1007/BFb0048317","publisher":"Springer Berlin Heidelberg","publisher-place":"Berlin, Heidelberg","source":"DOI.org (Crossref)","title":"Surface Plasmons on Smooth and Rough Surfaces and on Gratings","URL":"http://link.springer.com/10.1007/BFb0048317","volume":"111","author":[{"family":"Raether","given":"Heinz"}],"accessed":{"date-parts":[["2025",1,2]]},"issued":{"date-parts":[["1988"]]}}}],"schema":"https://github.com/citation-style-language/schema/raw/master/csl-citation.json"} </w:instrText>
      </w:r>
      <w:r w:rsidRPr="00EE7674">
        <w:rPr>
          <w:color w:val="000000" w:themeColor="text1"/>
          <w:lang w:val="en-IN"/>
        </w:rPr>
        <w:fldChar w:fldCharType="separate"/>
      </w:r>
      <w:r w:rsidR="00C9505E">
        <w:rPr>
          <w:color w:val="000000"/>
          <w:szCs w:val="24"/>
        </w:rPr>
        <w:t>[2]</w:t>
      </w:r>
      <w:r w:rsidRPr="00EE7674">
        <w:rPr>
          <w:color w:val="000000" w:themeColor="text1"/>
          <w:lang w:val="en-IN"/>
        </w:rPr>
        <w:fldChar w:fldCharType="end"/>
      </w:r>
    </w:p>
    <w:tbl>
      <w:tblPr>
        <w:tblStyle w:val="affff9"/>
        <w:tblW w:w="829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3"/>
        <w:gridCol w:w="1063"/>
      </w:tblGrid>
      <w:tr w:rsidR="0046486F" w:rsidRPr="00EE7674" w14:paraId="18C1B5BE" w14:textId="77777777" w:rsidTr="0075620E">
        <w:tc>
          <w:tcPr>
            <w:tcW w:w="7233" w:type="dxa"/>
            <w:vAlign w:val="center"/>
          </w:tcPr>
          <w:p w14:paraId="31A6E041" w14:textId="77777777" w:rsidR="0046486F" w:rsidRPr="00EE7674" w:rsidRDefault="00000000" w:rsidP="0075620E">
            <w:pPr>
              <w:spacing w:line="360" w:lineRule="auto"/>
              <w:jc w:val="center"/>
              <w:rPr>
                <w:rFonts w:ascii="Times New Roman" w:hAnsi="Times New Roman" w:cs="Times New Roman"/>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k</m:t>
                    </m:r>
                  </m:e>
                  <m:sub>
                    <m:r>
                      <w:rPr>
                        <w:rFonts w:ascii="Cambria Math" w:hAnsi="Cambria Math" w:cs="Times New Roman"/>
                        <w:color w:val="000000" w:themeColor="text1"/>
                      </w:rPr>
                      <m:t>spp</m:t>
                    </m:r>
                  </m:sub>
                </m:sSub>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ω</m:t>
                    </m:r>
                  </m:num>
                  <m:den>
                    <m:r>
                      <w:rPr>
                        <w:rFonts w:ascii="Cambria Math" w:hAnsi="Cambria Math" w:cs="Times New Roman"/>
                        <w:color w:val="000000" w:themeColor="text1"/>
                      </w:rPr>
                      <m:t>c</m:t>
                    </m:r>
                  </m:den>
                </m:f>
                <m:rad>
                  <m:radPr>
                    <m:degHide m:val="1"/>
                    <m:ctrlPr>
                      <w:rPr>
                        <w:rFonts w:ascii="Cambria Math" w:hAnsi="Cambria Math" w:cs="Times New Roman"/>
                        <w:i/>
                        <w:color w:val="000000" w:themeColor="text1"/>
                      </w:rPr>
                    </m:ctrlPr>
                  </m:radPr>
                  <m:deg/>
                  <m:e>
                    <m:f>
                      <m:fPr>
                        <m:ctrlPr>
                          <w:rPr>
                            <w:rFonts w:ascii="Cambria Math" w:hAnsi="Cambria Math" w:cs="Times New Roman"/>
                            <w:i/>
                            <w:color w:val="000000" w:themeColor="text1"/>
                          </w:rPr>
                        </m:ctrlPr>
                      </m:fPr>
                      <m:num>
                        <m:sSub>
                          <m:sSubPr>
                            <m:ctrlPr>
                              <w:rPr>
                                <w:rFonts w:ascii="Cambria Math" w:hAnsi="Cambria Math" w:cs="Times New Roman"/>
                                <w:i/>
                                <w:iCs/>
                                <w:color w:val="000000" w:themeColor="text1"/>
                                <w:sz w:val="22"/>
                              </w:rPr>
                            </m:ctrlPr>
                          </m:sSubPr>
                          <m:e>
                            <m:r>
                              <w:rPr>
                                <w:rFonts w:ascii="Cambria Math" w:hAnsi="Cambria Math" w:cs="Times New Roman"/>
                                <w:color w:val="000000" w:themeColor="text1"/>
                                <w:sz w:val="22"/>
                              </w:rPr>
                              <m:t>ε</m:t>
                            </m:r>
                          </m:e>
                          <m:sub>
                            <m:r>
                              <w:rPr>
                                <w:rFonts w:ascii="Cambria Math" w:hAnsi="Cambria Math" w:cs="Times New Roman"/>
                                <w:color w:val="000000" w:themeColor="text1"/>
                                <w:sz w:val="22"/>
                              </w:rPr>
                              <m:t>m</m:t>
                            </m:r>
                          </m:sub>
                        </m:sSub>
                        <m:sSub>
                          <m:sSubPr>
                            <m:ctrlPr>
                              <w:rPr>
                                <w:rFonts w:ascii="Cambria Math" w:hAnsi="Cambria Math" w:cs="Times New Roman"/>
                                <w:i/>
                                <w:iCs/>
                                <w:color w:val="000000" w:themeColor="text1"/>
                                <w:sz w:val="22"/>
                              </w:rPr>
                            </m:ctrlPr>
                          </m:sSubPr>
                          <m:e>
                            <m:r>
                              <w:rPr>
                                <w:rFonts w:ascii="Cambria Math" w:hAnsi="Cambria Math" w:cs="Times New Roman"/>
                                <w:color w:val="000000" w:themeColor="text1"/>
                                <w:sz w:val="22"/>
                              </w:rPr>
                              <m:t>ε</m:t>
                            </m:r>
                          </m:e>
                          <m:sub>
                            <m:r>
                              <w:rPr>
                                <w:rFonts w:ascii="Cambria Math" w:hAnsi="Cambria Math" w:cs="Times New Roman"/>
                                <w:color w:val="000000" w:themeColor="text1"/>
                                <w:sz w:val="22"/>
                              </w:rPr>
                              <m:t>d</m:t>
                            </m:r>
                          </m:sub>
                        </m:sSub>
                      </m:num>
                      <m:den>
                        <m:sSub>
                          <m:sSubPr>
                            <m:ctrlPr>
                              <w:rPr>
                                <w:rFonts w:ascii="Cambria Math" w:hAnsi="Cambria Math" w:cs="Times New Roman"/>
                                <w:i/>
                                <w:iCs/>
                                <w:color w:val="000000" w:themeColor="text1"/>
                                <w:sz w:val="22"/>
                              </w:rPr>
                            </m:ctrlPr>
                          </m:sSubPr>
                          <m:e>
                            <m:r>
                              <w:rPr>
                                <w:rFonts w:ascii="Cambria Math" w:hAnsi="Cambria Math" w:cs="Times New Roman"/>
                                <w:color w:val="000000" w:themeColor="text1"/>
                                <w:sz w:val="22"/>
                              </w:rPr>
                              <m:t>ε</m:t>
                            </m:r>
                          </m:e>
                          <m:sub>
                            <m:r>
                              <w:rPr>
                                <w:rFonts w:ascii="Cambria Math" w:hAnsi="Cambria Math" w:cs="Times New Roman"/>
                                <w:color w:val="000000" w:themeColor="text1"/>
                                <w:sz w:val="22"/>
                              </w:rPr>
                              <m:t>m</m:t>
                            </m:r>
                          </m:sub>
                        </m:sSub>
                        <m:r>
                          <w:rPr>
                            <w:rFonts w:ascii="Cambria Math" w:hAnsi="Cambria Math" w:cs="Times New Roman"/>
                            <w:color w:val="000000" w:themeColor="text1"/>
                            <w:sz w:val="22"/>
                          </w:rPr>
                          <m:t>+</m:t>
                        </m:r>
                        <m:sSub>
                          <m:sSubPr>
                            <m:ctrlPr>
                              <w:rPr>
                                <w:rFonts w:ascii="Cambria Math" w:hAnsi="Cambria Math" w:cs="Times New Roman"/>
                                <w:i/>
                                <w:iCs/>
                                <w:color w:val="000000" w:themeColor="text1"/>
                                <w:sz w:val="22"/>
                              </w:rPr>
                            </m:ctrlPr>
                          </m:sSubPr>
                          <m:e>
                            <m:r>
                              <w:rPr>
                                <w:rFonts w:ascii="Cambria Math" w:hAnsi="Cambria Math" w:cs="Times New Roman"/>
                                <w:color w:val="000000" w:themeColor="text1"/>
                                <w:sz w:val="22"/>
                              </w:rPr>
                              <m:t>ε</m:t>
                            </m:r>
                          </m:e>
                          <m:sub>
                            <m:r>
                              <w:rPr>
                                <w:rFonts w:ascii="Cambria Math" w:hAnsi="Cambria Math" w:cs="Times New Roman"/>
                                <w:color w:val="000000" w:themeColor="text1"/>
                                <w:sz w:val="22"/>
                              </w:rPr>
                              <m:t>d</m:t>
                            </m:r>
                          </m:sub>
                        </m:sSub>
                      </m:den>
                    </m:f>
                  </m:e>
                </m:rad>
              </m:oMath>
            </m:oMathPara>
          </w:p>
        </w:tc>
        <w:tc>
          <w:tcPr>
            <w:tcW w:w="1063" w:type="dxa"/>
            <w:vAlign w:val="center"/>
          </w:tcPr>
          <w:p w14:paraId="69F5E0E6" w14:textId="77777777" w:rsidR="0046486F" w:rsidRPr="00EE7674" w:rsidRDefault="0046486F" w:rsidP="0075620E">
            <w:pPr>
              <w:spacing w:line="360" w:lineRule="auto"/>
              <w:jc w:val="center"/>
              <w:rPr>
                <w:rFonts w:ascii="Times New Roman" w:hAnsi="Times New Roman" w:cs="Times New Roman"/>
                <w:color w:val="000000" w:themeColor="text1"/>
              </w:rPr>
            </w:pPr>
            <w:r w:rsidRPr="00EE7674">
              <w:rPr>
                <w:rFonts w:ascii="Times New Roman" w:hAnsi="Times New Roman" w:cs="Times New Roman"/>
                <w:color w:val="000000" w:themeColor="text1"/>
              </w:rPr>
              <w:t>(S1)</w:t>
            </w:r>
          </w:p>
        </w:tc>
      </w:tr>
    </w:tbl>
    <w:p w14:paraId="5A65F9DC" w14:textId="5F301609" w:rsidR="0046486F" w:rsidRPr="00EE7674" w:rsidRDefault="0046486F" w:rsidP="0046486F">
      <w:pPr>
        <w:spacing w:line="360" w:lineRule="auto"/>
        <w:ind w:firstLineChars="200" w:firstLine="480"/>
        <w:rPr>
          <w:color w:val="000000" w:themeColor="text1"/>
          <w:lang w:val="en-IN"/>
        </w:rPr>
      </w:pPr>
      <w:r w:rsidRPr="00EE7674">
        <w:rPr>
          <w:color w:val="000000" w:themeColor="text1"/>
          <w:lang w:val="en-IN"/>
        </w:rPr>
        <w:t xml:space="preserve">Where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spp</m:t>
            </m:r>
          </m:sub>
        </m:sSub>
      </m:oMath>
      <w:r w:rsidRPr="00EE7674">
        <w:rPr>
          <w:color w:val="000000" w:themeColor="text1"/>
          <w:lang w:val="en-IN"/>
        </w:rPr>
        <w:t xml:space="preserve"> is the SPP momentum, ω is the frequency, and c is the velocity of light</w:t>
      </w:r>
      <w:r w:rsidRPr="00EE7674">
        <w:rPr>
          <w:color w:val="000000" w:themeColor="text1"/>
        </w:rPr>
        <w:t>,</w:t>
      </w:r>
      <w:r w:rsidRPr="00EE7674">
        <w:rPr>
          <w:i/>
          <w:iCs/>
          <w:color w:val="000000" w:themeColor="text1"/>
          <w:sz w:val="22"/>
        </w:rPr>
        <w:t xml:space="preserve"> </w:t>
      </w:r>
      <m:oMath>
        <m:sSub>
          <m:sSubPr>
            <m:ctrlPr>
              <w:rPr>
                <w:rFonts w:ascii="Cambria Math" w:hAnsi="Cambria Math"/>
                <w:i/>
                <w:iCs/>
                <w:color w:val="000000" w:themeColor="text1"/>
                <w:sz w:val="22"/>
              </w:rPr>
            </m:ctrlPr>
          </m:sSubPr>
          <m:e>
            <m:r>
              <w:rPr>
                <w:rFonts w:ascii="Cambria Math" w:hAnsi="Cambria Math"/>
                <w:color w:val="000000" w:themeColor="text1"/>
                <w:sz w:val="22"/>
              </w:rPr>
              <m:t>ε</m:t>
            </m:r>
          </m:e>
          <m:sub>
            <m:r>
              <w:rPr>
                <w:rFonts w:ascii="Cambria Math" w:hAnsi="Cambria Math"/>
                <w:color w:val="000000" w:themeColor="text1"/>
                <w:sz w:val="22"/>
              </w:rPr>
              <m:t>m</m:t>
            </m:r>
          </m:sub>
        </m:sSub>
      </m:oMath>
      <w:r w:rsidRPr="00EE7674">
        <w:rPr>
          <w:color w:val="000000" w:themeColor="text1"/>
        </w:rPr>
        <w:t xml:space="preserve"> and </w:t>
      </w:r>
      <m:oMath>
        <m:sSub>
          <m:sSubPr>
            <m:ctrlPr>
              <w:rPr>
                <w:rFonts w:ascii="Cambria Math" w:hAnsi="Cambria Math"/>
                <w:i/>
                <w:iCs/>
                <w:color w:val="000000" w:themeColor="text1"/>
                <w:sz w:val="22"/>
              </w:rPr>
            </m:ctrlPr>
          </m:sSubPr>
          <m:e>
            <m:r>
              <w:rPr>
                <w:rFonts w:ascii="Cambria Math" w:hAnsi="Cambria Math"/>
                <w:color w:val="000000" w:themeColor="text1"/>
                <w:sz w:val="22"/>
              </w:rPr>
              <m:t>ε</m:t>
            </m:r>
          </m:e>
          <m:sub>
            <m:r>
              <w:rPr>
                <w:rFonts w:ascii="Cambria Math" w:hAnsi="Cambria Math"/>
                <w:color w:val="000000" w:themeColor="text1"/>
                <w:sz w:val="22"/>
              </w:rPr>
              <m:t>d</m:t>
            </m:r>
          </m:sub>
        </m:sSub>
      </m:oMath>
      <w:r w:rsidRPr="00EE7674">
        <w:rPr>
          <w:color w:val="000000" w:themeColor="text1"/>
        </w:rPr>
        <w:t xml:space="preserve"> are the dielectric constants of the metal film and the medium (at the top or bottom surface of the nanostructures)</w:t>
      </w:r>
      <w:r w:rsidRPr="00EE7674">
        <w:rPr>
          <w:color w:val="000000" w:themeColor="text1"/>
          <w:lang w:val="en-IN"/>
        </w:rPr>
        <w:t>. For a given frequency, a free-space photon has less momentum than an SPP since they don’t intersect. Therefore, a coupling medium, like a prism, is necessary to increase the momentum of light to excite SPs because of its higher refractive index relative to free space. This alignment shifts the dispersion curve of the prism-coupled system, allowing the curves to intersect.</w:t>
      </w:r>
      <w:r w:rsidRPr="00EE7674">
        <w:rPr>
          <w:color w:val="000000" w:themeColor="text1"/>
          <w:lang w:val="en-IN"/>
        </w:rPr>
        <w:fldChar w:fldCharType="begin"/>
      </w:r>
      <w:r w:rsidR="00C9505E">
        <w:rPr>
          <w:color w:val="000000" w:themeColor="text1"/>
          <w:lang w:val="en-IN"/>
        </w:rPr>
        <w:instrText xml:space="preserve"> ADDIN ZOTERO_ITEM CSL_CITATION {"citationID":"BRsU9rna","properties":{"formattedCitation":"[3]","plainCitation":"[3]","noteIndex":0},"citationItems":[{"id":1189,"uris":["http://zotero.org/users/local/389ubzLc/items/EABMB23Z"],"itemData":{"id":1189,"type":"article-journal","container-title":"Physical Review B","DOI":"10.1103/PhysRevB.58.6779","ISSN":"0163-1829, 1095-3795","issue":"11","journalAbbreviation":"Phys. Rev. B","language":"en","license":"http://link.aps.org/licenses/aps-default-license","page":"6779-6782","source":"DOI.org (Crossref)","title":"Surface plasmons enhance optical transmission through subwavelength holes","volume":"58","author":[{"family":"Ghaemi","given":"H. F."},{"family":"Thio","given":"Tineke"},{"family":"Grupp","given":"D. E."},{"family":"Ebbesen","given":"T. W."},{"family":"Lezec","given":"H. J."}],"issued":{"date-parts":[["1998",9,15]]}}}],"schema":"https://github.com/citation-style-language/schema/raw/master/csl-citation.json"} </w:instrText>
      </w:r>
      <w:r w:rsidRPr="00EE7674">
        <w:rPr>
          <w:color w:val="000000" w:themeColor="text1"/>
          <w:lang w:val="en-IN"/>
        </w:rPr>
        <w:fldChar w:fldCharType="separate"/>
      </w:r>
      <w:r w:rsidR="00C9505E">
        <w:rPr>
          <w:color w:val="000000"/>
          <w:szCs w:val="24"/>
        </w:rPr>
        <w:t>[3]</w:t>
      </w:r>
      <w:r w:rsidRPr="00EE7674">
        <w:rPr>
          <w:color w:val="000000" w:themeColor="text1"/>
          <w:lang w:val="en-IN"/>
        </w:rPr>
        <w:fldChar w:fldCharType="end"/>
      </w:r>
    </w:p>
    <w:p w14:paraId="152F63D6" w14:textId="10A2B251" w:rsidR="0046486F" w:rsidRPr="00EE7674" w:rsidRDefault="0046486F" w:rsidP="0046486F">
      <w:pPr>
        <w:spacing w:line="360" w:lineRule="auto"/>
        <w:ind w:firstLineChars="200" w:firstLine="480"/>
        <w:rPr>
          <w:color w:val="000000" w:themeColor="text1"/>
          <w:lang w:val="en-IN"/>
        </w:rPr>
      </w:pPr>
      <w:r w:rsidRPr="00EE7674">
        <w:rPr>
          <w:color w:val="000000" w:themeColor="text1"/>
          <w:lang w:val="en-IN"/>
        </w:rPr>
        <w:t>However, when a periodic array of holes is perforated in the metal film, it acts as a grating. The additional degree of freedom associated with the grating momentum allows for coupling between the incident radiation and the SPP modes. The corresponding relation for conservation of momentum is then given by:</w:t>
      </w:r>
      <w:r w:rsidRPr="00EE7674">
        <w:rPr>
          <w:color w:val="000000" w:themeColor="text1"/>
          <w:lang w:val="en-IN"/>
        </w:rPr>
        <w:fldChar w:fldCharType="begin"/>
      </w:r>
      <w:r w:rsidR="00C9505E">
        <w:rPr>
          <w:color w:val="000000" w:themeColor="text1"/>
          <w:lang w:val="en-IN"/>
        </w:rPr>
        <w:instrText xml:space="preserve"> ADDIN ZOTERO_ITEM CSL_CITATION {"citationID":"8uQGa7dN","properties":{"formattedCitation":"[2]","plainCitation":"[2]","noteIndex":0},"citationItems":[{"id":1194,"uris":["http://zotero.org/users/local/389ubzLc/items/J3R9KT76"],"itemData":{"id":1194,"type":"book","collection-title":"Springer Tracts in Modern Physics","event-place":"Berlin, Heidelberg","ISBN":"978-3-540-17363-2","license":"http://www.springer.com/tdm","note":"DOI: 10.1007/BFb0048317","publisher":"Springer Berlin Heidelberg","publisher-place":"Berlin, Heidelberg","source":"DOI.org (Crossref)","title":"Surface Plasmons on Smooth and Rough Surfaces and on Gratings","URL":"http://link.springer.com/10.1007/BFb0048317","volume":"111","author":[{"family":"Raether","given":"Heinz"}],"accessed":{"date-parts":[["2025",1,2]]},"issued":{"date-parts":[["1988"]]}}}],"schema":"https://github.com/citation-style-language/schema/raw/master/csl-citation.json"} </w:instrText>
      </w:r>
      <w:r w:rsidRPr="00EE7674">
        <w:rPr>
          <w:color w:val="000000" w:themeColor="text1"/>
          <w:lang w:val="en-IN"/>
        </w:rPr>
        <w:fldChar w:fldCharType="separate"/>
      </w:r>
      <w:r w:rsidR="00C9505E">
        <w:rPr>
          <w:color w:val="000000"/>
          <w:szCs w:val="24"/>
        </w:rPr>
        <w:t>[2]</w:t>
      </w:r>
      <w:r w:rsidRPr="00EE7674">
        <w:rPr>
          <w:color w:val="000000" w:themeColor="text1"/>
          <w:lang w:val="en-IN"/>
        </w:rPr>
        <w:fldChar w:fldCharType="end"/>
      </w:r>
      <w:r w:rsidRPr="00EE7674">
        <w:rPr>
          <w:color w:val="000000" w:themeColor="text1"/>
          <w:lang w:val="en-IN"/>
        </w:rPr>
        <w:t xml:space="preserve"> </w:t>
      </w:r>
      <w:r w:rsidRPr="00EE7674">
        <w:rPr>
          <w:color w:val="000000" w:themeColor="text1"/>
          <w:lang w:val="en-IN"/>
        </w:rPr>
        <w:fldChar w:fldCharType="begin"/>
      </w:r>
      <w:r w:rsidR="00C9505E">
        <w:rPr>
          <w:color w:val="000000" w:themeColor="text1"/>
          <w:lang w:val="en-IN"/>
        </w:rPr>
        <w:instrText xml:space="preserve"> ADDIN ZOTERO_ITEM CSL_CITATION {"citationID":"LBJ13u2o","properties":{"formattedCitation":"[4]","plainCitation":"[4]","noteIndex":0},"citationItems":[{"id":764,"uris":["http://zotero.org/users/local/389ubzLc/items/YBUP8R8C"],"itemData":{"id":764,"type":"article-journal","container-title":"Journal of the Optical Society of America B","DOI":"10.1364/JOSAB.16.001743","ISSN":"0740-3224, 1520-8540","issue":"10","journalAbbreviation":"J. Opt. Soc. Am. B","language":"en","page":"1743","source":"DOI.org (Crossref)","title":"Surface-plasmon-enhanced transmission through hole arrays in Cr films","volume":"16","author":[{"family":"Thio","given":"Tineke"},{"family":"Ghaemi","given":"H. F."},{"family":"Lezec","given":"H. J."},{"family":"Wolff","given":"P. A."},{"family":"Ebbesen","given":"T. W."}],"issued":{"date-parts":[["1999",10,1]]}}}],"schema":"https://github.com/citation-style-language/schema/raw/master/csl-citation.json"} </w:instrText>
      </w:r>
      <w:r w:rsidRPr="00EE7674">
        <w:rPr>
          <w:color w:val="000000" w:themeColor="text1"/>
          <w:lang w:val="en-IN"/>
        </w:rPr>
        <w:fldChar w:fldCharType="separate"/>
      </w:r>
      <w:r w:rsidR="00C9505E">
        <w:rPr>
          <w:color w:val="000000"/>
          <w:szCs w:val="24"/>
        </w:rPr>
        <w:t>[4]</w:t>
      </w:r>
      <w:r w:rsidRPr="00EE7674">
        <w:rPr>
          <w:color w:val="000000" w:themeColor="text1"/>
          <w:lang w:val="en-IN"/>
        </w:rPr>
        <w:fldChar w:fldCharType="end"/>
      </w:r>
      <w:r w:rsidRPr="00EE7674">
        <w:rPr>
          <w:color w:val="000000" w:themeColor="text1"/>
          <w:lang w:val="en-IN"/>
        </w:rPr>
        <w:t xml:space="preserve"> </w:t>
      </w:r>
    </w:p>
    <w:p w14:paraId="5615C655" w14:textId="77777777" w:rsidR="0046486F" w:rsidRPr="00EE7674" w:rsidRDefault="0046486F" w:rsidP="0046486F">
      <w:pPr>
        <w:spacing w:line="360" w:lineRule="auto"/>
        <w:ind w:firstLineChars="200" w:firstLine="480"/>
        <w:rPr>
          <w:color w:val="000000" w:themeColor="text1"/>
        </w:rPr>
      </w:pPr>
    </w:p>
    <w:tbl>
      <w:tblPr>
        <w:tblStyle w:val="affff9"/>
        <w:tblW w:w="829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3"/>
        <w:gridCol w:w="1063"/>
      </w:tblGrid>
      <w:tr w:rsidR="0046486F" w:rsidRPr="00EE7674" w14:paraId="7F0BF410" w14:textId="77777777" w:rsidTr="0075620E">
        <w:tc>
          <w:tcPr>
            <w:tcW w:w="7233" w:type="dxa"/>
            <w:vAlign w:val="center"/>
          </w:tcPr>
          <w:p w14:paraId="1C66908F" w14:textId="77777777" w:rsidR="0046486F" w:rsidRPr="00EE7674" w:rsidRDefault="00000000" w:rsidP="0075620E">
            <w:pPr>
              <w:spacing w:line="360" w:lineRule="auto"/>
              <w:jc w:val="center"/>
              <w:rPr>
                <w:rFonts w:ascii="Times New Roman" w:hAnsi="Times New Roman" w:cs="Times New Roman"/>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k</m:t>
                    </m:r>
                  </m:e>
                  <m:sub>
                    <m:r>
                      <w:rPr>
                        <w:rFonts w:ascii="Cambria Math" w:hAnsi="Cambria Math" w:cs="Times New Roman"/>
                        <w:color w:val="000000" w:themeColor="text1"/>
                      </w:rPr>
                      <m:t>spp</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k</m:t>
                    </m:r>
                  </m:e>
                  <m:sub>
                    <m:r>
                      <w:rPr>
                        <w:rFonts w:ascii="Cambria Math" w:hAnsi="Cambria Math" w:cs="Times New Roman"/>
                        <w:color w:val="000000" w:themeColor="text1"/>
                      </w:rPr>
                      <m:t>x</m:t>
                    </m:r>
                  </m:sub>
                </m:sSub>
                <m:r>
                  <w:rPr>
                    <w:rFonts w:ascii="Cambria Math" w:hAnsi="Cambria Math" w:cs="Times New Roman"/>
                    <w:color w:val="000000" w:themeColor="text1"/>
                  </w:rPr>
                  <m:t>+i*</m:t>
                </m:r>
                <m:sSub>
                  <m:sSubPr>
                    <m:ctrlPr>
                      <w:rPr>
                        <w:rFonts w:ascii="Cambria Math" w:hAnsi="Cambria Math" w:cs="Times New Roman"/>
                        <w:i/>
                        <w:color w:val="000000" w:themeColor="text1"/>
                      </w:rPr>
                    </m:ctrlPr>
                  </m:sSubPr>
                  <m:e>
                    <m:r>
                      <w:rPr>
                        <w:rFonts w:ascii="Cambria Math" w:hAnsi="Cambria Math" w:cs="Times New Roman"/>
                        <w:color w:val="000000" w:themeColor="text1"/>
                      </w:rPr>
                      <m:t>G</m:t>
                    </m:r>
                  </m:e>
                  <m:sub>
                    <m:r>
                      <w:rPr>
                        <w:rFonts w:ascii="Cambria Math" w:hAnsi="Cambria Math" w:cs="Times New Roman"/>
                        <w:color w:val="000000" w:themeColor="text1"/>
                      </w:rPr>
                      <m:t>x</m:t>
                    </m:r>
                  </m:sub>
                </m:sSub>
                <m:r>
                  <w:rPr>
                    <w:rFonts w:ascii="Cambria Math" w:hAnsi="Cambria Math" w:cs="Times New Roman"/>
                    <w:color w:val="000000" w:themeColor="text1"/>
                  </w:rPr>
                  <m:t>+j*</m:t>
                </m:r>
                <m:sSub>
                  <m:sSubPr>
                    <m:ctrlPr>
                      <w:rPr>
                        <w:rFonts w:ascii="Cambria Math" w:hAnsi="Cambria Math" w:cs="Times New Roman"/>
                        <w:i/>
                        <w:color w:val="000000" w:themeColor="text1"/>
                      </w:rPr>
                    </m:ctrlPr>
                  </m:sSubPr>
                  <m:e>
                    <m:r>
                      <w:rPr>
                        <w:rFonts w:ascii="Cambria Math" w:hAnsi="Cambria Math" w:cs="Times New Roman"/>
                        <w:color w:val="000000" w:themeColor="text1"/>
                      </w:rPr>
                      <m:t>G</m:t>
                    </m:r>
                  </m:e>
                  <m:sub>
                    <m:r>
                      <w:rPr>
                        <w:rFonts w:ascii="Cambria Math" w:hAnsi="Cambria Math" w:cs="Times New Roman"/>
                        <w:color w:val="000000" w:themeColor="text1"/>
                      </w:rPr>
                      <m:t>y</m:t>
                    </m:r>
                  </m:sub>
                </m:sSub>
              </m:oMath>
            </m:oMathPara>
          </w:p>
        </w:tc>
        <w:tc>
          <w:tcPr>
            <w:tcW w:w="1063" w:type="dxa"/>
            <w:vAlign w:val="center"/>
          </w:tcPr>
          <w:p w14:paraId="25C48416" w14:textId="77777777" w:rsidR="0046486F" w:rsidRPr="00EE7674" w:rsidRDefault="0046486F" w:rsidP="0075620E">
            <w:pPr>
              <w:spacing w:line="360" w:lineRule="auto"/>
              <w:jc w:val="center"/>
              <w:rPr>
                <w:rFonts w:ascii="Times New Roman" w:hAnsi="Times New Roman" w:cs="Times New Roman"/>
                <w:color w:val="000000" w:themeColor="text1"/>
              </w:rPr>
            </w:pPr>
            <w:r w:rsidRPr="00EE7674">
              <w:rPr>
                <w:rFonts w:ascii="Times New Roman" w:hAnsi="Times New Roman" w:cs="Times New Roman"/>
                <w:color w:val="000000" w:themeColor="text1"/>
              </w:rPr>
              <w:t>(S2)</w:t>
            </w:r>
          </w:p>
        </w:tc>
      </w:tr>
    </w:tbl>
    <w:p w14:paraId="089F133C" w14:textId="77777777" w:rsidR="0046486F" w:rsidRPr="00EE7674" w:rsidRDefault="0046486F" w:rsidP="0046486F">
      <w:pPr>
        <w:spacing w:line="360" w:lineRule="auto"/>
        <w:ind w:firstLineChars="200" w:firstLine="480"/>
        <w:rPr>
          <w:color w:val="000000" w:themeColor="text1"/>
          <w:lang w:val="en-IN"/>
        </w:rPr>
      </w:pPr>
      <w:r w:rsidRPr="00EE7674">
        <w:rPr>
          <w:color w:val="000000" w:themeColor="text1"/>
          <w:lang w:val="en-IN"/>
        </w:rPr>
        <w:t xml:space="preserve">where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spp</m:t>
            </m:r>
          </m:sub>
        </m:sSub>
      </m:oMath>
      <w:r w:rsidRPr="00EE7674">
        <w:rPr>
          <w:color w:val="000000" w:themeColor="text1"/>
          <w:lang w:val="en-IN"/>
        </w:rPr>
        <w:t xml:space="preserve"> is the wave vector associated with the SPP,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x</m:t>
            </m:r>
          </m:sub>
        </m:sSub>
      </m:oMath>
      <w:r w:rsidRPr="00EE7674">
        <w:rPr>
          <w:color w:val="000000" w:themeColor="text1"/>
          <w:lang w:val="en-IN"/>
        </w:rPr>
        <w:t xml:space="preserve"> is the transverse wave vector component of the incident radiation, </w:t>
      </w:r>
      <m:oMath>
        <m:sSub>
          <m:sSubPr>
            <m:ctrlPr>
              <w:rPr>
                <w:rFonts w:ascii="Cambria Math"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x</m:t>
            </m:r>
          </m:sub>
        </m:sSub>
      </m:oMath>
      <w:r w:rsidRPr="00EE7674">
        <w:rPr>
          <w:color w:val="000000" w:themeColor="text1"/>
          <w:lang w:val="en-IN"/>
        </w:rPr>
        <w:t xml:space="preserve"> and </w:t>
      </w:r>
      <m:oMath>
        <m:sSub>
          <m:sSubPr>
            <m:ctrlPr>
              <w:rPr>
                <w:rFonts w:ascii="Cambria Math"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y</m:t>
            </m:r>
          </m:sub>
        </m:sSub>
      </m:oMath>
      <w:r w:rsidRPr="00EE7674">
        <w:rPr>
          <w:color w:val="000000" w:themeColor="text1"/>
          <w:lang w:val="en-IN"/>
        </w:rPr>
        <w:t xml:space="preserve"> are the wave vector components associated with the two-dimensional array, for a square lattice,</w:t>
      </w:r>
      <w:r w:rsidRPr="00EE7674">
        <w:rPr>
          <w:color w:val="000000" w:themeColor="text1"/>
        </w:rPr>
        <w:t xml:space="preserve"> </w:t>
      </w:r>
      <w:r w:rsidRPr="00EE7674">
        <w:rPr>
          <w:color w:val="000000" w:themeColor="text1"/>
          <w:lang w:val="en-IN"/>
        </w:rPr>
        <w:t>|</w:t>
      </w:r>
      <m:oMath>
        <m:sSub>
          <m:sSubPr>
            <m:ctrlPr>
              <w:rPr>
                <w:rFonts w:ascii="Cambria Math"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x</m:t>
            </m:r>
          </m:sub>
        </m:sSub>
      </m:oMath>
      <w:r w:rsidRPr="00EE7674">
        <w:rPr>
          <w:color w:val="000000" w:themeColor="text1"/>
          <w:lang w:val="en-IN"/>
        </w:rPr>
        <w:t>|=|</w:t>
      </w:r>
      <m:oMath>
        <m:sSub>
          <m:sSubPr>
            <m:ctrlPr>
              <w:rPr>
                <w:rFonts w:ascii="Cambria Math"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y</m:t>
            </m:r>
          </m:sub>
        </m:sSub>
      </m:oMath>
      <w:r w:rsidRPr="00EE7674">
        <w:rPr>
          <w:color w:val="000000" w:themeColor="text1"/>
          <w:lang w:val="en-IN"/>
        </w:rPr>
        <w:t xml:space="preserve"> |=2π/P. And </w:t>
      </w:r>
      <m:oMath>
        <m:r>
          <w:rPr>
            <w:rFonts w:ascii="Cambria Math" w:hAnsi="Cambria Math"/>
            <w:color w:val="000000" w:themeColor="text1"/>
          </w:rPr>
          <m:t>i</m:t>
        </m:r>
      </m:oMath>
      <w:r w:rsidRPr="00EE7674">
        <w:rPr>
          <w:color w:val="000000" w:themeColor="text1"/>
          <w:lang w:val="en-IN"/>
        </w:rPr>
        <w:t xml:space="preserve"> and </w:t>
      </w:r>
      <m:oMath>
        <m:r>
          <w:rPr>
            <w:rFonts w:ascii="Cambria Math" w:hAnsi="Cambria Math"/>
            <w:color w:val="000000" w:themeColor="text1"/>
          </w:rPr>
          <m:t>j</m:t>
        </m:r>
      </m:oMath>
      <w:r w:rsidRPr="00EE7674">
        <w:rPr>
          <w:color w:val="000000" w:themeColor="text1"/>
          <w:lang w:val="en-IN"/>
        </w:rPr>
        <w:t xml:space="preserve"> are integers.</w:t>
      </w:r>
    </w:p>
    <w:p w14:paraId="59B19D37" w14:textId="77777777" w:rsidR="0046486F" w:rsidRPr="00EE7674" w:rsidRDefault="0046486F" w:rsidP="0046486F">
      <w:pPr>
        <w:spacing w:line="360" w:lineRule="auto"/>
        <w:ind w:firstLineChars="200" w:firstLine="480"/>
        <w:rPr>
          <w:color w:val="000000" w:themeColor="text1"/>
        </w:rPr>
      </w:pPr>
      <w:r w:rsidRPr="00EE7674">
        <w:rPr>
          <w:color w:val="000000" w:themeColor="text1"/>
          <w:lang w:val="en-IN"/>
        </w:rPr>
        <w:t>We only consider the case of vertical incidence, wh</w:t>
      </w:r>
      <w:r w:rsidRPr="00EE7674">
        <w:rPr>
          <w:color w:val="000000" w:themeColor="text1"/>
        </w:rPr>
        <w:t>ich implies:</w:t>
      </w:r>
    </w:p>
    <w:tbl>
      <w:tblPr>
        <w:tblStyle w:val="affff9"/>
        <w:tblW w:w="829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3"/>
        <w:gridCol w:w="1063"/>
      </w:tblGrid>
      <w:tr w:rsidR="0046486F" w:rsidRPr="00EE7674" w14:paraId="78FA9259" w14:textId="77777777" w:rsidTr="0075620E">
        <w:tc>
          <w:tcPr>
            <w:tcW w:w="7233" w:type="dxa"/>
            <w:vAlign w:val="center"/>
          </w:tcPr>
          <w:p w14:paraId="0DE93E92" w14:textId="77777777" w:rsidR="0046486F" w:rsidRPr="00EE7674" w:rsidRDefault="00000000" w:rsidP="0075620E">
            <w:pPr>
              <w:spacing w:line="360" w:lineRule="auto"/>
              <w:jc w:val="center"/>
              <w:rPr>
                <w:rFonts w:ascii="Times New Roman" w:hAnsi="Times New Roman" w:cs="Times New Roman"/>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k</m:t>
                    </m:r>
                  </m:e>
                  <m:sub>
                    <m:r>
                      <w:rPr>
                        <w:rFonts w:ascii="Cambria Math" w:hAnsi="Cambria Math" w:cs="Times New Roman"/>
                        <w:color w:val="000000" w:themeColor="text1"/>
                      </w:rPr>
                      <m:t>spp</m:t>
                    </m:r>
                  </m:sub>
                </m:sSub>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2π</m:t>
                    </m:r>
                  </m:num>
                  <m:den>
                    <m:r>
                      <w:rPr>
                        <w:rFonts w:ascii="Cambria Math" w:hAnsi="Cambria Math" w:cs="Times New Roman"/>
                        <w:color w:val="000000" w:themeColor="text1"/>
                      </w:rPr>
                      <m:t>P</m:t>
                    </m:r>
                  </m:den>
                </m:f>
                <m:rad>
                  <m:radPr>
                    <m:degHide m:val="1"/>
                    <m:ctrlPr>
                      <w:rPr>
                        <w:rFonts w:ascii="Cambria Math" w:hAnsi="Cambria Math" w:cs="Times New Roman"/>
                        <w:i/>
                        <w:color w:val="000000" w:themeColor="text1"/>
                      </w:rPr>
                    </m:ctrlPr>
                  </m:radPr>
                  <m:deg/>
                  <m:e>
                    <m:sSup>
                      <m:sSupPr>
                        <m:ctrlPr>
                          <w:rPr>
                            <w:rFonts w:ascii="Cambria Math" w:hAnsi="Cambria Math" w:cs="Times New Roman"/>
                            <w:i/>
                            <w:color w:val="000000" w:themeColor="text1"/>
                          </w:rPr>
                        </m:ctrlPr>
                      </m:sSupPr>
                      <m:e>
                        <m:r>
                          <w:rPr>
                            <w:rFonts w:ascii="Cambria Math" w:hAnsi="Cambria Math" w:cs="Times New Roman"/>
                            <w:color w:val="000000" w:themeColor="text1"/>
                          </w:rPr>
                          <m:t>i</m:t>
                        </m:r>
                      </m:e>
                      <m:sup>
                        <m:r>
                          <w:rPr>
                            <w:rFonts w:ascii="Cambria Math" w:hAnsi="Cambria Math" w:cs="Times New Roman"/>
                            <w:color w:val="000000" w:themeColor="text1"/>
                          </w:rPr>
                          <m:t>2</m:t>
                        </m:r>
                      </m:sup>
                    </m:sSup>
                    <m:r>
                      <w:rPr>
                        <w:rFonts w:ascii="Cambria Math" w:hAnsi="Cambria Math" w:cs="Times New Roman"/>
                        <w:color w:val="000000" w:themeColor="text1"/>
                      </w:rPr>
                      <m:t>+</m:t>
                    </m:r>
                    <m:sSup>
                      <m:sSupPr>
                        <m:ctrlPr>
                          <w:rPr>
                            <w:rFonts w:ascii="Cambria Math" w:hAnsi="Cambria Math" w:cs="Times New Roman"/>
                            <w:i/>
                            <w:color w:val="000000" w:themeColor="text1"/>
                          </w:rPr>
                        </m:ctrlPr>
                      </m:sSupPr>
                      <m:e>
                        <m:r>
                          <w:rPr>
                            <w:rFonts w:ascii="Cambria Math" w:hAnsi="Cambria Math" w:cs="Times New Roman"/>
                            <w:color w:val="000000" w:themeColor="text1"/>
                          </w:rPr>
                          <m:t>j</m:t>
                        </m:r>
                      </m:e>
                      <m:sup>
                        <m:r>
                          <w:rPr>
                            <w:rFonts w:ascii="Cambria Math" w:hAnsi="Cambria Math" w:cs="Times New Roman"/>
                            <w:color w:val="000000" w:themeColor="text1"/>
                          </w:rPr>
                          <m:t>2</m:t>
                        </m:r>
                      </m:sup>
                    </m:sSup>
                  </m:e>
                </m:rad>
              </m:oMath>
            </m:oMathPara>
          </w:p>
        </w:tc>
        <w:tc>
          <w:tcPr>
            <w:tcW w:w="1063" w:type="dxa"/>
            <w:vAlign w:val="center"/>
          </w:tcPr>
          <w:p w14:paraId="4812169E" w14:textId="77777777" w:rsidR="0046486F" w:rsidRPr="00EE7674" w:rsidRDefault="0046486F" w:rsidP="0075620E">
            <w:pPr>
              <w:spacing w:line="360" w:lineRule="auto"/>
              <w:jc w:val="center"/>
              <w:rPr>
                <w:rFonts w:ascii="Times New Roman" w:hAnsi="Times New Roman" w:cs="Times New Roman"/>
                <w:color w:val="000000" w:themeColor="text1"/>
              </w:rPr>
            </w:pPr>
            <w:r w:rsidRPr="00EE7674">
              <w:rPr>
                <w:rFonts w:ascii="Times New Roman" w:hAnsi="Times New Roman" w:cs="Times New Roman"/>
                <w:color w:val="000000" w:themeColor="text1"/>
              </w:rPr>
              <w:t>(S3)</w:t>
            </w:r>
          </w:p>
        </w:tc>
      </w:tr>
    </w:tbl>
    <w:p w14:paraId="3FCD5033" w14:textId="77777777" w:rsidR="0046486F" w:rsidRPr="00EE7674" w:rsidRDefault="0046486F" w:rsidP="0046486F">
      <w:pPr>
        <w:spacing w:line="360" w:lineRule="auto"/>
        <w:ind w:firstLineChars="200" w:firstLine="480"/>
        <w:rPr>
          <w:color w:val="000000" w:themeColor="text1"/>
          <w:lang w:val="en-IN"/>
        </w:rPr>
      </w:pPr>
      <w:r w:rsidRPr="00EE7674">
        <w:rPr>
          <w:color w:val="000000" w:themeColor="text1"/>
          <w:lang w:val="en-IN"/>
        </w:rPr>
        <w:t xml:space="preserve">So, eqs. </w:t>
      </w:r>
      <w:r w:rsidRPr="00EE7674">
        <w:rPr>
          <w:color w:val="000000" w:themeColor="text1"/>
        </w:rPr>
        <w:t>(S1)</w:t>
      </w:r>
      <w:r w:rsidRPr="00EE7674">
        <w:rPr>
          <w:color w:val="000000" w:themeColor="text1"/>
          <w:lang w:val="en-IN"/>
        </w:rPr>
        <w:t xml:space="preserve"> and (S2) reduce to:</w:t>
      </w:r>
    </w:p>
    <w:tbl>
      <w:tblPr>
        <w:tblStyle w:val="affff9"/>
        <w:tblW w:w="829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3"/>
        <w:gridCol w:w="1063"/>
      </w:tblGrid>
      <w:tr w:rsidR="0046486F" w:rsidRPr="00EE7674" w14:paraId="24D043F7" w14:textId="77777777" w:rsidTr="0075620E">
        <w:tc>
          <w:tcPr>
            <w:tcW w:w="7233" w:type="dxa"/>
            <w:vAlign w:val="center"/>
          </w:tcPr>
          <w:bookmarkStart w:id="5" w:name="_Hlk186727378"/>
          <w:p w14:paraId="428A95B6" w14:textId="77777777" w:rsidR="0046486F" w:rsidRPr="00EE7674" w:rsidRDefault="00000000" w:rsidP="0075620E">
            <w:pPr>
              <w:spacing w:line="360" w:lineRule="auto"/>
              <w:jc w:val="center"/>
              <w:rPr>
                <w:rFonts w:ascii="Times New Roman" w:hAnsi="Times New Roman" w:cs="Times New Roman"/>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λ</m:t>
                    </m:r>
                  </m:e>
                  <m:sub>
                    <m:r>
                      <w:rPr>
                        <w:rFonts w:ascii="Cambria Math" w:hAnsi="Cambria Math" w:cs="Times New Roman"/>
                        <w:color w:val="000000" w:themeColor="text1"/>
                      </w:rPr>
                      <m:t>sp</m:t>
                    </m:r>
                  </m:sub>
                </m:sSub>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P</m:t>
                    </m:r>
                  </m:num>
                  <m:den>
                    <m:rad>
                      <m:radPr>
                        <m:degHide m:val="1"/>
                        <m:ctrlPr>
                          <w:rPr>
                            <w:rFonts w:ascii="Cambria Math" w:hAnsi="Cambria Math" w:cs="Times New Roman"/>
                            <w:i/>
                            <w:color w:val="000000" w:themeColor="text1"/>
                          </w:rPr>
                        </m:ctrlPr>
                      </m:radPr>
                      <m:deg/>
                      <m:e>
                        <m:sSup>
                          <m:sSupPr>
                            <m:ctrlPr>
                              <w:rPr>
                                <w:rFonts w:ascii="Cambria Math" w:hAnsi="Cambria Math" w:cs="Times New Roman"/>
                                <w:i/>
                                <w:color w:val="000000" w:themeColor="text1"/>
                              </w:rPr>
                            </m:ctrlPr>
                          </m:sSupPr>
                          <m:e>
                            <m:r>
                              <w:rPr>
                                <w:rFonts w:ascii="Cambria Math" w:hAnsi="Cambria Math" w:cs="Times New Roman"/>
                                <w:color w:val="000000" w:themeColor="text1"/>
                              </w:rPr>
                              <m:t>i</m:t>
                            </m:r>
                          </m:e>
                          <m:sup>
                            <m:r>
                              <w:rPr>
                                <w:rFonts w:ascii="Cambria Math" w:hAnsi="Cambria Math" w:cs="Times New Roman"/>
                                <w:color w:val="000000" w:themeColor="text1"/>
                              </w:rPr>
                              <m:t>2</m:t>
                            </m:r>
                          </m:sup>
                        </m:sSup>
                        <m:r>
                          <w:rPr>
                            <w:rFonts w:ascii="Cambria Math" w:hAnsi="Cambria Math" w:cs="Times New Roman"/>
                            <w:color w:val="000000" w:themeColor="text1"/>
                          </w:rPr>
                          <m:t>+</m:t>
                        </m:r>
                        <m:sSup>
                          <m:sSupPr>
                            <m:ctrlPr>
                              <w:rPr>
                                <w:rFonts w:ascii="Cambria Math" w:hAnsi="Cambria Math" w:cs="Times New Roman"/>
                                <w:i/>
                                <w:color w:val="000000" w:themeColor="text1"/>
                              </w:rPr>
                            </m:ctrlPr>
                          </m:sSupPr>
                          <m:e>
                            <m:r>
                              <w:rPr>
                                <w:rFonts w:ascii="Cambria Math" w:hAnsi="Cambria Math" w:cs="Times New Roman"/>
                                <w:color w:val="000000" w:themeColor="text1"/>
                              </w:rPr>
                              <m:t>j</m:t>
                            </m:r>
                          </m:e>
                          <m:sup>
                            <m:r>
                              <w:rPr>
                                <w:rFonts w:ascii="Cambria Math" w:hAnsi="Cambria Math" w:cs="Times New Roman"/>
                                <w:color w:val="000000" w:themeColor="text1"/>
                              </w:rPr>
                              <m:t>2</m:t>
                            </m:r>
                          </m:sup>
                        </m:sSup>
                      </m:e>
                    </m:rad>
                  </m:den>
                </m:f>
                <m:rad>
                  <m:radPr>
                    <m:degHide m:val="1"/>
                    <m:ctrlPr>
                      <w:rPr>
                        <w:rFonts w:ascii="Cambria Math" w:hAnsi="Cambria Math" w:cs="Times New Roman"/>
                        <w:i/>
                        <w:color w:val="000000" w:themeColor="text1"/>
                      </w:rPr>
                    </m:ctrlPr>
                  </m:radPr>
                  <m:deg/>
                  <m:e>
                    <m:f>
                      <m:fPr>
                        <m:ctrlPr>
                          <w:rPr>
                            <w:rFonts w:ascii="Cambria Math" w:hAnsi="Cambria Math" w:cs="Times New Roman"/>
                            <w:i/>
                            <w:color w:val="000000" w:themeColor="text1"/>
                          </w:rPr>
                        </m:ctrlPr>
                      </m:fPr>
                      <m:num>
                        <m:sSub>
                          <m:sSubPr>
                            <m:ctrlPr>
                              <w:rPr>
                                <w:rFonts w:ascii="Cambria Math" w:hAnsi="Cambria Math" w:cs="Times New Roman"/>
                                <w:i/>
                                <w:iCs/>
                                <w:color w:val="000000" w:themeColor="text1"/>
                                <w:sz w:val="22"/>
                              </w:rPr>
                            </m:ctrlPr>
                          </m:sSubPr>
                          <m:e>
                            <m:r>
                              <w:rPr>
                                <w:rFonts w:ascii="Cambria Math" w:hAnsi="Cambria Math" w:cs="Times New Roman"/>
                                <w:color w:val="000000" w:themeColor="text1"/>
                                <w:sz w:val="22"/>
                              </w:rPr>
                              <m:t>ε</m:t>
                            </m:r>
                          </m:e>
                          <m:sub>
                            <m:r>
                              <w:rPr>
                                <w:rFonts w:ascii="Cambria Math" w:hAnsi="Cambria Math" w:cs="Times New Roman"/>
                                <w:color w:val="000000" w:themeColor="text1"/>
                                <w:sz w:val="22"/>
                              </w:rPr>
                              <m:t>m</m:t>
                            </m:r>
                          </m:sub>
                        </m:sSub>
                        <m:sSub>
                          <m:sSubPr>
                            <m:ctrlPr>
                              <w:rPr>
                                <w:rFonts w:ascii="Cambria Math" w:hAnsi="Cambria Math" w:cs="Times New Roman"/>
                                <w:i/>
                                <w:iCs/>
                                <w:color w:val="000000" w:themeColor="text1"/>
                                <w:sz w:val="22"/>
                              </w:rPr>
                            </m:ctrlPr>
                          </m:sSubPr>
                          <m:e>
                            <m:r>
                              <w:rPr>
                                <w:rFonts w:ascii="Cambria Math" w:hAnsi="Cambria Math" w:cs="Times New Roman"/>
                                <w:color w:val="000000" w:themeColor="text1"/>
                                <w:sz w:val="22"/>
                              </w:rPr>
                              <m:t>ε</m:t>
                            </m:r>
                          </m:e>
                          <m:sub>
                            <m:r>
                              <w:rPr>
                                <w:rFonts w:ascii="Cambria Math" w:hAnsi="Cambria Math" w:cs="Times New Roman"/>
                                <w:color w:val="000000" w:themeColor="text1"/>
                                <w:sz w:val="22"/>
                              </w:rPr>
                              <m:t>d</m:t>
                            </m:r>
                          </m:sub>
                        </m:sSub>
                      </m:num>
                      <m:den>
                        <m:sSub>
                          <m:sSubPr>
                            <m:ctrlPr>
                              <w:rPr>
                                <w:rFonts w:ascii="Cambria Math" w:hAnsi="Cambria Math" w:cs="Times New Roman"/>
                                <w:i/>
                                <w:iCs/>
                                <w:color w:val="000000" w:themeColor="text1"/>
                                <w:sz w:val="22"/>
                              </w:rPr>
                            </m:ctrlPr>
                          </m:sSubPr>
                          <m:e>
                            <m:r>
                              <w:rPr>
                                <w:rFonts w:ascii="Cambria Math" w:hAnsi="Cambria Math" w:cs="Times New Roman"/>
                                <w:color w:val="000000" w:themeColor="text1"/>
                                <w:sz w:val="22"/>
                              </w:rPr>
                              <m:t>ε</m:t>
                            </m:r>
                          </m:e>
                          <m:sub>
                            <m:r>
                              <w:rPr>
                                <w:rFonts w:ascii="Cambria Math" w:hAnsi="Cambria Math" w:cs="Times New Roman"/>
                                <w:color w:val="000000" w:themeColor="text1"/>
                                <w:sz w:val="22"/>
                              </w:rPr>
                              <m:t>m</m:t>
                            </m:r>
                          </m:sub>
                        </m:sSub>
                        <m:r>
                          <w:rPr>
                            <w:rFonts w:ascii="Cambria Math" w:hAnsi="Cambria Math" w:cs="Times New Roman"/>
                            <w:color w:val="000000" w:themeColor="text1"/>
                            <w:sz w:val="22"/>
                          </w:rPr>
                          <m:t>+</m:t>
                        </m:r>
                        <m:sSub>
                          <m:sSubPr>
                            <m:ctrlPr>
                              <w:rPr>
                                <w:rFonts w:ascii="Cambria Math" w:hAnsi="Cambria Math" w:cs="Times New Roman"/>
                                <w:i/>
                                <w:iCs/>
                                <w:color w:val="000000" w:themeColor="text1"/>
                                <w:sz w:val="22"/>
                              </w:rPr>
                            </m:ctrlPr>
                          </m:sSubPr>
                          <m:e>
                            <m:r>
                              <w:rPr>
                                <w:rFonts w:ascii="Cambria Math" w:hAnsi="Cambria Math" w:cs="Times New Roman"/>
                                <w:color w:val="000000" w:themeColor="text1"/>
                                <w:sz w:val="22"/>
                              </w:rPr>
                              <m:t>ε</m:t>
                            </m:r>
                          </m:e>
                          <m:sub>
                            <m:r>
                              <w:rPr>
                                <w:rFonts w:ascii="Cambria Math" w:hAnsi="Cambria Math" w:cs="Times New Roman"/>
                                <w:color w:val="000000" w:themeColor="text1"/>
                                <w:sz w:val="22"/>
                              </w:rPr>
                              <m:t>d</m:t>
                            </m:r>
                          </m:sub>
                        </m:sSub>
                      </m:den>
                    </m:f>
                  </m:e>
                </m:rad>
              </m:oMath>
            </m:oMathPara>
          </w:p>
        </w:tc>
        <w:tc>
          <w:tcPr>
            <w:tcW w:w="1063" w:type="dxa"/>
            <w:vAlign w:val="center"/>
          </w:tcPr>
          <w:p w14:paraId="599E3125" w14:textId="77777777" w:rsidR="0046486F" w:rsidRPr="00EE7674" w:rsidRDefault="0046486F" w:rsidP="0075620E">
            <w:pPr>
              <w:spacing w:line="360" w:lineRule="auto"/>
              <w:jc w:val="center"/>
              <w:rPr>
                <w:rFonts w:ascii="Times New Roman" w:hAnsi="Times New Roman" w:cs="Times New Roman"/>
                <w:color w:val="000000" w:themeColor="text1"/>
              </w:rPr>
            </w:pPr>
            <w:r w:rsidRPr="00EE7674">
              <w:rPr>
                <w:rFonts w:ascii="Times New Roman" w:hAnsi="Times New Roman" w:cs="Times New Roman"/>
                <w:color w:val="000000" w:themeColor="text1"/>
              </w:rPr>
              <w:t>(S4)</w:t>
            </w:r>
          </w:p>
        </w:tc>
      </w:tr>
    </w:tbl>
    <w:bookmarkEnd w:id="5"/>
    <w:p w14:paraId="64CC274E" w14:textId="35CC1E12" w:rsidR="0046486F" w:rsidRPr="00EE7674" w:rsidRDefault="0046486F" w:rsidP="0046486F">
      <w:pPr>
        <w:spacing w:line="360" w:lineRule="auto"/>
        <w:ind w:firstLineChars="200" w:firstLine="480"/>
        <w:rPr>
          <w:color w:val="000000" w:themeColor="text1"/>
        </w:rPr>
      </w:pPr>
      <w:r w:rsidRPr="00EE7674">
        <w:rPr>
          <w:color w:val="000000" w:themeColor="text1"/>
        </w:rPr>
        <w:lastRenderedPageBreak/>
        <w:t xml:space="preserve">where </w:t>
      </w:r>
      <m:oMath>
        <m:r>
          <w:rPr>
            <w:rFonts w:ascii="Cambria Math" w:hAnsi="Cambria Math"/>
            <w:color w:val="000000" w:themeColor="text1"/>
          </w:rPr>
          <m:t>P</m:t>
        </m:r>
      </m:oMath>
      <w:r w:rsidRPr="00EE7674">
        <w:rPr>
          <w:color w:val="000000" w:themeColor="text1"/>
        </w:rPr>
        <w:t xml:space="preserve"> is the periodicity of nanostructures. In this condition, they thought as SPP-Bloch waves (SPP-BWs).</w:t>
      </w:r>
      <w:r w:rsidRPr="00EE7674">
        <w:rPr>
          <w:color w:val="000000" w:themeColor="text1"/>
        </w:rPr>
        <w:fldChar w:fldCharType="begin"/>
      </w:r>
      <w:r w:rsidR="00C9505E">
        <w:rPr>
          <w:color w:val="000000" w:themeColor="text1"/>
        </w:rPr>
        <w:instrText xml:space="preserve"> ADDIN ZOTERO_ITEM CSL_CITATION {"citationID":"qDD2tFq5","properties":{"formattedCitation":"[5]","plainCitation":"[5]","noteIndex":0},"citationItems":[{"id":1214,"uris":["http://zotero.org/users/local/389ubzLc/items/D976A8F7"],"itemData":{"id":1214,"type":"article-journal","container-title":"Physical Review B","DOI":"10.1103/PhysRevB.67.035424","ISSN":"0163-1829, 1095-3795","issue":"3","journalAbbreviation":"Phys. Rev. B","language":"en","license":"http://link.aps.org/licenses/aps-default-license","page":"035424","source":"DOI.org (Crossref)","title":"Light tunneling via resonant surface plasmon polariton states and the enhanced transmission of periodically nanostructured metal films: An analytical study","title-short":"Light tunneling via resonant surface plasmon polariton states and the enhanced transmission of periodically nanostructured metal films","volume":"67","author":[{"family":"Darmanyan","given":"Sergey A."},{"family":"Zayats","given":"Anatoly V."}],"issued":{"date-parts":[["2003",1,30]]}}}],"schema":"https://github.com/citation-style-language/schema/raw/master/csl-citation.json"} </w:instrText>
      </w:r>
      <w:r w:rsidRPr="00EE7674">
        <w:rPr>
          <w:color w:val="000000" w:themeColor="text1"/>
        </w:rPr>
        <w:fldChar w:fldCharType="separate"/>
      </w:r>
      <w:r w:rsidR="00C9505E">
        <w:rPr>
          <w:color w:val="000000"/>
          <w:szCs w:val="24"/>
        </w:rPr>
        <w:t>[5]</w:t>
      </w:r>
      <w:r w:rsidRPr="00EE7674">
        <w:rPr>
          <w:color w:val="000000" w:themeColor="text1"/>
        </w:rPr>
        <w:fldChar w:fldCharType="end"/>
      </w:r>
      <w:r w:rsidRPr="00EE7674">
        <w:rPr>
          <w:color w:val="000000" w:themeColor="text1"/>
        </w:rPr>
        <w:t xml:space="preserve"> SPP-BWs were originally associated with light transmission maxima.</w:t>
      </w:r>
      <w:r w:rsidRPr="00EE7674">
        <w:rPr>
          <w:color w:val="000000" w:themeColor="text1"/>
        </w:rPr>
        <w:fldChar w:fldCharType="begin"/>
      </w:r>
      <w:r w:rsidR="00C9505E">
        <w:rPr>
          <w:color w:val="000000" w:themeColor="text1"/>
        </w:rPr>
        <w:instrText xml:space="preserve"> ADDIN ZOTERO_ITEM CSL_CITATION {"citationID":"HfOCdJKZ","properties":{"formattedCitation":"[3]","plainCitation":"[3]","noteIndex":0},"citationItems":[{"id":1189,"uris":["http://zotero.org/users/local/389ubzLc/items/EABMB23Z"],"itemData":{"id":1189,"type":"article-journal","container-title":"Physical Review B","DOI":"10.1103/PhysRevB.58.6779","ISSN":"0163-1829, 1095-3795","issue":"11","journalAbbreviation":"Phys. Rev. B","language":"en","license":"http://link.aps.org/licenses/aps-default-license","page":"6779-6782","source":"DOI.org (Crossref)","title":"Surface plasmons enhance optical transmission through subwavelength holes","volume":"58","author":[{"family":"Ghaemi","given":"H. F."},{"family":"Thio","given":"Tineke"},{"family":"Grupp","given":"D. E."},{"family":"Ebbesen","given":"T. W."},{"family":"Lezec","given":"H. J."}],"issued":{"date-parts":[["1998",9,15]]}}}],"schema":"https://github.com/citation-style-language/schema/raw/master/csl-citation.json"} </w:instrText>
      </w:r>
      <w:r w:rsidRPr="00EE7674">
        <w:rPr>
          <w:color w:val="000000" w:themeColor="text1"/>
        </w:rPr>
        <w:fldChar w:fldCharType="separate"/>
      </w:r>
      <w:r w:rsidR="00C9505E">
        <w:rPr>
          <w:color w:val="000000"/>
          <w:szCs w:val="24"/>
        </w:rPr>
        <w:t>[3]</w:t>
      </w:r>
      <w:r w:rsidRPr="00EE7674">
        <w:rPr>
          <w:color w:val="000000" w:themeColor="text1"/>
        </w:rPr>
        <w:fldChar w:fldCharType="end"/>
      </w:r>
      <w:r w:rsidRPr="00EE7674">
        <w:rPr>
          <w:color w:val="000000" w:themeColor="text1"/>
        </w:rPr>
        <w:t xml:space="preserve"> However, different interpretations have been suggested.</w:t>
      </w:r>
      <w:r w:rsidRPr="00EE7674">
        <w:rPr>
          <w:color w:val="000000" w:themeColor="text1"/>
        </w:rPr>
        <w:fldChar w:fldCharType="begin"/>
      </w:r>
      <w:r w:rsidR="00C9505E">
        <w:rPr>
          <w:color w:val="000000" w:themeColor="text1"/>
        </w:rPr>
        <w:instrText xml:space="preserve"> ADDIN ZOTERO_ITEM CSL_CITATION {"citationID":"QGCnHjRW","properties":{"formattedCitation":"[6\\uc0\\u8211{}8]","plainCitation":"[6–8]","noteIndex":0},"citationItems":[{"id":1207,"uris":["http://zotero.org/users/local/389ubzLc/items/ZLNNWCNF"],"itemData":{"id":1207,"type":"article-journal","container-title":"Physical Review Letters","DOI":"10.1103/PhysRevLett.88.057403","ISSN":"0031-9007, 1079-7114","issue":"5","journalAbbreviation":"Phys. Rev. Lett.","language":"en","license":"http://link.aps.org/licenses/aps-default-license","page":"057403","source":"DOI.org (Crossref)","title":"Negative Role of Surface Plasmons in the Transmission of Metallic Gratings with Very Narrow Slits","volume":"88","author":[{"family":"Cao","given":"Qing"},{"family":"Lalanne","given":"Philippe"}],"issued":{"date-parts":[["2002",1,18]]}}},{"id":1215,"uris":["http://zotero.org/users/local/389ubzLc/items/YNHYKLZ7"],"itemData":{"id":1215,"type":"article-journal","abstract":"I show that dynamical diffraction of light in thin metallic gratings causes strong fluctuations in the transmitted intensity when the optical wavelength is comparable to the grating periodicity. The relative excitation of propagating Bloch waves in the grating depends on the incident wave vector. Bloch waves that peak in amplitude in the metal are strongly absorbed, whereas Bloch waves that peak in the holes are weakly absorbed. Anomalously high transmission occurs when the latter Bloch waves are strongly excited. Since surface plasmons are associated with the evanescent modes of the diffracted wavefield, I argue that the propagating diffracted beams and the surface plasmons are both part of the same dynamical scattering process.","container-title":"Applied Physics Letters","DOI":"10.1063/1.124455","ISSN":"0003-6951, 1077-3118","issue":"5","language":"en","page":"606-608","source":"DOI.org (Crossref)","title":"Dynamical diffraction in metallic optical gratings","volume":"75","author":[{"family":"Treacy","given":"M. M. J."}],"issued":{"date-parts":[["1999",8,2]]}}},{"id":1209,"uris":["http://zotero.org/users/local/389ubzLc/items/HFB366XB"],"itemData":{"id":1209,"type":"article-journal","container-title":"Optics Express","DOI":"10.1364/OPEX.12.003629","ISSN":"1094-4087","issue":"16","journalAbbreviation":"Opt. Express","language":"en","license":"https://doi.org/10.1364/OA_License_v1#VOR-OA","page":"3629","source":"DOI.org (Crossref)","title":"Diffracted evanescent wave model for enhanced and suppressed optical transmission through subwavelength hole arrays","volume":"12","author":[{"family":"Lezec","given":"Henri J."},{"family":"Thio","given":"Tineke"}],"issued":{"date-parts":[["2004"]]}}}],"schema":"https://github.com/citation-style-language/schema/raw/master/csl-citation.json"} </w:instrText>
      </w:r>
      <w:r w:rsidRPr="00EE7674">
        <w:rPr>
          <w:color w:val="000000" w:themeColor="text1"/>
        </w:rPr>
        <w:fldChar w:fldCharType="separate"/>
      </w:r>
      <w:r w:rsidR="00C9505E" w:rsidRPr="00C9505E">
        <w:rPr>
          <w:color w:val="000000"/>
          <w:szCs w:val="24"/>
        </w:rPr>
        <w:t>[6–8]</w:t>
      </w:r>
      <w:r w:rsidRPr="00EE7674">
        <w:rPr>
          <w:color w:val="000000" w:themeColor="text1"/>
        </w:rPr>
        <w:fldChar w:fldCharType="end"/>
      </w:r>
      <w:r w:rsidRPr="00EE7674">
        <w:rPr>
          <w:color w:val="000000" w:themeColor="text1"/>
        </w:rPr>
        <w:t xml:space="preserve"> </w:t>
      </w:r>
    </w:p>
    <w:p w14:paraId="070CCD9B" w14:textId="77777777" w:rsidR="0046486F" w:rsidRPr="00EE7674" w:rsidRDefault="0046486F" w:rsidP="0046486F">
      <w:pPr>
        <w:spacing w:line="360" w:lineRule="auto"/>
        <w:ind w:firstLineChars="200" w:firstLine="480"/>
        <w:rPr>
          <w:color w:val="000000" w:themeColor="text1"/>
        </w:rPr>
      </w:pPr>
      <w:r w:rsidRPr="00EE7674">
        <w:rPr>
          <w:color w:val="000000" w:themeColor="text1"/>
        </w:rPr>
        <w:t>If one conducts a similar analysis of the grating but replaces the surface plasmon polariton (SPP) wave vector with that of ordinary light, given by:</w:t>
      </w:r>
    </w:p>
    <w:tbl>
      <w:tblPr>
        <w:tblStyle w:val="affff9"/>
        <w:tblW w:w="829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3"/>
        <w:gridCol w:w="1063"/>
      </w:tblGrid>
      <w:tr w:rsidR="0046486F" w:rsidRPr="00EE7674" w14:paraId="0A3D0F96" w14:textId="77777777" w:rsidTr="0075620E">
        <w:tc>
          <w:tcPr>
            <w:tcW w:w="7233" w:type="dxa"/>
            <w:vAlign w:val="center"/>
          </w:tcPr>
          <w:p w14:paraId="113866DD" w14:textId="77777777" w:rsidR="0046486F" w:rsidRPr="00EE7674" w:rsidRDefault="00000000" w:rsidP="0075620E">
            <w:pPr>
              <w:spacing w:line="360" w:lineRule="auto"/>
              <w:jc w:val="center"/>
              <w:rPr>
                <w:rFonts w:ascii="Times New Roman" w:hAnsi="Times New Roman" w:cs="Times New Roman"/>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k</m:t>
                    </m:r>
                  </m:e>
                  <m:sub>
                    <m:r>
                      <w:rPr>
                        <w:rFonts w:ascii="Cambria Math" w:hAnsi="Cambria Math" w:cs="Times New Roman"/>
                        <w:color w:val="000000" w:themeColor="text1"/>
                      </w:rPr>
                      <m:t>w</m:t>
                    </m:r>
                  </m:sub>
                </m:sSub>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ω</m:t>
                    </m:r>
                  </m:num>
                  <m:den>
                    <m:r>
                      <w:rPr>
                        <w:rFonts w:ascii="Cambria Math" w:hAnsi="Cambria Math" w:cs="Times New Roman"/>
                        <w:color w:val="000000" w:themeColor="text1"/>
                      </w:rPr>
                      <m:t>c</m:t>
                    </m:r>
                  </m:den>
                </m:f>
                <m:rad>
                  <m:radPr>
                    <m:degHide m:val="1"/>
                    <m:ctrlPr>
                      <w:rPr>
                        <w:rFonts w:ascii="Cambria Math" w:hAnsi="Cambria Math" w:cs="Times New Roman"/>
                        <w:i/>
                        <w:color w:val="000000" w:themeColor="text1"/>
                      </w:rPr>
                    </m:ctrlPr>
                  </m:radPr>
                  <m:deg/>
                  <m:e>
                    <m:sSub>
                      <m:sSubPr>
                        <m:ctrlPr>
                          <w:rPr>
                            <w:rFonts w:ascii="Cambria Math" w:hAnsi="Cambria Math" w:cs="Times New Roman"/>
                            <w:i/>
                            <w:iCs/>
                            <w:color w:val="000000" w:themeColor="text1"/>
                            <w:sz w:val="22"/>
                          </w:rPr>
                        </m:ctrlPr>
                      </m:sSubPr>
                      <m:e>
                        <m:r>
                          <w:rPr>
                            <w:rFonts w:ascii="Cambria Math" w:hAnsi="Cambria Math" w:cs="Times New Roman"/>
                            <w:color w:val="000000" w:themeColor="text1"/>
                            <w:sz w:val="22"/>
                          </w:rPr>
                          <m:t>ε</m:t>
                        </m:r>
                      </m:e>
                      <m:sub>
                        <m:r>
                          <w:rPr>
                            <w:rFonts w:ascii="Cambria Math" w:hAnsi="Cambria Math" w:cs="Times New Roman"/>
                            <w:color w:val="000000" w:themeColor="text1"/>
                            <w:sz w:val="22"/>
                          </w:rPr>
                          <m:t>d</m:t>
                        </m:r>
                      </m:sub>
                    </m:sSub>
                  </m:e>
                </m:rad>
              </m:oMath>
            </m:oMathPara>
          </w:p>
        </w:tc>
        <w:tc>
          <w:tcPr>
            <w:tcW w:w="1063" w:type="dxa"/>
            <w:vAlign w:val="center"/>
          </w:tcPr>
          <w:p w14:paraId="3BCEDE90" w14:textId="77777777" w:rsidR="0046486F" w:rsidRPr="00EE7674" w:rsidRDefault="0046486F" w:rsidP="0075620E">
            <w:pPr>
              <w:spacing w:line="360" w:lineRule="auto"/>
              <w:jc w:val="center"/>
              <w:rPr>
                <w:rFonts w:ascii="Times New Roman" w:hAnsi="Times New Roman" w:cs="Times New Roman"/>
                <w:color w:val="000000" w:themeColor="text1"/>
              </w:rPr>
            </w:pPr>
            <w:r w:rsidRPr="00EE7674">
              <w:rPr>
                <w:rFonts w:ascii="Times New Roman" w:hAnsi="Times New Roman" w:cs="Times New Roman"/>
                <w:color w:val="000000" w:themeColor="text1"/>
              </w:rPr>
              <w:t>(S5)</w:t>
            </w:r>
          </w:p>
        </w:tc>
      </w:tr>
    </w:tbl>
    <w:p w14:paraId="638B95BA" w14:textId="77777777" w:rsidR="0046486F" w:rsidRPr="00EE7674" w:rsidRDefault="0046486F" w:rsidP="0046486F">
      <w:pPr>
        <w:spacing w:line="360" w:lineRule="auto"/>
        <w:ind w:firstLineChars="200" w:firstLine="480"/>
        <w:rPr>
          <w:color w:val="000000" w:themeColor="text1"/>
        </w:rPr>
      </w:pPr>
      <w:r w:rsidRPr="00EE7674">
        <w:rPr>
          <w:color w:val="000000" w:themeColor="text1"/>
          <w:lang w:val="en-IN"/>
        </w:rPr>
        <w:t xml:space="preserve">Eqs. </w:t>
      </w:r>
      <w:r w:rsidRPr="00EE7674">
        <w:rPr>
          <w:color w:val="000000" w:themeColor="text1"/>
        </w:rPr>
        <w:t>(2)</w:t>
      </w:r>
      <w:r w:rsidRPr="00EE7674">
        <w:rPr>
          <w:color w:val="000000" w:themeColor="text1"/>
          <w:lang w:val="en-IN"/>
        </w:rPr>
        <w:t xml:space="preserve"> and (5) can</w:t>
      </w:r>
      <w:r w:rsidRPr="00EE7674">
        <w:rPr>
          <w:color w:val="000000" w:themeColor="text1"/>
        </w:rPr>
        <w:t xml:space="preserve"> expressed as:</w:t>
      </w:r>
      <w:r w:rsidRPr="00EE7674">
        <w:rPr>
          <w:color w:val="000000" w:themeColor="text1"/>
          <w:lang w:val="en-IN"/>
        </w:rPr>
        <w:t xml:space="preserve"> </w:t>
      </w:r>
    </w:p>
    <w:tbl>
      <w:tblPr>
        <w:tblStyle w:val="affff9"/>
        <w:tblW w:w="829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3"/>
        <w:gridCol w:w="1063"/>
      </w:tblGrid>
      <w:tr w:rsidR="0046486F" w:rsidRPr="00EE7674" w14:paraId="3B5A221B" w14:textId="77777777" w:rsidTr="0075620E">
        <w:tc>
          <w:tcPr>
            <w:tcW w:w="7233" w:type="dxa"/>
            <w:vAlign w:val="center"/>
          </w:tcPr>
          <w:bookmarkStart w:id="6" w:name="_Hlk187310752"/>
          <w:p w14:paraId="7CFBEF29" w14:textId="77777777" w:rsidR="0046486F" w:rsidRPr="00EE7674" w:rsidRDefault="00000000" w:rsidP="0075620E">
            <w:pPr>
              <w:spacing w:line="360" w:lineRule="auto"/>
              <w:ind w:firstLineChars="200" w:firstLine="480"/>
              <w:rPr>
                <w:rFonts w:ascii="Times New Roman" w:hAnsi="Times New Roman" w:cs="Times New Roman"/>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λ</m:t>
                    </m:r>
                  </m:e>
                  <m:sub>
                    <m:r>
                      <w:rPr>
                        <w:rFonts w:ascii="Cambria Math" w:hAnsi="Cambria Math" w:cs="Times New Roman"/>
                        <w:color w:val="000000" w:themeColor="text1"/>
                      </w:rPr>
                      <m:t>w</m:t>
                    </m:r>
                  </m:sub>
                </m:sSub>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P</m:t>
                    </m:r>
                  </m:num>
                  <m:den>
                    <m:rad>
                      <m:radPr>
                        <m:degHide m:val="1"/>
                        <m:ctrlPr>
                          <w:rPr>
                            <w:rFonts w:ascii="Cambria Math" w:hAnsi="Cambria Math" w:cs="Times New Roman"/>
                            <w:i/>
                            <w:color w:val="000000" w:themeColor="text1"/>
                          </w:rPr>
                        </m:ctrlPr>
                      </m:radPr>
                      <m:deg/>
                      <m:e>
                        <m:sSup>
                          <m:sSupPr>
                            <m:ctrlPr>
                              <w:rPr>
                                <w:rFonts w:ascii="Cambria Math" w:hAnsi="Cambria Math" w:cs="Times New Roman"/>
                                <w:i/>
                                <w:color w:val="000000" w:themeColor="text1"/>
                              </w:rPr>
                            </m:ctrlPr>
                          </m:sSupPr>
                          <m:e>
                            <m:r>
                              <w:rPr>
                                <w:rFonts w:ascii="Cambria Math" w:hAnsi="Cambria Math" w:cs="Times New Roman"/>
                                <w:color w:val="000000" w:themeColor="text1"/>
                              </w:rPr>
                              <m:t>i</m:t>
                            </m:r>
                          </m:e>
                          <m:sup>
                            <m:r>
                              <w:rPr>
                                <w:rFonts w:ascii="Cambria Math" w:hAnsi="Cambria Math" w:cs="Times New Roman"/>
                                <w:color w:val="000000" w:themeColor="text1"/>
                              </w:rPr>
                              <m:t>2</m:t>
                            </m:r>
                          </m:sup>
                        </m:sSup>
                        <m:r>
                          <w:rPr>
                            <w:rFonts w:ascii="Cambria Math" w:hAnsi="Cambria Math" w:cs="Times New Roman"/>
                            <w:color w:val="000000" w:themeColor="text1"/>
                          </w:rPr>
                          <m:t>+</m:t>
                        </m:r>
                        <m:sSup>
                          <m:sSupPr>
                            <m:ctrlPr>
                              <w:rPr>
                                <w:rFonts w:ascii="Cambria Math" w:hAnsi="Cambria Math" w:cs="Times New Roman"/>
                                <w:i/>
                                <w:color w:val="000000" w:themeColor="text1"/>
                              </w:rPr>
                            </m:ctrlPr>
                          </m:sSupPr>
                          <m:e>
                            <m:r>
                              <w:rPr>
                                <w:rFonts w:ascii="Cambria Math" w:hAnsi="Cambria Math" w:cs="Times New Roman"/>
                                <w:color w:val="000000" w:themeColor="text1"/>
                              </w:rPr>
                              <m:t>j</m:t>
                            </m:r>
                          </m:e>
                          <m:sup>
                            <m:r>
                              <w:rPr>
                                <w:rFonts w:ascii="Cambria Math" w:hAnsi="Cambria Math" w:cs="Times New Roman"/>
                                <w:color w:val="000000" w:themeColor="text1"/>
                              </w:rPr>
                              <m:t>2</m:t>
                            </m:r>
                          </m:sup>
                        </m:sSup>
                      </m:e>
                    </m:rad>
                  </m:den>
                </m:f>
                <m:rad>
                  <m:radPr>
                    <m:degHide m:val="1"/>
                    <m:ctrlPr>
                      <w:rPr>
                        <w:rFonts w:ascii="Cambria Math" w:hAnsi="Cambria Math" w:cs="Times New Roman"/>
                        <w:i/>
                        <w:color w:val="000000" w:themeColor="text1"/>
                      </w:rPr>
                    </m:ctrlPr>
                  </m:radPr>
                  <m:deg/>
                  <m:e>
                    <m:sSub>
                      <m:sSubPr>
                        <m:ctrlPr>
                          <w:rPr>
                            <w:rFonts w:ascii="Cambria Math" w:hAnsi="Cambria Math" w:cs="Times New Roman"/>
                            <w:i/>
                            <w:iCs/>
                            <w:color w:val="000000" w:themeColor="text1"/>
                            <w:sz w:val="22"/>
                          </w:rPr>
                        </m:ctrlPr>
                      </m:sSubPr>
                      <m:e>
                        <m:r>
                          <w:rPr>
                            <w:rFonts w:ascii="Cambria Math" w:hAnsi="Cambria Math" w:cs="Times New Roman"/>
                            <w:color w:val="000000" w:themeColor="text1"/>
                            <w:sz w:val="22"/>
                          </w:rPr>
                          <m:t>ε</m:t>
                        </m:r>
                      </m:e>
                      <m:sub>
                        <m:r>
                          <w:rPr>
                            <w:rFonts w:ascii="Cambria Math" w:hAnsi="Cambria Math" w:cs="Times New Roman"/>
                            <w:color w:val="000000" w:themeColor="text1"/>
                            <w:sz w:val="22"/>
                          </w:rPr>
                          <m:t>d</m:t>
                        </m:r>
                      </m:sub>
                    </m:sSub>
                  </m:e>
                </m:rad>
              </m:oMath>
            </m:oMathPara>
          </w:p>
        </w:tc>
        <w:tc>
          <w:tcPr>
            <w:tcW w:w="1063" w:type="dxa"/>
            <w:vAlign w:val="center"/>
          </w:tcPr>
          <w:p w14:paraId="6812FBFE" w14:textId="77777777" w:rsidR="0046486F" w:rsidRPr="00EE7674" w:rsidRDefault="0046486F" w:rsidP="0075620E">
            <w:pPr>
              <w:spacing w:line="360" w:lineRule="auto"/>
              <w:jc w:val="center"/>
              <w:rPr>
                <w:rFonts w:ascii="Times New Roman" w:hAnsi="Times New Roman" w:cs="Times New Roman"/>
                <w:color w:val="000000" w:themeColor="text1"/>
              </w:rPr>
            </w:pPr>
            <w:r w:rsidRPr="00EE7674">
              <w:rPr>
                <w:rFonts w:ascii="Times New Roman" w:hAnsi="Times New Roman" w:cs="Times New Roman"/>
                <w:color w:val="000000" w:themeColor="text1"/>
              </w:rPr>
              <w:t>(</w:t>
            </w:r>
            <w:bookmarkStart w:id="7" w:name="OLE_LINK56"/>
            <w:bookmarkStart w:id="8" w:name="OLE_LINK57"/>
            <w:r w:rsidRPr="00EE7674">
              <w:rPr>
                <w:rFonts w:ascii="Times New Roman" w:hAnsi="Times New Roman" w:cs="Times New Roman"/>
                <w:color w:val="000000" w:themeColor="text1"/>
              </w:rPr>
              <w:t>S6</w:t>
            </w:r>
            <w:bookmarkEnd w:id="7"/>
            <w:bookmarkEnd w:id="8"/>
            <w:r w:rsidRPr="00EE7674">
              <w:rPr>
                <w:rFonts w:ascii="Times New Roman" w:hAnsi="Times New Roman" w:cs="Times New Roman"/>
                <w:color w:val="000000" w:themeColor="text1"/>
              </w:rPr>
              <w:t>)</w:t>
            </w:r>
          </w:p>
        </w:tc>
      </w:tr>
    </w:tbl>
    <w:bookmarkEnd w:id="6"/>
    <w:p w14:paraId="0BDB2FB1" w14:textId="77777777" w:rsidR="0046486F" w:rsidRPr="00EE7674" w:rsidRDefault="0046486F" w:rsidP="0046486F">
      <w:pPr>
        <w:spacing w:line="360" w:lineRule="auto"/>
        <w:ind w:firstLineChars="200" w:firstLine="480"/>
        <w:rPr>
          <w:color w:val="000000" w:themeColor="text1"/>
        </w:rPr>
      </w:pPr>
      <w:r w:rsidRPr="00EE7674">
        <w:rPr>
          <w:color w:val="000000" w:themeColor="text1"/>
        </w:rPr>
        <w:t>The result is the Wood’s anomalies condition. This represents the condition for light waves diffracted to be in the plane of the surface. Both surface plasmon polariton-Brillouin zones (SPP-BWs) and Wood's anomalies can coexist within the same scenario, and their proximity to each other can depend on the specifics of the system.</w:t>
      </w:r>
    </w:p>
    <w:p w14:paraId="72C15085" w14:textId="77777777" w:rsidR="0046486F" w:rsidRPr="00EE7674" w:rsidRDefault="0046486F" w:rsidP="0046486F">
      <w:pPr>
        <w:spacing w:line="360" w:lineRule="auto"/>
        <w:ind w:firstLineChars="200" w:firstLine="480"/>
        <w:rPr>
          <w:color w:val="000000" w:themeColor="text1"/>
        </w:rPr>
      </w:pPr>
      <w:r w:rsidRPr="00EE7674">
        <w:rPr>
          <w:color w:val="000000" w:themeColor="text1"/>
        </w:rPr>
        <w:t xml:space="preserve"> </w:t>
      </w:r>
    </w:p>
    <w:p w14:paraId="7D3AF97F" w14:textId="77777777" w:rsidR="0046486F" w:rsidRPr="00EE7674" w:rsidRDefault="0046486F" w:rsidP="0046486F">
      <w:pPr>
        <w:pStyle w:val="1"/>
        <w:rPr>
          <w:color w:val="000000" w:themeColor="text1"/>
        </w:rPr>
      </w:pPr>
      <w:bookmarkStart w:id="9" w:name="_Toc194674147"/>
      <w:bookmarkStart w:id="10" w:name="OLE_LINK461"/>
      <w:bookmarkStart w:id="11" w:name="OLE_LINK460"/>
      <w:r w:rsidRPr="00EE7674">
        <w:rPr>
          <w:color w:val="000000" w:themeColor="text1"/>
        </w:rPr>
        <w:t>S2. Conversion from peak-shift modulation to intensity modulation</w:t>
      </w:r>
      <w:bookmarkEnd w:id="9"/>
    </w:p>
    <w:p w14:paraId="5A826EA7" w14:textId="2D100105" w:rsidR="0046486F" w:rsidRPr="00EE7674" w:rsidRDefault="0046486F" w:rsidP="0046486F">
      <w:pPr>
        <w:spacing w:line="360" w:lineRule="auto"/>
        <w:ind w:firstLineChars="200" w:firstLine="480"/>
        <w:rPr>
          <w:color w:val="000000" w:themeColor="text1"/>
        </w:rPr>
      </w:pPr>
      <w:r w:rsidRPr="00EE7674">
        <w:rPr>
          <w:color w:val="000000" w:themeColor="text1"/>
        </w:rPr>
        <w:t xml:space="preserve">Both Wood's anomalies and surface plasmon (SP) excitation are highly sensitive to changes in surface refractive index, as demonstrated by Equations (1) and (2). When the surface refractive index increases (i.e., when </w:t>
      </w:r>
      <m:oMath>
        <m:sSub>
          <m:sSubPr>
            <m:ctrlPr>
              <w:rPr>
                <w:rFonts w:ascii="Cambria Math" w:hAnsi="Cambria Math"/>
                <w:i/>
                <w:iCs/>
                <w:color w:val="000000" w:themeColor="text1"/>
                <w:sz w:val="22"/>
                <w:szCs w:val="22"/>
              </w:rPr>
            </m:ctrlPr>
          </m:sSubPr>
          <m:e>
            <m:r>
              <w:rPr>
                <w:rFonts w:ascii="Cambria Math" w:hAnsi="Cambria Math"/>
                <w:color w:val="000000" w:themeColor="text1"/>
                <w:sz w:val="22"/>
                <w:szCs w:val="22"/>
              </w:rPr>
              <m:t>ε</m:t>
            </m:r>
          </m:e>
          <m:sub>
            <m:r>
              <w:rPr>
                <w:rFonts w:ascii="Cambria Math" w:hAnsi="Cambria Math"/>
                <w:color w:val="000000" w:themeColor="text1"/>
                <w:sz w:val="22"/>
                <w:szCs w:val="22"/>
              </w:rPr>
              <m:t>d</m:t>
            </m:r>
          </m:sub>
        </m:sSub>
      </m:oMath>
      <w:r w:rsidRPr="00EE7674">
        <w:rPr>
          <w:color w:val="000000" w:themeColor="text1"/>
        </w:rPr>
        <w:t xml:space="preserve"> increases), the corresponding resonance wavelengths (</w:t>
      </w:r>
      <m:oMath>
        <m:sSub>
          <m:sSubPr>
            <m:ctrlPr>
              <w:rPr>
                <w:rFonts w:ascii="Cambria Math" w:hAnsi="Cambria Math"/>
                <w:i/>
                <w:color w:val="000000" w:themeColor="text1"/>
              </w:rPr>
            </m:ctrlPr>
          </m:sSubPr>
          <m:e>
            <m:r>
              <w:rPr>
                <w:rFonts w:ascii="Cambria Math" w:hAnsi="Cambria Math"/>
                <w:color w:val="000000" w:themeColor="text1"/>
              </w:rPr>
              <m:t>λ</m:t>
            </m:r>
          </m:e>
          <m:sub>
            <m:r>
              <w:rPr>
                <w:rFonts w:ascii="Cambria Math" w:hAnsi="Cambria Math"/>
                <w:color w:val="000000" w:themeColor="text1"/>
              </w:rPr>
              <m:t>sp</m:t>
            </m:r>
          </m:sub>
        </m:sSub>
      </m:oMath>
      <w:r w:rsidRPr="00EE7674">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λ</m:t>
            </m:r>
          </m:e>
          <m:sub>
            <m:r>
              <w:rPr>
                <w:rFonts w:ascii="Cambria Math" w:hAnsi="Cambria Math"/>
                <w:color w:val="000000" w:themeColor="text1"/>
              </w:rPr>
              <m:t>w</m:t>
            </m:r>
          </m:sub>
        </m:sSub>
      </m:oMath>
      <w:r w:rsidRPr="00EE7674">
        <w:rPr>
          <w:color w:val="000000" w:themeColor="text1"/>
        </w:rPr>
        <w:t>) undergo a red shift. As illustrated in Fig</w:t>
      </w:r>
      <w:r w:rsidR="0061600F" w:rsidRPr="00EE7674">
        <w:rPr>
          <w:color w:val="000000" w:themeColor="text1"/>
        </w:rPr>
        <w:t>.</w:t>
      </w:r>
      <w:r w:rsidRPr="00EE7674">
        <w:rPr>
          <w:color w:val="000000" w:themeColor="text1"/>
        </w:rPr>
        <w:t xml:space="preserve"> S1a, we simulated the refractive index sensing response of nanopore metasurfaces with parameters P=450nm, d=120nm, and h=450nm. The simulation results are consistent with the theoretical predictions.</w:t>
      </w:r>
    </w:p>
    <w:p w14:paraId="58DBDDB3" w14:textId="19135FE1" w:rsidR="0046486F" w:rsidRPr="00EE7674" w:rsidRDefault="0046486F" w:rsidP="0046486F">
      <w:pPr>
        <w:spacing w:line="360" w:lineRule="auto"/>
        <w:ind w:firstLineChars="200" w:firstLine="480"/>
        <w:rPr>
          <w:color w:val="000000" w:themeColor="text1"/>
        </w:rPr>
      </w:pPr>
      <w:r w:rsidRPr="00EE7674">
        <w:rPr>
          <w:color w:val="000000" w:themeColor="text1"/>
        </w:rPr>
        <w:t>For example, the works of Yanik</w:t>
      </w:r>
      <w:r w:rsidRPr="00EE7674">
        <w:rPr>
          <w:color w:val="000000" w:themeColor="text1"/>
        </w:rPr>
        <w:fldChar w:fldCharType="begin"/>
      </w:r>
      <w:r w:rsidR="00C9505E">
        <w:rPr>
          <w:color w:val="000000" w:themeColor="text1"/>
        </w:rPr>
        <w:instrText xml:space="preserve"> ADDIN ZOTERO_ITEM CSL_CITATION {"citationID":"J9Og4aLA","properties":{"formattedCitation":"[9]","plainCitation":"[9]","noteIndex":0},"citationItems":[{"id":1218,"uris":["http://zotero.org/users/local/389ubzLc/items/W6DV6ZV3"],"itemData":{"id":1218,"type":"article-journal","abstract":"We introduce an ultrasensitive label-free detection technique based on asymmetric Fano resonances in plasmonic nanoholes with far reaching implications for point-of-care diagnostics. By exploiting extraordinary light transmission phenomena through high-quality factor (\n              Q\n              solution\n               </w:instrText>
      </w:r>
      <w:r w:rsidR="00C9505E">
        <w:rPr>
          <w:rFonts w:ascii="Cambria Math" w:hAnsi="Cambria Math" w:cs="Cambria Math"/>
          <w:color w:val="000000" w:themeColor="text1"/>
        </w:rPr>
        <w:instrText>∼</w:instrText>
      </w:r>
      <w:r w:rsidR="00C9505E">
        <w:rPr>
          <w:rFonts w:hint="eastAsia"/>
          <w:color w:val="000000" w:themeColor="text1"/>
        </w:rPr>
        <w:instrText> </w:instrText>
      </w:r>
      <w:r w:rsidR="00C9505E">
        <w:rPr>
          <w:color w:val="000000" w:themeColor="text1"/>
        </w:rPr>
        <w:instrText xml:space="preserve">200) subradiant dark modes, we experimentally demonstrate record high figures of merits (FOMs as high as 162) for intrinsic detection limits surpassing that of the gold standard prism coupled surface-plasmon sensors (Kretschmann configuration). Our experimental record high sensitivities are attributed to the nearly complete suppression of the radiative losses that are made possible by the high structural quality of the fabricated devices as well as the subradiant nature of the resonances. Steep dispersion of the plasmonic Fano resonance profiles in high-quality plasmonic sensors exhibit dramatic light intensity changes to the slightest perturbations within their local environment. As a spectacular demonstration of the extraordinary sensitivity and the quality of the fabricated biosensors, we show direct detection of a single monolayer of biomolecules with naked eye using these Fano resonances and the associated Wood’s anomalies. To fabricate high optical-quality sensors, we introduce a high-throughput lift-off free evaporation fabrication technique with extremely uniform and precisely controlled nanofeatures over large areas, leading to resonance line-widths comparable to that of the ideally uniform structures as confirmed by our time-domain simulations. The demonstrated label-free sensing platform offers unique opportunities for point-of-care diagnostics in resource poor settings by eliminating the need for fluorescent labeling and optical detection instrumentation (camera, spectrometer, etc.) as well as mechanical and light isolation.","container-title":"Proceedings of the National Academy of Sciences","DOI":"10.1073/pnas.1101910108","ISSN":"0027-8424, 1091-6490","issue":"29","journalAbbreviation":"Proc. Natl. Acad. Sci. U.S.A.","language":"en","page":"11784-11789","source":"DOI.org (Crossref)","title":"Seeing protein monolayers with naked eye through plasmonic Fano resonances","volume":"108","author":[{"family":"Yanik","given":"Ahmet A."},{"family":"Cetin","given":"Arif E."},{"family":"Huang","given":"Min"},{"family":"Artar","given":"Alp"},{"family":"Mousavi","given":"S. Hossein"},{"family":"Khanikaev","given":"Alexander"},{"family":"Connor","given":"John H."},{"family":"Shvets","given":"Gennady"},{"family":"Altug","given":"Hatice"}],"issued":{"date-parts":[["2011",7,19]]}}}],"schema":"https://github.com/citation-style-language/schema/raw/master/csl-citation.json"} </w:instrText>
      </w:r>
      <w:r w:rsidRPr="00EE7674">
        <w:rPr>
          <w:color w:val="000000" w:themeColor="text1"/>
        </w:rPr>
        <w:fldChar w:fldCharType="separate"/>
      </w:r>
      <w:r w:rsidR="00C9505E">
        <w:rPr>
          <w:color w:val="000000"/>
          <w:szCs w:val="24"/>
        </w:rPr>
        <w:t>[9]</w:t>
      </w:r>
      <w:r w:rsidRPr="00EE7674">
        <w:rPr>
          <w:color w:val="000000" w:themeColor="text1"/>
        </w:rPr>
        <w:fldChar w:fldCharType="end"/>
      </w:r>
      <w:r w:rsidRPr="00EE7674">
        <w:rPr>
          <w:color w:val="000000" w:themeColor="text1"/>
        </w:rPr>
        <w:t xml:space="preserve"> and Palani</w:t>
      </w:r>
      <w:r w:rsidRPr="00EE7674">
        <w:rPr>
          <w:color w:val="000000" w:themeColor="text1"/>
        </w:rPr>
        <w:fldChar w:fldCharType="begin"/>
      </w:r>
      <w:r w:rsidR="00C9505E">
        <w:rPr>
          <w:color w:val="000000" w:themeColor="text1"/>
        </w:rPr>
        <w:instrText xml:space="preserve"> ADDIN ZOTERO_ITEM CSL_CITATION {"citationID":"nPlOhlXO","properties":{"formattedCitation":"[10]","plainCitation":"[10]","noteIndex":0},"citationItems":[{"id":1220,"uris":["http://zotero.org/users/local/389ubzLc/items/7UVLL4VM"],"itemData":{"id":1220,"type":"article-journal","container-title":"ACS Nano","DOI":"10.1021/acsnano.2c08702","ISSN":"1936-0851, 1936-086X","issue":"3","journalAbbreviation":"ACS Nano","language":"en","license":"https://creativecommons.org/licenses/by-nc-nd/4.0/","page":"2266-2278","source":"DOI.org (Crossref)","title":"Multispectral Localized Surface Plasmon Resonance (msLSPR) Reveals and Overcomes Spectral and Sensing Heterogeneities of Single Gold Nanoparticles","volume":"17","author":[{"family":"Palani","given":"Stephen"},{"family":"Kenison","given":"John P."},{"family":"Sabuncu","given":"Sinan"},{"family":"Huang","given":"Tao"},{"family":"Civitci","given":"Fehmi"},{"family":"Esener","given":"Sadik"},{"family":"Nan","given":"Xiaolin"}],"issued":{"date-parts":[["2023",2,14]]}}}],"schema":"https://github.com/citation-style-language/schema/raw/master/csl-citation.json"} </w:instrText>
      </w:r>
      <w:r w:rsidRPr="00EE7674">
        <w:rPr>
          <w:color w:val="000000" w:themeColor="text1"/>
        </w:rPr>
        <w:fldChar w:fldCharType="separate"/>
      </w:r>
      <w:r w:rsidR="00C9505E">
        <w:rPr>
          <w:color w:val="000000"/>
          <w:szCs w:val="24"/>
        </w:rPr>
        <w:t>[10]</w:t>
      </w:r>
      <w:r w:rsidRPr="00EE7674">
        <w:rPr>
          <w:color w:val="000000" w:themeColor="text1"/>
        </w:rPr>
        <w:fldChar w:fldCharType="end"/>
      </w:r>
      <w:r w:rsidRPr="00EE7674">
        <w:rPr>
          <w:color w:val="000000" w:themeColor="text1"/>
        </w:rPr>
        <w:t xml:space="preserve"> rely on detecting the position of resonance peaks to achieve detection. However, one disadvantage of this approach is that it requires precise measuring instruments, which increases the dependence of sensors on sophisticated equipment and the expertise of the personnel, thereby limiting their applicability. To address this, we propose a method to convert the information of peak shifts into intensity differences. By measuring the reference spectrum (</w:t>
      </w:r>
      <m:oMath>
        <m:sSub>
          <m:sSubPr>
            <m:ctrlPr>
              <w:rPr>
                <w:rFonts w:ascii="Cambria Math" w:hAnsi="Cambria Math"/>
                <w:i/>
                <w:color w:val="000000" w:themeColor="text1"/>
                <w:szCs w:val="22"/>
              </w:rPr>
            </m:ctrlPr>
          </m:sSubPr>
          <m:e>
            <m:r>
              <w:rPr>
                <w:rFonts w:ascii="Cambria Math" w:hAnsi="Cambria Math"/>
                <w:color w:val="000000" w:themeColor="text1"/>
              </w:rPr>
              <m:t>OD</m:t>
            </m:r>
          </m:e>
          <m:sub>
            <m:r>
              <w:rPr>
                <w:rFonts w:ascii="Cambria Math" w:hAnsi="Cambria Math"/>
                <w:color w:val="000000" w:themeColor="text1"/>
              </w:rPr>
              <m:t>ref</m:t>
            </m:r>
          </m:sub>
        </m:sSub>
      </m:oMath>
      <w:r w:rsidRPr="00EE7674">
        <w:rPr>
          <w:color w:val="000000" w:themeColor="text1"/>
        </w:rPr>
        <w:t>) and the measurement spectrum (</w:t>
      </w:r>
      <m:oMath>
        <m:sSub>
          <m:sSubPr>
            <m:ctrlPr>
              <w:rPr>
                <w:rFonts w:ascii="Cambria Math" w:hAnsi="Cambria Math"/>
                <w:i/>
                <w:color w:val="000000" w:themeColor="text1"/>
                <w:szCs w:val="22"/>
              </w:rPr>
            </m:ctrlPr>
          </m:sSubPr>
          <m:e>
            <m:r>
              <w:rPr>
                <w:rFonts w:ascii="Cambria Math" w:hAnsi="Cambria Math"/>
                <w:color w:val="000000" w:themeColor="text1"/>
              </w:rPr>
              <m:t>OD</m:t>
            </m:r>
          </m:e>
          <m:sub>
            <m:r>
              <w:rPr>
                <w:rFonts w:ascii="Cambria Math" w:hAnsi="Cambria Math"/>
                <w:color w:val="000000" w:themeColor="text1"/>
              </w:rPr>
              <m:t>det</m:t>
            </m:r>
          </m:sub>
        </m:sSub>
      </m:oMath>
      <w:r w:rsidRPr="00EE7674">
        <w:rPr>
          <w:color w:val="000000" w:themeColor="text1"/>
        </w:rPr>
        <w:t>), and calculating the differential optical density (</w:t>
      </w:r>
      <m:oMath>
        <m:r>
          <w:rPr>
            <w:rFonts w:ascii="Cambria Math" w:hAnsi="Cambria Math"/>
            <w:color w:val="000000" w:themeColor="text1"/>
          </w:rPr>
          <m:t>difOD</m:t>
        </m:r>
      </m:oMath>
      <w:r w:rsidRPr="00EE7674">
        <w:rPr>
          <w:color w:val="000000" w:themeColor="text1"/>
        </w:rPr>
        <w:t xml:space="preserve">) between them, as shown in Equation (3), we can achieve this conversion, as illustrated in </w:t>
      </w:r>
      <w:r w:rsidR="0061600F" w:rsidRPr="00EE7674">
        <w:rPr>
          <w:color w:val="000000" w:themeColor="text1"/>
        </w:rPr>
        <w:t xml:space="preserve">Fig. </w:t>
      </w:r>
      <w:r w:rsidRPr="00EE7674">
        <w:rPr>
          <w:color w:val="000000" w:themeColor="text1"/>
        </w:rPr>
        <w:t>S1b.</w:t>
      </w:r>
    </w:p>
    <w:tbl>
      <w:tblPr>
        <w:tblStyle w:val="affff9"/>
        <w:tblW w:w="8291" w:type="dxa"/>
        <w:tblInd w:w="10" w:type="dxa"/>
        <w:tblLook w:val="04A0" w:firstRow="1" w:lastRow="0" w:firstColumn="1" w:lastColumn="0" w:noHBand="0" w:noVBand="1"/>
      </w:tblPr>
      <w:tblGrid>
        <w:gridCol w:w="7229"/>
        <w:gridCol w:w="1062"/>
      </w:tblGrid>
      <w:tr w:rsidR="0046486F" w:rsidRPr="00EE7674" w14:paraId="73D20F9A" w14:textId="77777777" w:rsidTr="0075620E">
        <w:tc>
          <w:tcPr>
            <w:tcW w:w="7229" w:type="dxa"/>
            <w:tcBorders>
              <w:top w:val="nil"/>
              <w:left w:val="nil"/>
              <w:bottom w:val="nil"/>
              <w:right w:val="nil"/>
            </w:tcBorders>
          </w:tcPr>
          <w:p w14:paraId="05D4FE7D" w14:textId="77777777" w:rsidR="0046486F" w:rsidRPr="00EE7674" w:rsidRDefault="0046486F" w:rsidP="0075620E">
            <w:pPr>
              <w:spacing w:line="360" w:lineRule="auto"/>
              <w:ind w:firstLineChars="200" w:firstLine="480"/>
              <w:rPr>
                <w:rFonts w:ascii="Times New Roman" w:hAnsi="Times New Roman" w:cs="Times New Roman"/>
                <w:color w:val="000000" w:themeColor="text1"/>
              </w:rPr>
            </w:pPr>
            <m:oMathPara>
              <m:oMath>
                <m:r>
                  <w:rPr>
                    <w:rFonts w:ascii="Cambria Math" w:hAnsi="Cambria Math" w:cs="Times New Roman"/>
                    <w:color w:val="000000" w:themeColor="text1"/>
                  </w:rPr>
                  <m:t>difOD=</m:t>
                </m:r>
                <m:sSub>
                  <m:sSubPr>
                    <m:ctrlPr>
                      <w:rPr>
                        <w:rFonts w:ascii="Cambria Math" w:hAnsi="Cambria Math" w:cs="Times New Roman"/>
                        <w:i/>
                        <w:color w:val="000000" w:themeColor="text1"/>
                      </w:rPr>
                    </m:ctrlPr>
                  </m:sSubPr>
                  <m:e>
                    <m:r>
                      <w:rPr>
                        <w:rFonts w:ascii="Cambria Math" w:hAnsi="Cambria Math" w:cs="Times New Roman"/>
                        <w:color w:val="000000" w:themeColor="text1"/>
                      </w:rPr>
                      <m:t>OD</m:t>
                    </m:r>
                  </m:e>
                  <m:sub>
                    <m:r>
                      <w:rPr>
                        <w:rFonts w:ascii="Cambria Math" w:hAnsi="Cambria Math" w:cs="Times New Roman"/>
                        <w:color w:val="000000" w:themeColor="text1"/>
                      </w:rPr>
                      <m:t>det</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OD</m:t>
                    </m:r>
                  </m:e>
                  <m:sub>
                    <m:r>
                      <w:rPr>
                        <w:rFonts w:ascii="Cambria Math" w:hAnsi="Cambria Math" w:cs="Times New Roman"/>
                        <w:color w:val="000000" w:themeColor="text1"/>
                      </w:rPr>
                      <m:t>ref</m:t>
                    </m:r>
                  </m:sub>
                </m:sSub>
              </m:oMath>
            </m:oMathPara>
          </w:p>
        </w:tc>
        <w:tc>
          <w:tcPr>
            <w:tcW w:w="1062" w:type="dxa"/>
            <w:tcBorders>
              <w:top w:val="nil"/>
              <w:left w:val="nil"/>
              <w:bottom w:val="nil"/>
              <w:right w:val="nil"/>
            </w:tcBorders>
          </w:tcPr>
          <w:p w14:paraId="5733A872" w14:textId="77777777" w:rsidR="0046486F" w:rsidRPr="00EE7674" w:rsidRDefault="0046486F" w:rsidP="0075620E">
            <w:pPr>
              <w:spacing w:line="360" w:lineRule="auto"/>
              <w:jc w:val="center"/>
              <w:rPr>
                <w:rFonts w:ascii="Times New Roman" w:hAnsi="Times New Roman" w:cs="Times New Roman"/>
                <w:color w:val="000000" w:themeColor="text1"/>
              </w:rPr>
            </w:pPr>
            <w:r w:rsidRPr="00EE7674">
              <w:rPr>
                <w:rFonts w:ascii="Times New Roman" w:hAnsi="Times New Roman" w:cs="Times New Roman"/>
                <w:color w:val="000000" w:themeColor="text1"/>
              </w:rPr>
              <w:t>(S7)</w:t>
            </w:r>
          </w:p>
        </w:tc>
      </w:tr>
    </w:tbl>
    <w:p w14:paraId="5CAD8041" w14:textId="77777777" w:rsidR="0046486F" w:rsidRPr="00EE7674" w:rsidRDefault="0046486F" w:rsidP="0046486F">
      <w:pPr>
        <w:spacing w:line="360" w:lineRule="auto"/>
        <w:ind w:firstLineChars="200" w:firstLine="480"/>
        <w:rPr>
          <w:color w:val="000000" w:themeColor="text1"/>
        </w:rPr>
      </w:pPr>
      <w:r w:rsidRPr="00EE7674">
        <w:rPr>
          <w:color w:val="000000" w:themeColor="text1"/>
        </w:rPr>
        <w:lastRenderedPageBreak/>
        <w:t>Subsequently, we select the response between the two peaks (</w:t>
      </w:r>
      <m:oMath>
        <m:sSub>
          <m:sSubPr>
            <m:ctrlPr>
              <w:rPr>
                <w:rFonts w:ascii="Cambria Math" w:hAnsi="Cambria Math"/>
                <w:i/>
                <w:color w:val="000000" w:themeColor="text1"/>
                <w:szCs w:val="22"/>
              </w:rPr>
            </m:ctrlPr>
          </m:sSubPr>
          <m:e>
            <m:r>
              <w:rPr>
                <w:rFonts w:ascii="Cambria Math" w:hAnsi="Cambria Math"/>
                <w:color w:val="000000" w:themeColor="text1"/>
              </w:rPr>
              <m:t>difOD</m:t>
            </m:r>
          </m:e>
          <m:sub>
            <m:r>
              <w:rPr>
                <w:rFonts w:ascii="Cambria Math" w:hAnsi="Cambria Math"/>
                <w:color w:val="000000" w:themeColor="text1"/>
              </w:rPr>
              <m:t>650</m:t>
            </m:r>
          </m:sub>
        </m:sSub>
      </m:oMath>
      <w:r w:rsidRPr="00EE7674">
        <w:rPr>
          <w:color w:val="000000" w:themeColor="text1"/>
        </w:rPr>
        <w:t>) and the valley (</w:t>
      </w:r>
      <m:oMath>
        <m:sSub>
          <m:sSubPr>
            <m:ctrlPr>
              <w:rPr>
                <w:rFonts w:ascii="Cambria Math" w:hAnsi="Cambria Math"/>
                <w:i/>
                <w:color w:val="000000" w:themeColor="text1"/>
                <w:szCs w:val="22"/>
              </w:rPr>
            </m:ctrlPr>
          </m:sSubPr>
          <m:e>
            <m:r>
              <w:rPr>
                <w:rFonts w:ascii="Cambria Math" w:hAnsi="Cambria Math"/>
                <w:color w:val="000000" w:themeColor="text1"/>
              </w:rPr>
              <m:t>difOD</m:t>
            </m:r>
          </m:e>
          <m:sub>
            <m:r>
              <w:rPr>
                <w:rFonts w:ascii="Cambria Math" w:hAnsi="Cambria Math"/>
                <w:color w:val="000000" w:themeColor="text1"/>
              </w:rPr>
              <m:t>637</m:t>
            </m:r>
          </m:sub>
        </m:sSub>
      </m:oMath>
      <w:r w:rsidRPr="00EE7674">
        <w:rPr>
          <w:color w:val="000000" w:themeColor="text1"/>
        </w:rPr>
        <w:t xml:space="preserve">) of the differential OD response as the characteristic signal, which we refer to as the "endpoint method." </w:t>
      </w:r>
      <w:bookmarkStart w:id="12" w:name="OLE_LINK20"/>
      <w:bookmarkStart w:id="13" w:name="OLE_LINK19"/>
    </w:p>
    <w:tbl>
      <w:tblPr>
        <w:tblStyle w:val="affff9"/>
        <w:tblW w:w="8291" w:type="dxa"/>
        <w:tblInd w:w="10" w:type="dxa"/>
        <w:tblLook w:val="04A0" w:firstRow="1" w:lastRow="0" w:firstColumn="1" w:lastColumn="0" w:noHBand="0" w:noVBand="1"/>
      </w:tblPr>
      <w:tblGrid>
        <w:gridCol w:w="7229"/>
        <w:gridCol w:w="1062"/>
      </w:tblGrid>
      <w:tr w:rsidR="0046486F" w:rsidRPr="00EE7674" w14:paraId="22522695" w14:textId="77777777" w:rsidTr="0075620E">
        <w:tc>
          <w:tcPr>
            <w:tcW w:w="7229" w:type="dxa"/>
            <w:tcBorders>
              <w:top w:val="nil"/>
              <w:left w:val="nil"/>
              <w:bottom w:val="nil"/>
              <w:right w:val="nil"/>
            </w:tcBorders>
          </w:tcPr>
          <w:p w14:paraId="071E1A74" w14:textId="77777777" w:rsidR="0046486F" w:rsidRPr="00EE7674" w:rsidRDefault="00000000" w:rsidP="0075620E">
            <w:pPr>
              <w:spacing w:line="360" w:lineRule="auto"/>
              <w:ind w:firstLineChars="200" w:firstLine="480"/>
              <w:rPr>
                <w:rFonts w:ascii="Times New Roman" w:hAnsi="Times New Roman" w:cs="Times New Roman"/>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sig</m:t>
                    </m:r>
                  </m:e>
                  <m:sub>
                    <m:r>
                      <w:rPr>
                        <w:rFonts w:ascii="Cambria Math" w:hAnsi="Cambria Math" w:cs="Times New Roman"/>
                        <w:color w:val="000000" w:themeColor="text1"/>
                      </w:rPr>
                      <m:t>RI</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difOD</m:t>
                    </m:r>
                  </m:e>
                  <m:sub>
                    <m:r>
                      <m:rPr>
                        <m:sty m:val="p"/>
                      </m:rPr>
                      <w:rPr>
                        <w:rFonts w:ascii="Cambria Math" w:hAnsi="Cambria Math" w:cs="Times New Roman"/>
                        <w:color w:val="000000" w:themeColor="text1"/>
                      </w:rPr>
                      <m:t>peak</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difOD</m:t>
                    </m:r>
                  </m:e>
                  <m:sub>
                    <m:r>
                      <m:rPr>
                        <m:sty m:val="p"/>
                      </m:rPr>
                      <w:rPr>
                        <w:rFonts w:ascii="Cambria Math" w:hAnsi="Cambria Math" w:cs="Times New Roman"/>
                        <w:color w:val="000000" w:themeColor="text1"/>
                      </w:rPr>
                      <m:t>valley</m:t>
                    </m:r>
                  </m:sub>
                </m:sSub>
              </m:oMath>
            </m:oMathPara>
          </w:p>
        </w:tc>
        <w:tc>
          <w:tcPr>
            <w:tcW w:w="1062" w:type="dxa"/>
            <w:tcBorders>
              <w:top w:val="nil"/>
              <w:left w:val="nil"/>
              <w:bottom w:val="nil"/>
              <w:right w:val="nil"/>
            </w:tcBorders>
          </w:tcPr>
          <w:p w14:paraId="28E989A4" w14:textId="77777777" w:rsidR="0046486F" w:rsidRPr="00EE7674" w:rsidRDefault="0046486F" w:rsidP="0075620E">
            <w:pPr>
              <w:spacing w:line="360" w:lineRule="auto"/>
              <w:jc w:val="center"/>
              <w:rPr>
                <w:rFonts w:ascii="Times New Roman" w:hAnsi="Times New Roman" w:cs="Times New Roman"/>
                <w:color w:val="000000" w:themeColor="text1"/>
              </w:rPr>
            </w:pPr>
            <w:r w:rsidRPr="00EE7674">
              <w:rPr>
                <w:rFonts w:ascii="Times New Roman" w:hAnsi="Times New Roman" w:cs="Times New Roman"/>
                <w:color w:val="000000" w:themeColor="text1"/>
              </w:rPr>
              <w:t>(S8)</w:t>
            </w:r>
          </w:p>
        </w:tc>
      </w:tr>
    </w:tbl>
    <w:p w14:paraId="449ED8FA" w14:textId="36D5FEA9" w:rsidR="0046486F" w:rsidRPr="00EE7674" w:rsidRDefault="0046486F" w:rsidP="0046486F">
      <w:pPr>
        <w:spacing w:line="360" w:lineRule="auto"/>
        <w:rPr>
          <w:color w:val="000000" w:themeColor="text1"/>
        </w:rPr>
      </w:pPr>
      <w:r w:rsidRPr="00EE7674">
        <w:rPr>
          <w:b/>
          <w:bCs/>
          <w:color w:val="000000" w:themeColor="text1"/>
        </w:rPr>
        <w:tab/>
      </w:r>
      <w:r w:rsidRPr="00EE7674">
        <w:rPr>
          <w:color w:val="000000" w:themeColor="text1"/>
        </w:rPr>
        <w:t>Fig</w:t>
      </w:r>
      <w:r w:rsidR="00FA227B" w:rsidRPr="00EE7674">
        <w:rPr>
          <w:color w:val="000000" w:themeColor="text1"/>
        </w:rPr>
        <w:t>.</w:t>
      </w:r>
      <w:r w:rsidRPr="00EE7674">
        <w:rPr>
          <w:color w:val="000000" w:themeColor="text1"/>
        </w:rPr>
        <w:t xml:space="preserve"> S1c and S1d</w:t>
      </w:r>
      <w:r w:rsidRPr="00EE7674">
        <w:rPr>
          <w:b/>
          <w:bCs/>
          <w:color w:val="000000" w:themeColor="text1"/>
        </w:rPr>
        <w:t xml:space="preserve"> </w:t>
      </w:r>
      <w:r w:rsidRPr="00EE7674">
        <w:rPr>
          <w:color w:val="000000" w:themeColor="text1"/>
        </w:rPr>
        <w:t>present bar charts comparing the refractive index responses for both the peak-shift and differential OD methods, while Fig</w:t>
      </w:r>
      <w:r w:rsidR="00FA227B" w:rsidRPr="00EE7674">
        <w:rPr>
          <w:color w:val="000000" w:themeColor="text1"/>
        </w:rPr>
        <w:t>.</w:t>
      </w:r>
      <w:r w:rsidRPr="00EE7674">
        <w:rPr>
          <w:color w:val="000000" w:themeColor="text1"/>
        </w:rPr>
        <w:t xml:space="preserve"> S1e and S1f show the fitting results of these responses. The results indicate that both methods exhibit good linear responses, but the differential OD response demonstrates a superior correlation coefficient (</w:t>
      </w:r>
      <m:oMath>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2</m:t>
            </m:r>
          </m:sup>
        </m:sSup>
      </m:oMath>
      <w:r w:rsidRPr="00EE7674">
        <w:rPr>
          <w:color w:val="000000" w:themeColor="text1"/>
        </w:rPr>
        <w:t>)</w:t>
      </w:r>
      <w:r w:rsidRPr="00EE7674">
        <w:rPr>
          <w:b/>
          <w:bCs/>
          <w:color w:val="000000" w:themeColor="text1"/>
        </w:rPr>
        <w:t>.</w:t>
      </w:r>
      <w:bookmarkEnd w:id="12"/>
      <w:bookmarkEnd w:id="13"/>
    </w:p>
    <w:p w14:paraId="1CF6C72A" w14:textId="77777777" w:rsidR="0046486F" w:rsidRPr="00EE7674" w:rsidRDefault="0046486F" w:rsidP="0046486F">
      <w:pPr>
        <w:spacing w:line="360" w:lineRule="auto"/>
        <w:rPr>
          <w:color w:val="000000" w:themeColor="text1"/>
        </w:rPr>
      </w:pPr>
    </w:p>
    <w:p w14:paraId="4117EAD9" w14:textId="77777777" w:rsidR="0046486F" w:rsidRPr="00EE7674" w:rsidRDefault="0046486F" w:rsidP="0046486F">
      <w:pPr>
        <w:pStyle w:val="1"/>
        <w:rPr>
          <w:color w:val="000000" w:themeColor="text1"/>
        </w:rPr>
      </w:pPr>
      <w:bookmarkStart w:id="14" w:name="_Toc194674148"/>
      <w:bookmarkStart w:id="15" w:name="OLE_LINK462"/>
      <w:bookmarkStart w:id="16" w:name="OLE_LINK466"/>
      <w:bookmarkEnd w:id="10"/>
      <w:bookmarkEnd w:id="11"/>
      <w:r w:rsidRPr="00EE7674">
        <w:rPr>
          <w:color w:val="000000" w:themeColor="text1"/>
        </w:rPr>
        <w:t>S3. Selection and simulation of multilayer metasurface material</w:t>
      </w:r>
      <w:bookmarkEnd w:id="14"/>
      <w:r w:rsidRPr="00EE7674">
        <w:rPr>
          <w:color w:val="000000" w:themeColor="text1"/>
        </w:rPr>
        <w:t xml:space="preserve"> </w:t>
      </w:r>
    </w:p>
    <w:p w14:paraId="4D994C4A" w14:textId="76FF3299" w:rsidR="0046486F" w:rsidRPr="00EE7674" w:rsidRDefault="0046486F" w:rsidP="0046486F">
      <w:pPr>
        <w:spacing w:line="360" w:lineRule="auto"/>
        <w:ind w:firstLineChars="200" w:firstLine="480"/>
        <w:rPr>
          <w:color w:val="000000" w:themeColor="text1"/>
        </w:rPr>
      </w:pPr>
      <w:r w:rsidRPr="00EE7674">
        <w:rPr>
          <w:color w:val="000000" w:themeColor="text1"/>
        </w:rPr>
        <w:t>Metals suitable for this purpose must possess conduction band electrons capable of resonating with incident light at specific wavelengths. Candidates include silver (Ag), gold (Au), copper (Cu) and so on.</w:t>
      </w:r>
      <w:r w:rsidRPr="00EE7674">
        <w:rPr>
          <w:color w:val="000000" w:themeColor="text1"/>
        </w:rPr>
        <w:fldChar w:fldCharType="begin"/>
      </w:r>
      <w:r w:rsidR="00C9505E">
        <w:rPr>
          <w:color w:val="000000" w:themeColor="text1"/>
        </w:rPr>
        <w:instrText xml:space="preserve"> ADDIN ZOTERO_ITEM CSL_CITATION {"citationID":"KsIPAbij","properties":{"formattedCitation":"[11]","plainCitation":"[11]","noteIndex":0},"citationItems":[{"id":514,"uris":["http://zotero.org/users/local/389ubzLc/items/EDU5FVBI"],"itemData":{"id":514,"type":"article-journal","container-title":"Analytical Chemistry","DOI":"10.1021/acs.analchem.7b04251","ISSN":"0003-2700, 1520-6882","issue":"1","journalAbbreviation":"Anal. Chem.","language":"en","page":"19-39","source":"DOI.org (Crossref)","title":"Surface Plasmon Resonance: Material and Interface Design for Universal Accessibility","title-short":"Surface Plasmon Resonance","volume":"90","author":[{"family":"Hinman","given":"Samuel S."},{"family":"McKeating","given":"Kristy S."},{"family":"Cheng","given":"Quan"}],"issued":{"date-parts":[["2018",1,2]]}}}],"schema":"https://github.com/citation-style-language/schema/raw/master/csl-citation.json"} </w:instrText>
      </w:r>
      <w:r w:rsidRPr="00EE7674">
        <w:rPr>
          <w:color w:val="000000" w:themeColor="text1"/>
        </w:rPr>
        <w:fldChar w:fldCharType="separate"/>
      </w:r>
      <w:r w:rsidR="00C9505E">
        <w:rPr>
          <w:color w:val="000000"/>
          <w:szCs w:val="24"/>
        </w:rPr>
        <w:t>[11]</w:t>
      </w:r>
      <w:r w:rsidRPr="00EE7674">
        <w:rPr>
          <w:color w:val="000000" w:themeColor="text1"/>
        </w:rPr>
        <w:fldChar w:fldCharType="end"/>
      </w:r>
      <w:r w:rsidRPr="00EE7674">
        <w:rPr>
          <w:color w:val="000000" w:themeColor="text1"/>
        </w:rPr>
        <w:t xml:space="preserve"> However, copper's broad resonance light absorption in the visible spectral range limits its applicability. Consequently, silver and gold emerge as the most viable options for plasmonic materials due to their minimal loss in the </w:t>
      </w:r>
      <w:bookmarkStart w:id="17" w:name="OLE_LINK367"/>
      <w:bookmarkStart w:id="18" w:name="OLE_LINK368"/>
      <w:r w:rsidRPr="00EE7674">
        <w:rPr>
          <w:color w:val="000000" w:themeColor="text1"/>
        </w:rPr>
        <w:t>visible and near-infrared (NIR) spectral ranges</w:t>
      </w:r>
      <w:bookmarkEnd w:id="17"/>
      <w:bookmarkEnd w:id="18"/>
      <w:r w:rsidRPr="00EE7674">
        <w:rPr>
          <w:color w:val="000000" w:themeColor="text1"/>
        </w:rPr>
        <w:t>.</w:t>
      </w:r>
      <w:r w:rsidRPr="00EE7674">
        <w:rPr>
          <w:color w:val="000000" w:themeColor="text1"/>
        </w:rPr>
        <w:fldChar w:fldCharType="begin"/>
      </w:r>
      <w:r w:rsidR="00C9505E">
        <w:rPr>
          <w:color w:val="000000" w:themeColor="text1"/>
        </w:rPr>
        <w:instrText xml:space="preserve"> ADDIN ZOTERO_ITEM CSL_CITATION {"citationID":"eu9ZrTpK","properties":{"formattedCitation":"[12]","plainCitation":"[12]","noteIndex":0},"citationItems":[{"id":534,"uris":["http://zotero.org/users/local/389ubzLc/items/CTPYHIAE"],"itemData":{"id":534,"type":"article-journal","container-title":"Laser &amp; Photonics Reviews","DOI":"10.1002/lpor.200900055","ISSN":"18638880","issue":"6","journalAbbreviation":"Laser &amp; Photon. Rev.","language":"en","page":"795-808","source":"DOI.org (Crossref)","title":"Searching for better plasmonic materials","volume":"4","author":[{"family":"West","given":"P.R."},{"family":"Ishii","given":"S."},{"family":"Naik","given":"G.V."},{"family":"Emani","given":"N.K."},{"family":"Shalaev","given":"V.M."},{"family":"Boltasseva","given":"A."}],"issued":{"date-parts":[["2010",11,2]]}}}],"schema":"https://github.com/citation-style-language/schema/raw/master/csl-citation.json"} </w:instrText>
      </w:r>
      <w:r w:rsidRPr="00EE7674">
        <w:rPr>
          <w:color w:val="000000" w:themeColor="text1"/>
        </w:rPr>
        <w:fldChar w:fldCharType="separate"/>
      </w:r>
      <w:r w:rsidR="00C9505E">
        <w:rPr>
          <w:color w:val="000000"/>
          <w:szCs w:val="24"/>
        </w:rPr>
        <w:t>[12]</w:t>
      </w:r>
      <w:r w:rsidRPr="00EE7674">
        <w:rPr>
          <w:color w:val="000000" w:themeColor="text1"/>
        </w:rPr>
        <w:fldChar w:fldCharType="end"/>
      </w:r>
      <w:r w:rsidRPr="00EE7674">
        <w:rPr>
          <w:color w:val="000000" w:themeColor="text1"/>
        </w:rPr>
        <w:t xml:space="preserve"> </w:t>
      </w:r>
      <w:bookmarkStart w:id="19" w:name="OLE_LINK371"/>
      <w:bookmarkStart w:id="20" w:name="OLE_LINK372"/>
      <w:r w:rsidRPr="00EE7674">
        <w:rPr>
          <w:color w:val="000000" w:themeColor="text1"/>
        </w:rPr>
        <w:t>Silver, in particular, demonstrates superior performance Silver, in particular, demonstrates superior performance in the visible spectral rang.</w:t>
      </w:r>
      <w:bookmarkEnd w:id="19"/>
      <w:bookmarkEnd w:id="20"/>
      <w:r w:rsidRPr="00EE7674">
        <w:rPr>
          <w:color w:val="000000" w:themeColor="text1"/>
        </w:rPr>
        <w:fldChar w:fldCharType="begin"/>
      </w:r>
      <w:r w:rsidR="00C9505E">
        <w:rPr>
          <w:color w:val="000000" w:themeColor="text1"/>
        </w:rPr>
        <w:instrText xml:space="preserve"> ADDIN ZOTERO_ITEM CSL_CITATION {"citationID":"CZCeCOmB","properties":{"formattedCitation":"[12,13]","plainCitation":"[12,13]","noteIndex":0},"citationItems":[{"id":1285,"uris":["http://zotero.org/users/local/389ubzLc/items/J257SM59"],"itemData":{"id":1285,"type":"article-journal","abstract":"Abstract\n            The application scope of plasmonic nanostructures is rapidly expanding to keep pace with the ongoing development of various scientific findings and emerging technologies. However, most plasmonic nanostructures heavily depend on rare, expensive, and extensively studied noble metals such as Au and Ag, with the limited choice of elements hindering their broad and practical applications in a wide spectral range. Therefore, abundant and inexpensive n</w:instrText>
      </w:r>
      <w:r w:rsidR="00C9505E">
        <w:rPr>
          <w:rFonts w:hint="eastAsia"/>
          <w:color w:val="000000" w:themeColor="text1"/>
        </w:rPr>
        <w:instrText>onnoble metals have attracted attention as new plasmonic nanomaterial components, allowing these nonnoble</w:instrText>
      </w:r>
      <w:r w:rsidR="00C9505E">
        <w:rPr>
          <w:rFonts w:hint="eastAsia"/>
          <w:color w:val="000000" w:themeColor="text1"/>
        </w:rPr>
        <w:instrText>‐</w:instrText>
      </w:r>
      <w:r w:rsidR="00C9505E">
        <w:rPr>
          <w:rFonts w:hint="eastAsia"/>
          <w:color w:val="000000" w:themeColor="text1"/>
        </w:rPr>
        <w:instrText>metal</w:instrText>
      </w:r>
      <w:r w:rsidR="00C9505E">
        <w:rPr>
          <w:rFonts w:hint="eastAsia"/>
          <w:color w:val="000000" w:themeColor="text1"/>
        </w:rPr>
        <w:instrText>‐</w:instrText>
      </w:r>
      <w:r w:rsidR="00C9505E">
        <w:rPr>
          <w:rFonts w:hint="eastAsia"/>
          <w:color w:val="000000" w:themeColor="text1"/>
        </w:rPr>
        <w:instrText>based materials to be used in areas such as photocatalysis, sensing, nanoantennas, metamaterials, and magnetoplasmonics with new compositions, structures, and properties. Furthermore, the use of nonnoble metal hybrids results in newly emerging or synergistic properties not observed from single</w:instrText>
      </w:r>
      <w:r w:rsidR="00C9505E">
        <w:rPr>
          <w:rFonts w:hint="eastAsia"/>
          <w:color w:val="000000" w:themeColor="text1"/>
        </w:rPr>
        <w:instrText>‐</w:instrText>
      </w:r>
      <w:r w:rsidR="00C9505E">
        <w:rPr>
          <w:rFonts w:hint="eastAsia"/>
          <w:color w:val="000000" w:themeColor="text1"/>
        </w:rPr>
        <w:instrText>metal component systems. Here, the synthetic strategies and recent advances in nonnoble</w:instrText>
      </w:r>
      <w:r w:rsidR="00C9505E">
        <w:rPr>
          <w:rFonts w:hint="eastAsia"/>
          <w:color w:val="000000" w:themeColor="text1"/>
        </w:rPr>
        <w:instrText>‐</w:instrText>
      </w:r>
      <w:r w:rsidR="00C9505E">
        <w:rPr>
          <w:rFonts w:hint="eastAsia"/>
          <w:color w:val="000000" w:themeColor="text1"/>
        </w:rPr>
        <w:instrText>metal</w:instrText>
      </w:r>
      <w:r w:rsidR="00C9505E">
        <w:rPr>
          <w:rFonts w:hint="eastAsia"/>
          <w:color w:val="000000" w:themeColor="text1"/>
        </w:rPr>
        <w:instrText>‐</w:instrText>
      </w:r>
      <w:r w:rsidR="00C9505E">
        <w:rPr>
          <w:rFonts w:hint="eastAsia"/>
          <w:color w:val="000000" w:themeColor="text1"/>
        </w:rPr>
        <w:instrText>based pla</w:instrText>
      </w:r>
      <w:r w:rsidR="00C9505E">
        <w:rPr>
          <w:color w:val="000000" w:themeColor="text1"/>
        </w:rPr>
        <w:instrText>smonic nanostructures comprising Cu, Al, Mg, In, Ga, Pb, Ni, Co, Fe, and related hybrids are highlighted, and a discussion and perspectives in their synthesis, properties, applications, and challenges are presented.","container-title":"Advanced Materials"</w:instrText>
      </w:r>
      <w:r w:rsidR="00C9505E">
        <w:rPr>
          <w:rFonts w:hint="eastAsia"/>
          <w:color w:val="000000" w:themeColor="text1"/>
        </w:rPr>
        <w:instrText>,"DOI":"10.1002/adma.201704528","ISSN":"0935-9648, 1521-4095","issue":"42","journalAbbreviation":"Advanced Materials","language":"en","page":"1704528","source":"DOI.org (Crossref)","title":"Nonnoble</w:instrText>
      </w:r>
      <w:r w:rsidR="00C9505E">
        <w:rPr>
          <w:rFonts w:hint="eastAsia"/>
          <w:color w:val="000000" w:themeColor="text1"/>
        </w:rPr>
        <w:instrText>‐</w:instrText>
      </w:r>
      <w:r w:rsidR="00C9505E">
        <w:rPr>
          <w:rFonts w:hint="eastAsia"/>
          <w:color w:val="000000" w:themeColor="text1"/>
        </w:rPr>
        <w:instrText>Metal</w:instrText>
      </w:r>
      <w:r w:rsidR="00C9505E">
        <w:rPr>
          <w:rFonts w:hint="eastAsia"/>
          <w:color w:val="000000" w:themeColor="text1"/>
        </w:rPr>
        <w:instrText>‐</w:instrText>
      </w:r>
      <w:r w:rsidR="00C9505E">
        <w:rPr>
          <w:rFonts w:hint="eastAsia"/>
          <w:color w:val="000000" w:themeColor="text1"/>
        </w:rPr>
        <w:instrText>Based Plasmonic Nanomaterials: Recent Advances and Future Perspectives","title-short":"Nonnoble</w:instrText>
      </w:r>
      <w:r w:rsidR="00C9505E">
        <w:rPr>
          <w:rFonts w:hint="eastAsia"/>
          <w:color w:val="000000" w:themeColor="text1"/>
        </w:rPr>
        <w:instrText>‐</w:instrText>
      </w:r>
      <w:r w:rsidR="00C9505E">
        <w:rPr>
          <w:rFonts w:hint="eastAsia"/>
          <w:color w:val="000000" w:themeColor="text1"/>
        </w:rPr>
        <w:instrText>Metal</w:instrText>
      </w:r>
      <w:r w:rsidR="00C9505E">
        <w:rPr>
          <w:rFonts w:hint="eastAsia"/>
          <w:color w:val="000000" w:themeColor="text1"/>
        </w:rPr>
        <w:instrText>‐</w:instrText>
      </w:r>
      <w:r w:rsidR="00C9505E">
        <w:rPr>
          <w:rFonts w:hint="eastAsia"/>
          <w:color w:val="000000" w:themeColor="text1"/>
        </w:rPr>
        <w:instrText>Based Plasmonic Nanomaterials","volume":"30","author":[{"family":"Kim","given":"Sungi"},{"family":"Kim","given":"Jae</w:instrText>
      </w:r>
      <w:r w:rsidR="00C9505E">
        <w:rPr>
          <w:rFonts w:hint="eastAsia"/>
          <w:color w:val="000000" w:themeColor="text1"/>
        </w:rPr>
        <w:instrText>‐</w:instrText>
      </w:r>
      <w:r w:rsidR="00C9505E">
        <w:rPr>
          <w:rFonts w:hint="eastAsia"/>
          <w:color w:val="000000" w:themeColor="text1"/>
        </w:rPr>
        <w:instrText>Myoung"},{"family":"Park","given":"Jeong</w:instrText>
      </w:r>
      <w:r w:rsidR="00C9505E">
        <w:rPr>
          <w:rFonts w:hint="eastAsia"/>
          <w:color w:val="000000" w:themeColor="text1"/>
        </w:rPr>
        <w:instrText>‐</w:instrText>
      </w:r>
      <w:r w:rsidR="00C9505E">
        <w:rPr>
          <w:rFonts w:hint="eastAsia"/>
          <w:color w:val="000000" w:themeColor="text1"/>
        </w:rPr>
        <w:instrText>Eun"},{"family":"Nam","given":"Jwa</w:instrText>
      </w:r>
      <w:r w:rsidR="00C9505E">
        <w:rPr>
          <w:rFonts w:hint="eastAsia"/>
          <w:color w:val="000000" w:themeColor="text1"/>
        </w:rPr>
        <w:instrText>‐</w:instrText>
      </w:r>
      <w:r w:rsidR="00C9505E">
        <w:rPr>
          <w:rFonts w:hint="eastAsia"/>
          <w:color w:val="000000" w:themeColor="text1"/>
        </w:rPr>
        <w:instrText>Min"}],"is</w:instrText>
      </w:r>
      <w:r w:rsidR="00C9505E">
        <w:rPr>
          <w:color w:val="000000" w:themeColor="text1"/>
        </w:rPr>
        <w:instrText xml:space="preserve">sued":{"date-parts":[["2018",10]]}}},{"id":534,"uris":["http://zotero.org/users/local/389ubzLc/items/CTPYHIAE"],"itemData":{"id":534,"type":"article-journal","container-title":"Laser &amp; Photonics Reviews","DOI":"10.1002/lpor.200900055","ISSN":"18638880","issue":"6","journalAbbreviation":"Laser &amp; Photon. Rev.","language":"en","page":"795-808","source":"DOI.org (Crossref)","title":"Searching for better plasmonic materials","volume":"4","author":[{"family":"West","given":"P.R."},{"family":"Ishii","given":"S."},{"family":"Naik","given":"G.V."},{"family":"Emani","given":"N.K."},{"family":"Shalaev","given":"V.M."},{"family":"Boltasseva","given":"A."}],"issued":{"date-parts":[["2010",11,2]]}}}],"schema":"https://github.com/citation-style-language/schema/raw/master/csl-citation.json"} </w:instrText>
      </w:r>
      <w:r w:rsidRPr="00EE7674">
        <w:rPr>
          <w:color w:val="000000" w:themeColor="text1"/>
        </w:rPr>
        <w:fldChar w:fldCharType="separate"/>
      </w:r>
      <w:r w:rsidR="00C9505E">
        <w:rPr>
          <w:color w:val="000000"/>
          <w:szCs w:val="24"/>
        </w:rPr>
        <w:t>[12,13]</w:t>
      </w:r>
      <w:r w:rsidRPr="00EE7674">
        <w:rPr>
          <w:color w:val="000000" w:themeColor="text1"/>
        </w:rPr>
        <w:fldChar w:fldCharType="end"/>
      </w:r>
      <w:r w:rsidRPr="00EE7674">
        <w:rPr>
          <w:color w:val="000000" w:themeColor="text1"/>
        </w:rPr>
        <w:t xml:space="preserve"> </w:t>
      </w:r>
      <w:bookmarkStart w:id="21" w:name="OLE_LINK43"/>
      <w:bookmarkStart w:id="22" w:name="OLE_LINK48"/>
      <w:bookmarkStart w:id="23" w:name="OLE_LINK381"/>
      <w:bookmarkStart w:id="24" w:name="OLE_LINK380"/>
      <w:bookmarkStart w:id="25" w:name="OLE_LINK382"/>
      <w:r w:rsidRPr="00EE7674">
        <w:rPr>
          <w:color w:val="000000" w:themeColor="text1"/>
        </w:rPr>
        <w:t>Gold, on the other hand, is favored for its low chemical reactivity and excellent biocompatibility</w:t>
      </w:r>
      <w:r w:rsidRPr="00EE7674">
        <w:rPr>
          <w:color w:val="000000" w:themeColor="text1"/>
        </w:rPr>
        <w:fldChar w:fldCharType="begin"/>
      </w:r>
      <w:r w:rsidR="00C9505E">
        <w:rPr>
          <w:color w:val="000000" w:themeColor="text1"/>
        </w:rPr>
        <w:instrText xml:space="preserve"> ADDIN ZOTERO_ITEM CSL_CITATION {"citationID":"jeXkbFOm","properties":{"formattedCitation":"[12]","plainCitation":"[12]","noteIndex":0},"citationItems":[{"id":534,"uris":["http://zotero.org/users/local/389ubzLc/items/CTPYHIAE"],"itemData":{"id":534,"type":"article-journal","container-title":"Laser &amp; Photonics Reviews","DOI":"10.1002/lpor.200900055","ISSN":"18638880","issue":"6","journalAbbreviation":"Laser &amp; Photon. Rev.","language":"en","page":"795-808","source":"DOI.org (Crossref)","title":"Searching for better plasmonic materials","volume":"4","author":[{"family":"West","given":"P.R."},{"family":"Ishii","given":"S."},{"family":"Naik","given":"G.V."},{"family":"Emani","given":"N.K."},{"family":"Shalaev","given":"V.M."},{"family":"Boltasseva","given":"A."}],"issued":{"date-parts":[["2010",11,2]]}}}],"schema":"https://github.com/citation-style-language/schema/raw/master/csl-citation.json"} </w:instrText>
      </w:r>
      <w:r w:rsidRPr="00EE7674">
        <w:rPr>
          <w:color w:val="000000" w:themeColor="text1"/>
        </w:rPr>
        <w:fldChar w:fldCharType="separate"/>
      </w:r>
      <w:r w:rsidR="00C9505E">
        <w:rPr>
          <w:color w:val="000000"/>
          <w:szCs w:val="24"/>
        </w:rPr>
        <w:t>[12]</w:t>
      </w:r>
      <w:r w:rsidRPr="00EE7674">
        <w:rPr>
          <w:color w:val="000000" w:themeColor="text1"/>
        </w:rPr>
        <w:fldChar w:fldCharType="end"/>
      </w:r>
      <w:r w:rsidRPr="00EE7674">
        <w:rPr>
          <w:color w:val="000000" w:themeColor="text1"/>
        </w:rPr>
        <w:t>. Despite these advantages, gold's adhesion to substrates is suboptimal, often resulting in issues such as delamination, peeling, and time-dependent performance degradation.</w:t>
      </w:r>
      <w:bookmarkEnd w:id="21"/>
      <w:bookmarkEnd w:id="22"/>
      <w:r w:rsidRPr="00EE7674">
        <w:rPr>
          <w:color w:val="000000" w:themeColor="text1"/>
        </w:rPr>
        <w:fldChar w:fldCharType="begin"/>
      </w:r>
      <w:r w:rsidR="00C9505E">
        <w:rPr>
          <w:color w:val="000000" w:themeColor="text1"/>
        </w:rPr>
        <w:instrText xml:space="preserve"> ADDIN ZOTERO_ITEM CSL_CITATION {"citationID":"NweDas07","properties":{"formattedCitation":"[14]","plainCitation":"[14]","noteIndex":0},"citationItems":[{"id":532,"uris":["http://zotero.org/users/local/389ubzLc/items/KN8FIGFP"],"itemData":{"id":532,"type":"article-journal","container-title":"ACS Applied Materials &amp; Interfaces","DOI":"10.1021/acsami.7b10136","ISSN":"1944-8244, 1944-8252","issue":"42","journalAbbreviation":"ACS Appl. Mater. Interfaces","language":"en","page":"37374-37385","source":"DOI.org (Crossref)","title":"Influence of Ti and Cr Adhesion Layers on Ultrathin Au Films","volume":"9","author":[{"family":"Todeschini","given":"Matteo"},{"family":"Bastos Da Silva Fanta","given":"Alice"},{"family":"Jensen","given":"Flemming"},{"family":"Wagner","given":"Jakob Birkedal"},{"family":"Han","given":"Anpan"}],"issued":{"date-parts":[["2017",10,25]]}}}],"schema":"https://github.com/citation-style-language/schema/raw/master/csl-citation.json"} </w:instrText>
      </w:r>
      <w:r w:rsidRPr="00EE7674">
        <w:rPr>
          <w:color w:val="000000" w:themeColor="text1"/>
        </w:rPr>
        <w:fldChar w:fldCharType="separate"/>
      </w:r>
      <w:r w:rsidR="00C9505E">
        <w:rPr>
          <w:color w:val="000000"/>
          <w:szCs w:val="24"/>
        </w:rPr>
        <w:t>[14]</w:t>
      </w:r>
      <w:r w:rsidRPr="00EE7674">
        <w:rPr>
          <w:color w:val="000000" w:themeColor="text1"/>
        </w:rPr>
        <w:fldChar w:fldCharType="end"/>
      </w:r>
      <w:r w:rsidRPr="00EE7674">
        <w:rPr>
          <w:color w:val="000000" w:themeColor="text1"/>
        </w:rPr>
        <w:t xml:space="preserve"> </w:t>
      </w:r>
      <w:bookmarkEnd w:id="23"/>
      <w:bookmarkEnd w:id="24"/>
      <w:bookmarkEnd w:id="25"/>
      <w:r w:rsidRPr="00EE7674">
        <w:rPr>
          <w:color w:val="000000" w:themeColor="text1"/>
        </w:rPr>
        <w:t>An ideal adhesive layer must not only bond well with the substrate and the desired thin film but also ensure the stability of the biosensor. As recommended by Matteo Todeschini for nano-optics applications, chromium (Cr) serves as an exemplary adhesive layer due to its low diffusion, temporal stability, and compatibility with lift-off procedures.</w:t>
      </w:r>
      <w:r w:rsidRPr="00EE7674">
        <w:rPr>
          <w:color w:val="000000" w:themeColor="text1"/>
        </w:rPr>
        <w:fldChar w:fldCharType="begin"/>
      </w:r>
      <w:r w:rsidR="00C9505E">
        <w:rPr>
          <w:color w:val="000000" w:themeColor="text1"/>
        </w:rPr>
        <w:instrText xml:space="preserve"> ADDIN ZOTERO_ITEM CSL_CITATION {"citationID":"39ljDHzb","properties":{"formattedCitation":"[14]","plainCitation":"[14]","noteIndex":0},"citationItems":[{"id":532,"uris":["http://zotero.org/users/local/389ubzLc/items/KN8FIGFP"],"itemData":{"id":532,"type":"article-journal","container-title":"ACS Applied Materials &amp; Interfaces","DOI":"10.1021/acsami.7b10136","ISSN":"1944-8244, 1944-8252","issue":"42","journalAbbreviation":"ACS Appl. Mater. Interfaces","language":"en","page":"37374-37385","source":"DOI.org (Crossref)","title":"Influence of Ti and Cr Adhesion Layers on Ultrathin Au Films","volume":"9","author":[{"family":"Todeschini","given":"Matteo"},{"family":"Bastos Da Silva Fanta","given":"Alice"},{"family":"Jensen","given":"Flemming"},{"family":"Wagner","given":"Jakob Birkedal"},{"family":"Han","given":"Anpan"}],"issued":{"date-parts":[["2017",10,25]]}}}],"schema":"https://github.com/citation-style-language/schema/raw/master/csl-citation.json"} </w:instrText>
      </w:r>
      <w:r w:rsidRPr="00EE7674">
        <w:rPr>
          <w:color w:val="000000" w:themeColor="text1"/>
        </w:rPr>
        <w:fldChar w:fldCharType="separate"/>
      </w:r>
      <w:r w:rsidR="00C9505E">
        <w:rPr>
          <w:color w:val="000000"/>
          <w:szCs w:val="24"/>
        </w:rPr>
        <w:t>[14]</w:t>
      </w:r>
      <w:r w:rsidRPr="00EE7674">
        <w:rPr>
          <w:color w:val="000000" w:themeColor="text1"/>
        </w:rPr>
        <w:fldChar w:fldCharType="end"/>
      </w:r>
      <w:r w:rsidRPr="00EE7674">
        <w:rPr>
          <w:color w:val="000000" w:themeColor="text1"/>
        </w:rPr>
        <w:t xml:space="preserve"> </w:t>
      </w:r>
    </w:p>
    <w:p w14:paraId="0D109B56" w14:textId="77777777" w:rsidR="0046486F" w:rsidRPr="00EE7674" w:rsidRDefault="0046486F" w:rsidP="0046486F">
      <w:pPr>
        <w:spacing w:line="360" w:lineRule="auto"/>
        <w:ind w:firstLineChars="200" w:firstLine="480"/>
        <w:rPr>
          <w:color w:val="000000" w:themeColor="text1"/>
        </w:rPr>
      </w:pPr>
      <w:r w:rsidRPr="00EE7674">
        <w:rPr>
          <w:color w:val="000000" w:themeColor="text1"/>
        </w:rPr>
        <w:t>To further investigate the influence of common plasmonic materials on the performance of the multilayer metasurface sensor, we employed the Finite-Difference Time-Domain (FDTD) algorithm to simulate the optical responses of four materials—silver (Ag), gold (Au), copper (Cu), and platinum (Pt)—on the metasurface nanohole array. The simulation parameters were set as follows: a period of 450 nm, a radius of 100 nm, a height of 500 nm, and a thickness of 100 nm.</w:t>
      </w:r>
    </w:p>
    <w:p w14:paraId="6A6147CE" w14:textId="1432136C" w:rsidR="0046486F" w:rsidRPr="00EE7674" w:rsidRDefault="0061600F" w:rsidP="0085236D">
      <w:pPr>
        <w:spacing w:line="360" w:lineRule="auto"/>
        <w:ind w:firstLineChars="200" w:firstLine="480"/>
        <w:rPr>
          <w:color w:val="000000" w:themeColor="text1"/>
        </w:rPr>
      </w:pPr>
      <w:r w:rsidRPr="00EE7674">
        <w:rPr>
          <w:color w:val="000000" w:themeColor="text1"/>
        </w:rPr>
        <w:lastRenderedPageBreak/>
        <w:t xml:space="preserve">Fig. </w:t>
      </w:r>
      <w:r w:rsidR="0046486F" w:rsidRPr="00EE7674">
        <w:rPr>
          <w:color w:val="000000" w:themeColor="text1"/>
        </w:rPr>
        <w:t xml:space="preserve">S2a illustrates that, under these conditions, Ag, Au, and Cu exhibit strong absorption peaks around 650 nm, while Pt shows a strong absorption peak around 600 nm. As the refractive index increases, the wavelength of these absorption peaks redshifts. We subsequently calculated the differential optical density (OD) response, as shown in </w:t>
      </w:r>
      <w:r w:rsidRPr="00EE7674">
        <w:rPr>
          <w:color w:val="000000" w:themeColor="text1"/>
        </w:rPr>
        <w:t xml:space="preserve">Fig. </w:t>
      </w:r>
      <w:r w:rsidR="0046486F" w:rsidRPr="00EE7674">
        <w:rPr>
          <w:color w:val="000000" w:themeColor="text1"/>
        </w:rPr>
        <w:t>S2b</w:t>
      </w:r>
      <w:r w:rsidR="0085236D" w:rsidRPr="00EE7674">
        <w:rPr>
          <w:color w:val="000000" w:themeColor="text1"/>
        </w:rPr>
        <w:t>. And</w:t>
      </w:r>
      <w:r w:rsidR="0046486F" w:rsidRPr="00EE7674">
        <w:rPr>
          <w:color w:val="000000" w:themeColor="text1"/>
        </w:rPr>
        <w:t xml:space="preserve"> the electric field distribution maps</w:t>
      </w:r>
      <w:r w:rsidR="0085236D" w:rsidRPr="00EE7674">
        <w:rPr>
          <w:color w:val="000000" w:themeColor="text1"/>
        </w:rPr>
        <w:t xml:space="preserve"> were shown in</w:t>
      </w:r>
      <w:r w:rsidR="0046486F" w:rsidRPr="00EE7674">
        <w:rPr>
          <w:color w:val="000000" w:themeColor="text1"/>
        </w:rPr>
        <w:t xml:space="preserve"> </w:t>
      </w:r>
      <w:r w:rsidRPr="00EE7674">
        <w:rPr>
          <w:color w:val="000000" w:themeColor="text1"/>
        </w:rPr>
        <w:t xml:space="preserve">Fig. </w:t>
      </w:r>
      <w:r w:rsidR="0046486F" w:rsidRPr="00EE7674">
        <w:rPr>
          <w:color w:val="000000" w:themeColor="text1"/>
        </w:rPr>
        <w:t>S2c.</w:t>
      </w:r>
    </w:p>
    <w:bookmarkEnd w:id="15"/>
    <w:bookmarkEnd w:id="16"/>
    <w:p w14:paraId="61A90F07" w14:textId="77777777" w:rsidR="0046486F" w:rsidRPr="00EE7674" w:rsidRDefault="0046486F" w:rsidP="0046486F">
      <w:pPr>
        <w:spacing w:line="360" w:lineRule="auto"/>
        <w:ind w:firstLineChars="200" w:firstLine="480"/>
        <w:rPr>
          <w:color w:val="000000" w:themeColor="text1"/>
        </w:rPr>
      </w:pPr>
    </w:p>
    <w:p w14:paraId="2DB2746F" w14:textId="77777777" w:rsidR="0046486F" w:rsidRPr="00EE7674" w:rsidRDefault="0046486F" w:rsidP="0046486F">
      <w:pPr>
        <w:pStyle w:val="1"/>
        <w:rPr>
          <w:color w:val="000000" w:themeColor="text1"/>
        </w:rPr>
      </w:pPr>
      <w:bookmarkStart w:id="26" w:name="_Toc194674149"/>
      <w:bookmarkStart w:id="27" w:name="OLE_LINK149"/>
      <w:bookmarkStart w:id="28" w:name="OLE_LINK150"/>
      <w:r w:rsidRPr="00EE7674">
        <w:rPr>
          <w:color w:val="000000" w:themeColor="text1"/>
        </w:rPr>
        <w:t>S4. Particle Swarm Optimization Method</w:t>
      </w:r>
      <w:bookmarkEnd w:id="26"/>
    </w:p>
    <w:p w14:paraId="32298797" w14:textId="49EBB3CF" w:rsidR="0046486F" w:rsidRPr="00EE7674" w:rsidRDefault="0046486F" w:rsidP="0046486F">
      <w:pPr>
        <w:spacing w:line="360" w:lineRule="auto"/>
        <w:ind w:firstLineChars="200" w:firstLine="480"/>
        <w:rPr>
          <w:color w:val="000000" w:themeColor="text1"/>
        </w:rPr>
      </w:pPr>
      <w:bookmarkStart w:id="29" w:name="OLE_LINK215"/>
      <w:bookmarkStart w:id="30" w:name="OLE_LINK216"/>
      <w:r w:rsidRPr="00EE7674">
        <w:rPr>
          <w:color w:val="000000" w:themeColor="text1"/>
        </w:rPr>
        <w:t>Particle swarm optimization (PSO)</w:t>
      </w:r>
      <w:r w:rsidRPr="00EE7674">
        <w:rPr>
          <w:color w:val="000000" w:themeColor="text1"/>
        </w:rPr>
        <w:fldChar w:fldCharType="begin"/>
      </w:r>
      <w:r w:rsidR="00C9505E">
        <w:rPr>
          <w:color w:val="000000" w:themeColor="text1"/>
        </w:rPr>
        <w:instrText xml:space="preserve"> ADDIN ZOTERO_ITEM CSL_CITATION {"citationID":"Di7qZmby","properties":{"formattedCitation":"[15]","plainCitation":"[15]","noteIndex":0},"citationItems":[{"id":1222,"uris":["http://zotero.org/users/local/389ubzLc/items/G373QTUV"],"itemData":{"id":1222,"type":"paper-conference","container-title":"Proceedings of ICNN'95 - International Conference on Neural Networks","DOI":"10.1109/ICNN.1995.488968","event-place":"Perth, WA, Australia","event-title":"ICNN'95 - International Conference on Neural Networks","ISBN":"978-0-7803-2768-9","page":"1942-1948","publisher":"IEEE","publisher-place":"Perth, WA, Australia","source":"DOI.org (Crossref)","title":"Particle swarm optimization","URL":"http://ieeexplore.ieee.org/document/488968/","volume":"4","author":[{"family":"Kennedy","given":"J."},{"family":"Eberhart","given":"R."}],"accessed":{"date-parts":[["2025",1,9]]},"issued":{"date-parts":[["1995"]]}}}],"schema":"https://github.com/citation-style-language/schema/raw/master/csl-citation.json"} </w:instrText>
      </w:r>
      <w:r w:rsidRPr="00EE7674">
        <w:rPr>
          <w:color w:val="000000" w:themeColor="text1"/>
        </w:rPr>
        <w:fldChar w:fldCharType="separate"/>
      </w:r>
      <w:r w:rsidR="00C9505E">
        <w:rPr>
          <w:color w:val="000000"/>
          <w:szCs w:val="24"/>
        </w:rPr>
        <w:t>[15]</w:t>
      </w:r>
      <w:r w:rsidRPr="00EE7674">
        <w:rPr>
          <w:color w:val="000000" w:themeColor="text1"/>
        </w:rPr>
        <w:fldChar w:fldCharType="end"/>
      </w:r>
      <w:r w:rsidRPr="00EE7674">
        <w:rPr>
          <w:color w:val="000000" w:themeColor="text1"/>
        </w:rPr>
        <w:t xml:space="preserve"> algorithm is initialized as a group of random particles (random solutions). Particles only have two attributes: velocity and position, where velocity represents the speed of movement and position represents the direction of movement. Then find the optimal solution through iteration. In each iteration,</w:t>
      </w:r>
      <w:r w:rsidR="002C6977" w:rsidRPr="00EE7674">
        <w:rPr>
          <w:color w:val="000000" w:themeColor="text1"/>
        </w:rPr>
        <w:t>as shown in Fig. S3,</w:t>
      </w:r>
      <w:r w:rsidRPr="00EE7674">
        <w:rPr>
          <w:color w:val="000000" w:themeColor="text1"/>
        </w:rPr>
        <w:t xml:space="preserve"> particles update themselves by tracking two "extreme values" (pbest, gbest). During the optimization process, the movement of each particle within the parameter space is influenced by three distinct forces:</w:t>
      </w:r>
    </w:p>
    <w:bookmarkEnd w:id="29"/>
    <w:bookmarkEnd w:id="30"/>
    <w:p w14:paraId="7E436758" w14:textId="77777777" w:rsidR="0046486F" w:rsidRPr="00EE7674" w:rsidRDefault="0046486F" w:rsidP="0046486F">
      <w:pPr>
        <w:spacing w:line="360" w:lineRule="auto"/>
        <w:ind w:firstLineChars="200" w:firstLine="480"/>
        <w:rPr>
          <w:color w:val="000000" w:themeColor="text1"/>
        </w:rPr>
      </w:pPr>
      <w:r w:rsidRPr="00EE7674">
        <w:rPr>
          <w:color w:val="000000" w:themeColor="text1"/>
        </w:rPr>
        <w:t>(i) A frictional force proportional to the current velocity, given by </w:t>
      </w:r>
      <m:oMath>
        <m:sSub>
          <m:sSubPr>
            <m:ctrlPr>
              <w:rPr>
                <w:rFonts w:ascii="Cambria Math" w:hAnsi="Cambria Math"/>
                <w:i/>
                <w:color w:val="000000" w:themeColor="text1"/>
              </w:rPr>
            </m:ctrlPr>
          </m:sSubPr>
          <m:e>
            <m:r>
              <m:rPr>
                <m:sty m:val="p"/>
              </m:rPr>
              <w:rPr>
                <w:rFonts w:ascii="Cambria Math" w:hAnsi="Cambria Math"/>
                <w:color w:val="000000" w:themeColor="text1"/>
              </w:rPr>
              <m:t>αv</m:t>
            </m:r>
          </m:e>
          <m:sub>
            <m:r>
              <w:rPr>
                <w:rFonts w:ascii="Cambria Math" w:hAnsi="Cambria Math"/>
                <w:color w:val="000000" w:themeColor="text1"/>
              </w:rPr>
              <m:t>C</m:t>
            </m:r>
          </m:sub>
        </m:sSub>
        <m:r>
          <m:rPr>
            <m:sty m:val="p"/>
          </m:rPr>
          <w:rPr>
            <w:rFonts w:ascii="Cambria Math" w:hAnsi="Cambria Math"/>
            <w:color w:val="000000" w:themeColor="text1"/>
          </w:rPr>
          <m:t>(n</m:t>
        </m:r>
        <m:r>
          <w:rPr>
            <w:rFonts w:ascii="Cambria Math" w:hAnsi="Cambria Math"/>
            <w:color w:val="000000" w:themeColor="text1"/>
          </w:rPr>
          <m:t>)</m:t>
        </m:r>
      </m:oMath>
      <w:r w:rsidRPr="00EE7674">
        <w:rPr>
          <w:color w:val="000000" w:themeColor="text1"/>
        </w:rPr>
        <w:t>, where </w:t>
      </w:r>
      <m:oMath>
        <m:r>
          <m:rPr>
            <m:sty m:val="p"/>
          </m:rPr>
          <w:rPr>
            <w:rFonts w:ascii="Cambria Math" w:hAnsi="Cambria Math"/>
            <w:color w:val="000000" w:themeColor="text1"/>
          </w:rPr>
          <m:t>α</m:t>
        </m:r>
      </m:oMath>
      <w:r w:rsidRPr="00EE7674">
        <w:rPr>
          <w:color w:val="000000" w:themeColor="text1"/>
        </w:rPr>
        <w:t> is the inertial weight that controls the impact of the particle's previous velocity on its current movement.</w:t>
      </w:r>
    </w:p>
    <w:p w14:paraId="7AE0A3B6" w14:textId="77777777" w:rsidR="0046486F" w:rsidRPr="00EE7674" w:rsidRDefault="0046486F" w:rsidP="0046486F">
      <w:pPr>
        <w:spacing w:line="360" w:lineRule="auto"/>
        <w:ind w:firstLineChars="200" w:firstLine="480"/>
        <w:rPr>
          <w:color w:val="000000" w:themeColor="text1"/>
        </w:rPr>
      </w:pPr>
      <w:r w:rsidRPr="00EE7674">
        <w:rPr>
          <w:color w:val="000000" w:themeColor="text1"/>
        </w:rPr>
        <w:t>(ii) A cognitive force that drives the particle toward its individual best position, expressed as </w:t>
      </w:r>
      <m:oMath>
        <m:sSub>
          <m:sSubPr>
            <m:ctrlPr>
              <w:rPr>
                <w:rFonts w:ascii="Cambria Math" w:hAnsi="Cambria Math"/>
                <w:i/>
                <w:color w:val="000000" w:themeColor="text1"/>
              </w:rPr>
            </m:ctrlPr>
          </m:sSubPr>
          <m:e>
            <w:bookmarkStart w:id="31" w:name="OLE_LINK165"/>
            <w:bookmarkStart w:id="32" w:name="OLE_LINK164"/>
            <m:r>
              <w:rPr>
                <w:rFonts w:ascii="Cambria Math" w:hAnsi="Cambria Math"/>
                <w:color w:val="000000" w:themeColor="text1"/>
              </w:rPr>
              <m:t>c</m:t>
            </m:r>
          </m:e>
          <m:sub>
            <m:r>
              <w:rPr>
                <w:rFonts w:ascii="Cambria Math" w:hAnsi="Cambria Math"/>
                <w:color w:val="000000" w:themeColor="text1"/>
              </w:rPr>
              <m:t>1</m:t>
            </m:r>
            <w:bookmarkEnd w:id="31"/>
            <w:bookmarkEnd w:id="32"/>
          </m:sub>
        </m:sSub>
        <w:bookmarkStart w:id="33" w:name="OLE_LINK167"/>
        <w:bookmarkStart w:id="34" w:name="OLE_LINK166"/>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1</m:t>
            </m:r>
          </m:sub>
        </m:sSub>
        <w:bookmarkEnd w:id="33"/>
        <w:bookmarkEnd w:id="34"/>
        <m:r>
          <m:rPr>
            <m:sty m:val="p"/>
          </m:rPr>
          <w:rPr>
            <w:rFonts w:ascii="Cambria Math" w:hAnsi="Cambria Math"/>
            <w:color w:val="000000" w:themeColor="text1"/>
          </w:rPr>
          <m:t>[</m:t>
        </m:r>
        <m:sSub>
          <m:sSubPr>
            <m:ctrlPr>
              <w:rPr>
                <w:rFonts w:ascii="Cambria Math" w:hAnsi="Cambria Math"/>
                <w:color w:val="000000" w:themeColor="text1"/>
              </w:rPr>
            </m:ctrlPr>
          </m:sSubPr>
          <m:e>
            <m:r>
              <m:rPr>
                <m:sty m:val="p"/>
              </m:rPr>
              <w:rPr>
                <w:rFonts w:ascii="Cambria Math" w:hAnsi="Cambria Math"/>
                <w:color w:val="000000" w:themeColor="text1"/>
              </w:rPr>
              <m:t>x</m:t>
            </m:r>
            <m:r>
              <w:rPr>
                <w:rFonts w:ascii="Cambria Math" w:hAnsi="Cambria Math"/>
                <w:color w:val="000000" w:themeColor="text1"/>
              </w:rPr>
              <m:t>​</m:t>
            </m:r>
          </m:e>
          <m:sub>
            <m:r>
              <w:rPr>
                <w:rFonts w:ascii="Cambria Math" w:hAnsi="Cambria Math"/>
                <w:color w:val="000000" w:themeColor="text1"/>
              </w:rPr>
              <m:t>p</m:t>
            </m:r>
          </m:sub>
        </m:sSub>
        <m:r>
          <m:rPr>
            <m:sty m:val="p"/>
          </m:rPr>
          <w:rPr>
            <w:rFonts w:ascii="Cambria Math" w:hAnsi="Cambria Math"/>
            <w:color w:val="000000" w:themeColor="text1"/>
          </w:rPr>
          <m:t>(n</m:t>
        </m:r>
        <m:r>
          <w:rPr>
            <w:rFonts w:ascii="Cambria Math" w:hAnsi="Cambria Math"/>
            <w:color w:val="000000" w:themeColor="text1"/>
          </w:rPr>
          <m:t>)-</m:t>
        </m:r>
        <m:r>
          <m:rPr>
            <m:sty m:val="p"/>
          </m:rPr>
          <w:rPr>
            <w:rFonts w:ascii="Cambria Math" w:hAnsi="Cambria Math"/>
            <w:color w:val="000000" w:themeColor="text1"/>
          </w:rPr>
          <m:t>x(n</m:t>
        </m:r>
        <m:r>
          <w:rPr>
            <w:rFonts w:ascii="Cambria Math" w:hAnsi="Cambria Math"/>
            <w:color w:val="000000" w:themeColor="text1"/>
          </w:rPr>
          <m:t>)]</m:t>
        </m:r>
      </m:oMath>
      <w:r w:rsidRPr="00EE7674">
        <w:rPr>
          <w:color w:val="000000" w:themeColor="text1"/>
        </w:rPr>
        <w:t>, where </w:t>
      </w:r>
      <m:oMath>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1</m:t>
            </m:r>
          </m:sub>
        </m:sSub>
      </m:oMath>
      <w:r w:rsidRPr="00EE7674">
        <w:rPr>
          <w:color w:val="000000" w:themeColor="text1"/>
        </w:rPr>
        <w:t>​ is the cognitive factor representing the particle's self-awareness, and </w:t>
      </w:r>
      <m:oMath>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1</m:t>
            </m:r>
          </m:sub>
        </m:sSub>
      </m:oMath>
      <w:r w:rsidRPr="00EE7674">
        <w:rPr>
          <w:color w:val="000000" w:themeColor="text1"/>
        </w:rPr>
        <w:t>​ is a random number uniformly distributed between 0 and 1.</w:t>
      </w:r>
    </w:p>
    <w:p w14:paraId="16F569FE" w14:textId="77777777" w:rsidR="0046486F" w:rsidRPr="00EE7674" w:rsidRDefault="0046486F" w:rsidP="0046486F">
      <w:pPr>
        <w:spacing w:line="360" w:lineRule="auto"/>
        <w:ind w:firstLineChars="200" w:firstLine="480"/>
        <w:rPr>
          <w:color w:val="000000" w:themeColor="text1"/>
        </w:rPr>
      </w:pPr>
      <w:r w:rsidRPr="00EE7674">
        <w:rPr>
          <w:color w:val="000000" w:themeColor="text1"/>
        </w:rPr>
        <w:t>(iii) A social force that guides the particle toward the global best position of the entire swarm, given by </w:t>
      </w:r>
      <m:oMath>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2</m:t>
            </m:r>
          </m:sub>
        </m:sSub>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2</m:t>
            </m:r>
          </m:sub>
        </m:sSub>
        <m:r>
          <m:rPr>
            <m:sty m:val="p"/>
          </m:rPr>
          <w:rPr>
            <w:rFonts w:ascii="Cambria Math" w:hAnsi="Cambria Math"/>
            <w:color w:val="000000" w:themeColor="text1"/>
          </w:rPr>
          <m:t>[</m:t>
        </m:r>
        <m:sSub>
          <m:sSubPr>
            <m:ctrlPr>
              <w:rPr>
                <w:rFonts w:ascii="Cambria Math" w:hAnsi="Cambria Math"/>
                <w:color w:val="000000" w:themeColor="text1"/>
              </w:rPr>
            </m:ctrlPr>
          </m:sSubPr>
          <m:e>
            <m:r>
              <m:rPr>
                <m:sty m:val="p"/>
              </m:rPr>
              <w:rPr>
                <w:rFonts w:ascii="Cambria Math" w:hAnsi="Cambria Math"/>
                <w:color w:val="000000" w:themeColor="text1"/>
              </w:rPr>
              <m:t>x</m:t>
            </m:r>
            <m:r>
              <w:rPr>
                <w:rFonts w:ascii="Cambria Math" w:hAnsi="Cambria Math"/>
                <w:color w:val="000000" w:themeColor="text1"/>
              </w:rPr>
              <m:t>​</m:t>
            </m:r>
          </m:e>
          <m:sub>
            <m:r>
              <w:rPr>
                <w:rFonts w:ascii="Cambria Math" w:hAnsi="Cambria Math"/>
                <w:color w:val="000000" w:themeColor="text1"/>
              </w:rPr>
              <m:t>g</m:t>
            </m:r>
          </m:sub>
        </m:sSub>
        <m:r>
          <m:rPr>
            <m:sty m:val="p"/>
          </m:rPr>
          <w:rPr>
            <w:rFonts w:ascii="Cambria Math" w:hAnsi="Cambria Math"/>
            <w:color w:val="000000" w:themeColor="text1"/>
          </w:rPr>
          <m:t>(n</m:t>
        </m:r>
        <m:r>
          <w:rPr>
            <w:rFonts w:ascii="Cambria Math" w:hAnsi="Cambria Math"/>
            <w:color w:val="000000" w:themeColor="text1"/>
          </w:rPr>
          <m:t>)-</m:t>
        </m:r>
        <m:r>
          <m:rPr>
            <m:sty m:val="p"/>
          </m:rPr>
          <w:rPr>
            <w:rFonts w:ascii="Cambria Math" w:hAnsi="Cambria Math"/>
            <w:color w:val="000000" w:themeColor="text1"/>
          </w:rPr>
          <m:t>x(n</m:t>
        </m:r>
        <m:r>
          <w:rPr>
            <w:rFonts w:ascii="Cambria Math" w:hAnsi="Cambria Math"/>
            <w:color w:val="000000" w:themeColor="text1"/>
          </w:rPr>
          <m:t>)]</m:t>
        </m:r>
      </m:oMath>
      <w:r w:rsidRPr="00EE7674">
        <w:rPr>
          <w:color w:val="000000" w:themeColor="text1"/>
        </w:rPr>
        <w:t>, where </w:t>
      </w:r>
      <m:oMath>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2</m:t>
            </m:r>
          </m:sub>
        </m:sSub>
      </m:oMath>
      <w:r w:rsidRPr="00EE7674">
        <w:rPr>
          <w:color w:val="000000" w:themeColor="text1"/>
        </w:rPr>
        <w:t>​ is the social factor representing the influence of the swarm's collective experience, and </w:t>
      </w:r>
      <m:oMath>
        <m:r>
          <w:rPr>
            <w:rFonts w:ascii="Cambria Math" w:hAnsi="Cambria Math"/>
            <w:color w:val="000000" w:themeColor="text1"/>
          </w:rPr>
          <m:t>r</m:t>
        </m:r>
      </m:oMath>
      <w:r w:rsidRPr="00EE7674">
        <w:rPr>
          <w:color w:val="000000" w:themeColor="text1"/>
        </w:rPr>
        <w:t xml:space="preserve"> ​ is another random number uniformly distributed between 0 and 1.</w:t>
      </w:r>
    </w:p>
    <w:p w14:paraId="5FEFE5E6" w14:textId="77777777" w:rsidR="0046486F" w:rsidRPr="00EE7674" w:rsidRDefault="0046486F" w:rsidP="0046486F">
      <w:pPr>
        <w:spacing w:line="360" w:lineRule="auto"/>
        <w:ind w:firstLineChars="200" w:firstLine="480"/>
        <w:rPr>
          <w:color w:val="000000" w:themeColor="text1"/>
        </w:rPr>
      </w:pPr>
      <w:r w:rsidRPr="00EE7674">
        <w:rPr>
          <w:color w:val="000000" w:themeColor="text1"/>
        </w:rPr>
        <w:t>The velocity update equation for the particle in the next generation is derived from the summation of these forces:</w:t>
      </w:r>
    </w:p>
    <w:p w14:paraId="1153A457" w14:textId="77777777" w:rsidR="0046486F" w:rsidRPr="00EE7674" w:rsidRDefault="00000000" w:rsidP="0046486F">
      <w:pPr>
        <w:spacing w:line="360" w:lineRule="auto"/>
        <w:ind w:firstLineChars="200" w:firstLine="480"/>
        <w:rPr>
          <w:color w:val="000000" w:themeColor="text1"/>
        </w:rPr>
      </w:pPr>
      <m:oMathPara>
        <m:oMath>
          <m:sSub>
            <m:sSubPr>
              <m:ctrlPr>
                <w:rPr>
                  <w:rFonts w:ascii="Cambria Math" w:hAnsi="Cambria Math"/>
                  <w:i/>
                  <w:color w:val="000000" w:themeColor="text1"/>
                </w:rPr>
              </m:ctrlPr>
            </m:sSubPr>
            <m:e>
              <m:sSub>
                <m:sSubPr>
                  <m:ctrlPr>
                    <w:rPr>
                      <w:rFonts w:ascii="Cambria Math" w:hAnsi="Cambria Math"/>
                      <w:i/>
                      <w:color w:val="000000" w:themeColor="text1"/>
                    </w:rPr>
                  </m:ctrlPr>
                </m:sSubPr>
                <m:e>
                  <m:sSub>
                    <m:sSubPr>
                      <m:ctrlPr>
                        <w:rPr>
                          <w:rFonts w:ascii="Cambria Math" w:hAnsi="Cambria Math"/>
                          <w:i/>
                          <w:color w:val="000000" w:themeColor="text1"/>
                        </w:rPr>
                      </m:ctrlPr>
                    </m:sSubPr>
                    <m:e>
                      <m:r>
                        <m:rPr>
                          <m:sty m:val="p"/>
                        </m:rPr>
                        <w:rPr>
                          <w:rFonts w:ascii="Cambria Math" w:hAnsi="Cambria Math"/>
                          <w:color w:val="000000" w:themeColor="text1"/>
                        </w:rPr>
                        <m:t>v</m:t>
                      </m:r>
                    </m:e>
                    <m:sub>
                      <m:r>
                        <w:rPr>
                          <w:rFonts w:ascii="Cambria Math" w:hAnsi="Cambria Math"/>
                          <w:color w:val="000000" w:themeColor="text1"/>
                        </w:rPr>
                        <m:t>C</m:t>
                      </m:r>
                    </m:sub>
                  </m:sSub>
                  <m:r>
                    <m:rPr>
                      <m:sty m:val="p"/>
                    </m:rPr>
                    <w:rPr>
                      <w:rFonts w:ascii="Cambria Math" w:hAnsi="Cambria Math"/>
                      <w:color w:val="000000" w:themeColor="text1"/>
                    </w:rPr>
                    <m:t>(n+1</m:t>
                  </m:r>
                  <m:r>
                    <w:rPr>
                      <w:rFonts w:ascii="Cambria Math" w:hAnsi="Cambria Math"/>
                      <w:color w:val="000000" w:themeColor="text1"/>
                    </w:rPr>
                    <m:t>)=</m:t>
                  </m:r>
                  <m:r>
                    <m:rPr>
                      <m:sty m:val="p"/>
                    </m:rPr>
                    <w:rPr>
                      <w:rFonts w:ascii="Cambria Math" w:hAnsi="Cambria Math"/>
                      <w:color w:val="000000" w:themeColor="text1"/>
                    </w:rPr>
                    <m:t>αv</m:t>
                  </m:r>
                </m:e>
                <m:sub>
                  <m:r>
                    <w:rPr>
                      <w:rFonts w:ascii="Cambria Math" w:hAnsi="Cambria Math"/>
                      <w:color w:val="000000" w:themeColor="text1"/>
                    </w:rPr>
                    <m:t>C</m:t>
                  </m:r>
                </m:sub>
              </m:sSub>
              <m:r>
                <m:rPr>
                  <m:sty m:val="p"/>
                </m:rPr>
                <w:rPr>
                  <w:rFonts w:ascii="Cambria Math" w:hAnsi="Cambria Math"/>
                  <w:color w:val="000000" w:themeColor="text1"/>
                </w:rPr>
                <m:t>(n</m:t>
              </m:r>
              <m:r>
                <w:rPr>
                  <w:rFonts w:ascii="Cambria Math" w:hAnsi="Cambria Math"/>
                  <w:color w:val="000000" w:themeColor="text1"/>
                </w:rPr>
                <m:t>)+c</m:t>
              </m:r>
            </m:e>
            <m:sub>
              <m:r>
                <w:rPr>
                  <w:rFonts w:ascii="Cambria Math" w:hAnsi="Cambria Math"/>
                  <w:color w:val="000000" w:themeColor="text1"/>
                </w:rPr>
                <m:t>1</m:t>
              </m:r>
            </m:sub>
          </m:sSub>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1</m:t>
              </m:r>
            </m:sub>
          </m:sSub>
          <m:r>
            <m:rPr>
              <m:sty m:val="p"/>
            </m:rPr>
            <w:rPr>
              <w:rFonts w:ascii="Cambria Math" w:hAnsi="Cambria Math"/>
              <w:color w:val="000000" w:themeColor="text1"/>
            </w:rPr>
            <m:t>[</m:t>
          </m:r>
          <m:sSub>
            <m:sSubPr>
              <m:ctrlPr>
                <w:rPr>
                  <w:rFonts w:ascii="Cambria Math" w:hAnsi="Cambria Math"/>
                  <w:color w:val="000000" w:themeColor="text1"/>
                </w:rPr>
              </m:ctrlPr>
            </m:sSubPr>
            <m:e>
              <m:r>
                <m:rPr>
                  <m:sty m:val="p"/>
                </m:rPr>
                <w:rPr>
                  <w:rFonts w:ascii="Cambria Math" w:hAnsi="Cambria Math"/>
                  <w:color w:val="000000" w:themeColor="text1"/>
                </w:rPr>
                <m:t>x</m:t>
              </m:r>
              <m:r>
                <w:rPr>
                  <w:rFonts w:ascii="Cambria Math" w:hAnsi="Cambria Math"/>
                  <w:color w:val="000000" w:themeColor="text1"/>
                </w:rPr>
                <m:t>​</m:t>
              </m:r>
            </m:e>
            <m:sub>
              <m:r>
                <w:rPr>
                  <w:rFonts w:ascii="Cambria Math" w:hAnsi="Cambria Math"/>
                  <w:color w:val="000000" w:themeColor="text1"/>
                </w:rPr>
                <m:t>p</m:t>
              </m:r>
            </m:sub>
          </m:sSub>
          <m:r>
            <m:rPr>
              <m:sty m:val="p"/>
            </m:rPr>
            <w:rPr>
              <w:rFonts w:ascii="Cambria Math" w:hAnsi="Cambria Math"/>
              <w:color w:val="000000" w:themeColor="text1"/>
            </w:rPr>
            <m:t>(n</m:t>
          </m:r>
          <m:r>
            <w:rPr>
              <w:rFonts w:ascii="Cambria Math" w:hAnsi="Cambria Math"/>
              <w:color w:val="000000" w:themeColor="text1"/>
            </w:rPr>
            <m:t>)-</m:t>
          </m:r>
          <m:r>
            <m:rPr>
              <m:sty m:val="p"/>
            </m:rPr>
            <w:rPr>
              <w:rFonts w:ascii="Cambria Math" w:hAnsi="Cambria Math"/>
              <w:color w:val="000000" w:themeColor="text1"/>
            </w:rPr>
            <m:t>x(n</m:t>
          </m:r>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2</m:t>
              </m:r>
            </m:sub>
          </m:sSub>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2</m:t>
              </m:r>
            </m:sub>
          </m:sSub>
          <m:r>
            <m:rPr>
              <m:sty m:val="p"/>
            </m:rPr>
            <w:rPr>
              <w:rFonts w:ascii="Cambria Math" w:hAnsi="Cambria Math"/>
              <w:color w:val="000000" w:themeColor="text1"/>
            </w:rPr>
            <m:t>[</m:t>
          </m:r>
          <m:sSub>
            <m:sSubPr>
              <m:ctrlPr>
                <w:rPr>
                  <w:rFonts w:ascii="Cambria Math" w:hAnsi="Cambria Math"/>
                  <w:color w:val="000000" w:themeColor="text1"/>
                </w:rPr>
              </m:ctrlPr>
            </m:sSubPr>
            <m:e>
              <m:r>
                <m:rPr>
                  <m:sty m:val="p"/>
                </m:rPr>
                <w:rPr>
                  <w:rFonts w:ascii="Cambria Math" w:hAnsi="Cambria Math"/>
                  <w:color w:val="000000" w:themeColor="text1"/>
                </w:rPr>
                <m:t>x</m:t>
              </m:r>
              <m:r>
                <w:rPr>
                  <w:rFonts w:ascii="Cambria Math" w:hAnsi="Cambria Math"/>
                  <w:color w:val="000000" w:themeColor="text1"/>
                </w:rPr>
                <m:t>​</m:t>
              </m:r>
            </m:e>
            <m:sub>
              <m:r>
                <w:rPr>
                  <w:rFonts w:ascii="Cambria Math" w:hAnsi="Cambria Math"/>
                  <w:color w:val="000000" w:themeColor="text1"/>
                </w:rPr>
                <m:t>g</m:t>
              </m:r>
            </m:sub>
          </m:sSub>
          <m:r>
            <m:rPr>
              <m:sty m:val="p"/>
            </m:rPr>
            <w:rPr>
              <w:rFonts w:ascii="Cambria Math" w:hAnsi="Cambria Math"/>
              <w:color w:val="000000" w:themeColor="text1"/>
            </w:rPr>
            <m:t>(n</m:t>
          </m:r>
          <m:r>
            <w:rPr>
              <w:rFonts w:ascii="Cambria Math" w:hAnsi="Cambria Math"/>
              <w:color w:val="000000" w:themeColor="text1"/>
            </w:rPr>
            <m:t>)-</m:t>
          </m:r>
          <m:r>
            <m:rPr>
              <m:sty m:val="p"/>
            </m:rPr>
            <w:rPr>
              <w:rFonts w:ascii="Cambria Math" w:hAnsi="Cambria Math"/>
              <w:color w:val="000000" w:themeColor="text1"/>
            </w:rPr>
            <m:t>x(n</m:t>
          </m:r>
          <m:r>
            <w:rPr>
              <w:rFonts w:ascii="Cambria Math" w:hAnsi="Cambria Math"/>
              <w:color w:val="000000" w:themeColor="text1"/>
            </w:rPr>
            <m:t>)]</m:t>
          </m:r>
        </m:oMath>
      </m:oMathPara>
    </w:p>
    <w:p w14:paraId="50D453C7" w14:textId="77777777" w:rsidR="0046486F" w:rsidRPr="00EE7674" w:rsidRDefault="0046486F" w:rsidP="0046486F">
      <w:pPr>
        <w:spacing w:line="360" w:lineRule="auto"/>
        <w:ind w:firstLineChars="200" w:firstLine="480"/>
        <w:rPr>
          <w:color w:val="000000" w:themeColor="text1"/>
        </w:rPr>
      </w:pPr>
      <w:r w:rsidRPr="00EE7674">
        <w:rPr>
          <w:color w:val="000000" w:themeColor="text1"/>
        </w:rPr>
        <w:t xml:space="preserve">In our implementation using the Lumerical solver, we adopted the default values of c1​=c2​=1.49, which are commonly used in the literature. The inertial weight α was linearly varied between 0.4 and 0.9 to ensure robust convergence, as verified in numerous optimization studies </w:t>
      </w:r>
      <w:r w:rsidRPr="00EE7674">
        <w:rPr>
          <w:color w:val="000000" w:themeColor="text1"/>
        </w:rPr>
        <w:lastRenderedPageBreak/>
        <w:t>for photonic design problems. The position of the particle in the next generation is subsequently updated according to:</w:t>
      </w:r>
    </w:p>
    <w:p w14:paraId="7C9EDFA4" w14:textId="77777777" w:rsidR="0046486F" w:rsidRPr="00EE7674" w:rsidRDefault="00000000" w:rsidP="0046486F">
      <w:pPr>
        <w:spacing w:line="360" w:lineRule="auto"/>
        <w:ind w:firstLineChars="200" w:firstLine="480"/>
        <w:rPr>
          <w:color w:val="000000" w:themeColor="text1"/>
        </w:rPr>
      </w:pPr>
      <m:oMathPara>
        <m:oMath>
          <m:sSub>
            <m:sSubPr>
              <m:ctrlPr>
                <w:rPr>
                  <w:rFonts w:ascii="Cambria Math" w:hAnsi="Cambria Math"/>
                  <w:i/>
                  <w:color w:val="000000" w:themeColor="text1"/>
                </w:rPr>
              </m:ctrlPr>
            </m:sSubPr>
            <m:e>
              <m:sSub>
                <m:sSubPr>
                  <m:ctrlPr>
                    <w:rPr>
                      <w:rFonts w:ascii="Cambria Math" w:hAnsi="Cambria Math"/>
                      <w:i/>
                      <w:color w:val="000000" w:themeColor="text1"/>
                    </w:rPr>
                  </m:ctrlPr>
                </m:sSubPr>
                <m:e>
                  <m:sSub>
                    <m:sSubPr>
                      <m:ctrlPr>
                        <w:rPr>
                          <w:rFonts w:ascii="Cambria Math" w:hAnsi="Cambria Math"/>
                          <w:i/>
                          <w:color w:val="000000" w:themeColor="text1"/>
                        </w:rPr>
                      </m:ctrlPr>
                    </m:sSubPr>
                    <m:e>
                      <m:r>
                        <m:rPr>
                          <m:sty m:val="p"/>
                        </m:rPr>
                        <w:rPr>
                          <w:rFonts w:ascii="Cambria Math" w:hAnsi="Cambria Math"/>
                          <w:color w:val="000000" w:themeColor="text1"/>
                        </w:rPr>
                        <m:t>x</m:t>
                      </m:r>
                    </m:e>
                    <m:sub>
                      <m:r>
                        <w:rPr>
                          <w:rFonts w:ascii="Cambria Math" w:hAnsi="Cambria Math"/>
                          <w:color w:val="000000" w:themeColor="text1"/>
                        </w:rPr>
                        <m:t>C</m:t>
                      </m:r>
                    </m:sub>
                  </m:sSub>
                  <m:r>
                    <m:rPr>
                      <m:sty m:val="p"/>
                    </m:rPr>
                    <w:rPr>
                      <w:rFonts w:ascii="Cambria Math" w:hAnsi="Cambria Math"/>
                      <w:color w:val="000000" w:themeColor="text1"/>
                    </w:rPr>
                    <m:t>(n+1</m:t>
                  </m:r>
                  <m:r>
                    <w:rPr>
                      <w:rFonts w:ascii="Cambria Math" w:hAnsi="Cambria Math"/>
                      <w:color w:val="000000" w:themeColor="text1"/>
                    </w:rPr>
                    <m:t>)=</m:t>
                  </m:r>
                  <m:r>
                    <m:rPr>
                      <m:sty m:val="p"/>
                    </m:rPr>
                    <w:rPr>
                      <w:rFonts w:ascii="Cambria Math" w:hAnsi="Cambria Math"/>
                      <w:color w:val="000000" w:themeColor="text1"/>
                    </w:rPr>
                    <m:t>x</m:t>
                  </m:r>
                </m:e>
                <m:sub>
                  <m:r>
                    <w:rPr>
                      <w:rFonts w:ascii="Cambria Math" w:hAnsi="Cambria Math"/>
                      <w:color w:val="000000" w:themeColor="text1"/>
                    </w:rPr>
                    <m:t>C</m:t>
                  </m:r>
                </m:sub>
              </m:sSub>
              <m:r>
                <m:rPr>
                  <m:sty m:val="p"/>
                </m:rPr>
                <w:rPr>
                  <w:rFonts w:ascii="Cambria Math" w:hAnsi="Cambria Math"/>
                  <w:color w:val="000000" w:themeColor="text1"/>
                </w:rPr>
                <m:t>(n</m:t>
              </m:r>
              <m:r>
                <w:rPr>
                  <w:rFonts w:ascii="Cambria Math" w:hAnsi="Cambria Math"/>
                  <w:color w:val="000000" w:themeColor="text1"/>
                </w:rPr>
                <m:t>)+v</m:t>
              </m:r>
            </m:e>
            <m:sub>
              <m:r>
                <w:rPr>
                  <w:rFonts w:ascii="Cambria Math" w:hAnsi="Cambria Math"/>
                  <w:color w:val="000000" w:themeColor="text1"/>
                </w:rPr>
                <m:t>c</m:t>
              </m:r>
            </m:sub>
          </m:sSub>
          <m:r>
            <m:rPr>
              <m:sty m:val="p"/>
            </m:rPr>
            <w:rPr>
              <w:rFonts w:ascii="Cambria Math" w:hAnsi="Cambria Math"/>
              <w:color w:val="000000" w:themeColor="text1"/>
            </w:rPr>
            <m:t>(n+1</m:t>
          </m:r>
          <m:r>
            <w:rPr>
              <w:rFonts w:ascii="Cambria Math" w:hAnsi="Cambria Math"/>
              <w:color w:val="000000" w:themeColor="text1"/>
            </w:rPr>
            <m:t>)</m:t>
          </m:r>
        </m:oMath>
      </m:oMathPara>
    </w:p>
    <w:p w14:paraId="75F69B6C" w14:textId="77777777" w:rsidR="0046486F" w:rsidRPr="00EE7674" w:rsidRDefault="0046486F" w:rsidP="0046486F">
      <w:pPr>
        <w:spacing w:line="360" w:lineRule="auto"/>
        <w:ind w:firstLineChars="200" w:firstLine="480"/>
        <w:rPr>
          <w:color w:val="000000" w:themeColor="text1"/>
        </w:rPr>
      </w:pPr>
      <w:r w:rsidRPr="00EE7674">
        <w:rPr>
          <w:color w:val="000000" w:themeColor="text1"/>
        </w:rPr>
        <w:t>This approach effectively balances the exploration and exploitation capabilities of the PSO algorithm, facilitating efficient optimization within the complex parameter space.</w:t>
      </w:r>
    </w:p>
    <w:p w14:paraId="6813DA4C" w14:textId="77777777" w:rsidR="00652006" w:rsidRPr="00EE7674" w:rsidRDefault="00652006" w:rsidP="0046486F">
      <w:pPr>
        <w:spacing w:line="360" w:lineRule="auto"/>
        <w:ind w:firstLineChars="200" w:firstLine="480"/>
        <w:rPr>
          <w:color w:val="000000" w:themeColor="text1"/>
        </w:rPr>
      </w:pPr>
    </w:p>
    <w:p w14:paraId="351618F1" w14:textId="6E9FCEF1" w:rsidR="0046486F" w:rsidRPr="00EE7674" w:rsidRDefault="0046486F" w:rsidP="0046486F">
      <w:pPr>
        <w:pStyle w:val="1"/>
        <w:rPr>
          <w:color w:val="000000" w:themeColor="text1"/>
        </w:rPr>
      </w:pPr>
      <w:bookmarkStart w:id="35" w:name="_Toc194674153"/>
      <w:r w:rsidRPr="00EE7674">
        <w:rPr>
          <w:color w:val="000000" w:themeColor="text1"/>
        </w:rPr>
        <w:t>S</w:t>
      </w:r>
      <w:r w:rsidR="00653316" w:rsidRPr="00EE7674">
        <w:rPr>
          <w:color w:val="000000" w:themeColor="text1"/>
        </w:rPr>
        <w:t>5</w:t>
      </w:r>
      <w:r w:rsidRPr="00EE7674">
        <w:rPr>
          <w:color w:val="000000" w:themeColor="text1"/>
        </w:rPr>
        <w:t>. Manufacturing and processing of IDM-MetaSPR sensor</w:t>
      </w:r>
      <w:bookmarkEnd w:id="35"/>
    </w:p>
    <w:p w14:paraId="2BC79491" w14:textId="3E1721F6" w:rsidR="0046486F" w:rsidRPr="00EE7674" w:rsidRDefault="0046486F" w:rsidP="0046486F">
      <w:pPr>
        <w:spacing w:line="360" w:lineRule="auto"/>
        <w:ind w:firstLineChars="200" w:firstLine="480"/>
        <w:rPr>
          <w:color w:val="000000" w:themeColor="text1"/>
        </w:rPr>
      </w:pPr>
      <w:bookmarkStart w:id="36" w:name="OLE_LINK254"/>
      <w:bookmarkStart w:id="37" w:name="OLE_LINK253"/>
      <w:r w:rsidRPr="00EE7674">
        <w:rPr>
          <w:color w:val="000000" w:themeColor="text1"/>
        </w:rPr>
        <w:t xml:space="preserve">The development IDM-MetaSPR sensor is shown in </w:t>
      </w:r>
      <w:r w:rsidR="0061600F" w:rsidRPr="00EE7674">
        <w:rPr>
          <w:color w:val="000000" w:themeColor="text1"/>
        </w:rPr>
        <w:t xml:space="preserve">Fig. </w:t>
      </w:r>
      <w:r w:rsidRPr="00EE7674">
        <w:rPr>
          <w:color w:val="000000" w:themeColor="text1"/>
        </w:rPr>
        <w:t>S12, which encompasses various stages such as design</w:t>
      </w:r>
      <w:bookmarkEnd w:id="36"/>
      <w:bookmarkEnd w:id="37"/>
      <w:r w:rsidRPr="00EE7674">
        <w:rPr>
          <w:color w:val="000000" w:themeColor="text1"/>
        </w:rPr>
        <w:t xml:space="preserve"> (a) Design of Metasurface Structure and Parameters: The initial step involves the design of the metasurface structure and its parameters. This includes defining the geometry, periodicity, and other critical dimensions that will determine the optical properties of the sensor. (b) Fabrication of Imprint Templates: The next step is the creation of imprint templates. These templates are designed to transfer the metasurface patterns onto the target substrate. Typically, this involves high-precision lithography and etching processes to ensure the accuracy of the patterns. (c) Nanoimprint Transfer of Structural Parameters: The metasurface patterns are then transferred onto the substrate using nanoimprint lithography. This process involves pressing the imprint template against the substrate under controlled conditions to replicate the designed patterns with high fidelity. (d) Plasma Coating: After the patterns are transferred, plasma coating is applied. This step involves depositing thin layers of materials (such as metals or dielectrics) onto the nanostructured surface using plasma-enhanced techniques. This includes depositing multiple layers of materials (such as Cr, Ag, and Au) to achieve the desired plasmonic properties and improve the sensor's performance. (e) Quality Inspection and Storage of Multilayer Metasurface Sensors: The fabricated multilayer metasurface sensors undergo quality inspection to ensure they meet the required performance standards. After passing inspection, the sensors are stored under appropriate conditions to maintain their integrity and functionality. (f) Assembly with Standard Plates (e.g., 96-Well Plates): The final step involves assembling the fabricated metasurface sensors with standard detection devices, such as 96-well plates. This assembly allows for high-throughput detection and compatibility with existing microplate readers, making the sensor suitable for various applications.</w:t>
      </w:r>
    </w:p>
    <w:p w14:paraId="5669EF79" w14:textId="77777777" w:rsidR="0092793C" w:rsidRPr="00EE7674" w:rsidRDefault="0092793C" w:rsidP="0046486F">
      <w:pPr>
        <w:spacing w:line="360" w:lineRule="auto"/>
        <w:ind w:firstLineChars="200" w:firstLine="480"/>
        <w:rPr>
          <w:color w:val="000000" w:themeColor="text1"/>
        </w:rPr>
      </w:pPr>
    </w:p>
    <w:p w14:paraId="2EEFD99F" w14:textId="3A106225" w:rsidR="0046486F" w:rsidRPr="00EE7674" w:rsidRDefault="0046486F" w:rsidP="0046486F">
      <w:pPr>
        <w:pStyle w:val="1"/>
        <w:rPr>
          <w:color w:val="000000" w:themeColor="text1"/>
        </w:rPr>
      </w:pPr>
      <w:bookmarkStart w:id="38" w:name="OLE_LINK125"/>
      <w:bookmarkStart w:id="39" w:name="OLE_LINK124"/>
      <w:bookmarkStart w:id="40" w:name="_Toc194674159"/>
      <w:bookmarkStart w:id="41" w:name="OLE_LINK152"/>
      <w:bookmarkStart w:id="42" w:name="OLE_LINK151"/>
      <w:bookmarkEnd w:id="27"/>
      <w:bookmarkEnd w:id="28"/>
      <w:r w:rsidRPr="00EE7674">
        <w:rPr>
          <w:color w:val="000000" w:themeColor="text1"/>
        </w:rPr>
        <w:lastRenderedPageBreak/>
        <w:t>S</w:t>
      </w:r>
      <w:bookmarkEnd w:id="38"/>
      <w:bookmarkEnd w:id="39"/>
      <w:r w:rsidR="001643E4" w:rsidRPr="00EE7674">
        <w:rPr>
          <w:color w:val="000000" w:themeColor="text1"/>
        </w:rPr>
        <w:t>6</w:t>
      </w:r>
      <w:r w:rsidRPr="00EE7674">
        <w:rPr>
          <w:color w:val="000000" w:themeColor="text1"/>
        </w:rPr>
        <w:t xml:space="preserve">. </w:t>
      </w:r>
      <w:bookmarkStart w:id="43" w:name="OLE_LINK82"/>
      <w:bookmarkStart w:id="44" w:name="OLE_LINK81"/>
      <w:r w:rsidRPr="00EE7674">
        <w:rPr>
          <w:color w:val="000000" w:themeColor="text1"/>
        </w:rPr>
        <w:t>The mechanism and localization of SPP and Wood anomalies</w:t>
      </w:r>
      <w:bookmarkEnd w:id="40"/>
    </w:p>
    <w:p w14:paraId="427C6561" w14:textId="5177D40B" w:rsidR="0046486F" w:rsidRPr="00EE7674" w:rsidRDefault="0061600F" w:rsidP="0046486F">
      <w:pPr>
        <w:spacing w:line="360" w:lineRule="auto"/>
        <w:ind w:firstLineChars="200" w:firstLine="489"/>
        <w:rPr>
          <w:color w:val="000000" w:themeColor="text1"/>
        </w:rPr>
      </w:pPr>
      <w:bookmarkStart w:id="45" w:name="OLE_LINK88"/>
      <w:bookmarkStart w:id="46" w:name="OLE_LINK87"/>
      <w:bookmarkEnd w:id="43"/>
      <w:bookmarkEnd w:id="44"/>
      <w:r w:rsidRPr="00EE7674">
        <w:rPr>
          <w:b/>
          <w:bCs/>
          <w:color w:val="000000" w:themeColor="text1"/>
        </w:rPr>
        <w:t xml:space="preserve">Fig. </w:t>
      </w:r>
      <w:r w:rsidR="0046486F" w:rsidRPr="00EE7674">
        <w:rPr>
          <w:b/>
          <w:bCs/>
          <w:color w:val="000000" w:themeColor="text1"/>
        </w:rPr>
        <w:t>S18</w:t>
      </w:r>
      <w:r w:rsidR="0046486F" w:rsidRPr="00EE7674">
        <w:rPr>
          <w:color w:val="000000" w:themeColor="text1"/>
        </w:rPr>
        <w:t xml:space="preserve"> illustrates the transmission spectra of the nanocup metasurface array with a period of 475 nm immersed in water and various concentrations of sucrose. Due to the presence of multiple effects, as well as different orders of BW-SPP, Wood anomalies, and their mutual coupling, the optical behavior of metasurface nanocages will be more complex. </w:t>
      </w:r>
    </w:p>
    <w:p w14:paraId="394A120E" w14:textId="77777777" w:rsidR="0046486F" w:rsidRPr="00EE7674" w:rsidRDefault="0046486F" w:rsidP="0046486F">
      <w:pPr>
        <w:spacing w:line="360" w:lineRule="auto"/>
        <w:ind w:firstLineChars="200" w:firstLine="480"/>
        <w:rPr>
          <w:color w:val="000000" w:themeColor="text1"/>
        </w:rPr>
      </w:pPr>
      <w:r w:rsidRPr="00EE7674">
        <w:rPr>
          <w:color w:val="000000" w:themeColor="text1"/>
        </w:rPr>
        <w:t xml:space="preserve">Within a water medium, the spectrum exhibits distinct transmission peaks and dips, which arise from the interactions of localized surface plasmon resonance (LSPR), Bloch wave surface plasmon polaritons (BW-SPPs), and Wood's anomalies. The LSPR within the nanocup induces a broad resonance peak in the transmission spectrum. The interplay between LSPR and either BW-SPPs or Wood's anomalies gives rise to a Fano-like resonance profile, characterized by a minimum and a neighboring maximum, nearly coincident with the position anticipated by </w:t>
      </w:r>
      <w:bookmarkStart w:id="47" w:name="OLE_LINK117"/>
      <w:bookmarkStart w:id="48" w:name="OLE_LINK116"/>
      <w:bookmarkStart w:id="49" w:name="OLE_LINK126"/>
      <w:bookmarkStart w:id="50" w:name="OLE_LINK127"/>
      <w:r w:rsidRPr="00EE7674">
        <w:rPr>
          <w:color w:val="000000" w:themeColor="text1"/>
        </w:rPr>
        <w:t>Equation (S4)</w:t>
      </w:r>
      <w:bookmarkEnd w:id="47"/>
      <w:bookmarkEnd w:id="48"/>
      <w:r w:rsidRPr="00EE7674">
        <w:rPr>
          <w:color w:val="000000" w:themeColor="text1"/>
        </w:rPr>
        <w:t xml:space="preserve"> or Equation (S6)</w:t>
      </w:r>
      <w:bookmarkEnd w:id="49"/>
      <w:bookmarkEnd w:id="50"/>
      <w:r w:rsidRPr="00EE7674">
        <w:rPr>
          <w:color w:val="000000" w:themeColor="text1"/>
        </w:rPr>
        <w:t xml:space="preserve">. </w:t>
      </w:r>
    </w:p>
    <w:bookmarkEnd w:id="41"/>
    <w:bookmarkEnd w:id="42"/>
    <w:bookmarkEnd w:id="45"/>
    <w:bookmarkEnd w:id="46"/>
    <w:p w14:paraId="77BECA83" w14:textId="77777777" w:rsidR="0046486F" w:rsidRPr="00EE7674" w:rsidRDefault="0046486F" w:rsidP="0046486F">
      <w:pPr>
        <w:spacing w:line="360" w:lineRule="auto"/>
        <w:ind w:firstLineChars="200" w:firstLine="480"/>
        <w:rPr>
          <w:color w:val="000000" w:themeColor="text1"/>
        </w:rPr>
      </w:pPr>
    </w:p>
    <w:p w14:paraId="6D6C0810" w14:textId="23DEB107" w:rsidR="0046486F" w:rsidRPr="00EE7674" w:rsidRDefault="0046486F" w:rsidP="0046486F">
      <w:pPr>
        <w:pStyle w:val="1"/>
        <w:rPr>
          <w:color w:val="000000" w:themeColor="text1"/>
        </w:rPr>
      </w:pPr>
      <w:bookmarkStart w:id="51" w:name="_Toc194674160"/>
      <w:r w:rsidRPr="00EE7674">
        <w:rPr>
          <w:color w:val="000000" w:themeColor="text1"/>
        </w:rPr>
        <w:t>S</w:t>
      </w:r>
      <w:r w:rsidR="000F3E4D" w:rsidRPr="00EE7674">
        <w:rPr>
          <w:color w:val="000000" w:themeColor="text1"/>
        </w:rPr>
        <w:t>7</w:t>
      </w:r>
      <w:r w:rsidRPr="00EE7674">
        <w:rPr>
          <w:color w:val="000000" w:themeColor="text1"/>
        </w:rPr>
        <w:t>. Simulation results of multilayer metasurface based on resonance peak shift</w:t>
      </w:r>
      <w:bookmarkEnd w:id="51"/>
      <w:r w:rsidRPr="00EE7674">
        <w:rPr>
          <w:color w:val="000000" w:themeColor="text1"/>
        </w:rPr>
        <w:t xml:space="preserve"> </w:t>
      </w:r>
    </w:p>
    <w:p w14:paraId="647E2D0B" w14:textId="77777777" w:rsidR="0046486F" w:rsidRPr="00EE7674" w:rsidRDefault="0046486F" w:rsidP="0046486F">
      <w:pPr>
        <w:spacing w:line="360" w:lineRule="auto"/>
        <w:ind w:firstLineChars="200" w:firstLine="480"/>
        <w:rPr>
          <w:color w:val="000000" w:themeColor="text1"/>
        </w:rPr>
      </w:pPr>
      <w:r w:rsidRPr="00EE7674">
        <w:rPr>
          <w:color w:val="000000" w:themeColor="text1"/>
        </w:rPr>
        <w:t>We calculated the effect of metasurface parameters on FoM based on resonance peak shift. The calculation of FoM can be expressed as follows:</w:t>
      </w:r>
    </w:p>
    <w:tbl>
      <w:tblPr>
        <w:tblStyle w:val="affff9"/>
        <w:tblW w:w="829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3"/>
        <w:gridCol w:w="1063"/>
      </w:tblGrid>
      <w:tr w:rsidR="0046486F" w:rsidRPr="00EE7674" w14:paraId="3A00725A" w14:textId="77777777" w:rsidTr="0075620E">
        <w:tc>
          <w:tcPr>
            <w:tcW w:w="7233" w:type="dxa"/>
            <w:vAlign w:val="center"/>
          </w:tcPr>
          <w:p w14:paraId="5792FA1A" w14:textId="77777777" w:rsidR="0046486F" w:rsidRPr="00EE7674" w:rsidRDefault="00000000" w:rsidP="0075620E">
            <w:pPr>
              <w:spacing w:line="360" w:lineRule="auto"/>
              <w:jc w:val="center"/>
              <w:rPr>
                <w:rFonts w:ascii="Times New Roman" w:hAnsi="Times New Roman" w:cs="Times New Roman"/>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FOM</m:t>
                    </m:r>
                  </m:e>
                  <m:sub>
                    <m:r>
                      <w:rPr>
                        <w:rFonts w:ascii="Cambria Math" w:hAnsi="Cambria Math" w:cs="Times New Roman"/>
                        <w:color w:val="000000" w:themeColor="text1"/>
                      </w:rPr>
                      <m:t>shift</m:t>
                    </m:r>
                  </m:sub>
                </m:sSub>
                <m:r>
                  <w:rPr>
                    <w:rFonts w:ascii="Cambria Math" w:hAnsi="Cambria Math" w:cs="Times New Roman"/>
                    <w:color w:val="000000" w:themeColor="text1"/>
                  </w:rPr>
                  <m:t>=</m:t>
                </m:r>
                <m:f>
                  <m:fPr>
                    <m:ctrlPr>
                      <w:rPr>
                        <w:rFonts w:ascii="Cambria Math" w:hAnsi="Cambria Math" w:cs="Times New Roman"/>
                        <w:i/>
                        <w:color w:val="000000" w:themeColor="text1"/>
                      </w:rPr>
                    </m:ctrlPr>
                  </m:fPr>
                  <m:num>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peak</m:t>
                        </m:r>
                      </m:e>
                      <m:sub>
                        <m:r>
                          <w:rPr>
                            <w:rFonts w:ascii="Cambria Math" w:hAnsi="Cambria Math" w:cs="Times New Roman"/>
                            <w:color w:val="000000" w:themeColor="text1"/>
                          </w:rPr>
                          <m:t>det</m:t>
                        </m:r>
                      </m:sub>
                    </m:sSub>
                    <m:r>
                      <w:rPr>
                        <w:rFonts w:ascii="Cambria Math" w:hAnsi="Cambria Math" w:cs="Times New Roman"/>
                        <w:color w:val="000000" w:themeColor="text1"/>
                      </w:rPr>
                      <m:t>-</m:t>
                    </m:r>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peak</m:t>
                        </m:r>
                      </m:e>
                      <m:sub>
                        <m:r>
                          <w:rPr>
                            <w:rFonts w:ascii="Cambria Math" w:hAnsi="Cambria Math" w:cs="Times New Roman"/>
                            <w:color w:val="000000" w:themeColor="text1"/>
                          </w:rPr>
                          <m:t>ref</m:t>
                        </m:r>
                      </m:sub>
                    </m:sSub>
                  </m:num>
                  <m:den>
                    <m:r>
                      <w:rPr>
                        <w:rFonts w:ascii="Cambria Math" w:hAnsi="Cambria Math" w:cs="Times New Roman"/>
                        <w:color w:val="000000" w:themeColor="text1"/>
                      </w:rPr>
                      <m:t>δn*FWHM</m:t>
                    </m:r>
                  </m:den>
                </m:f>
              </m:oMath>
            </m:oMathPara>
          </w:p>
        </w:tc>
        <w:tc>
          <w:tcPr>
            <w:tcW w:w="1063" w:type="dxa"/>
            <w:vAlign w:val="center"/>
          </w:tcPr>
          <w:p w14:paraId="3C91A1FE" w14:textId="77777777" w:rsidR="0046486F" w:rsidRPr="00EE7674" w:rsidRDefault="0046486F" w:rsidP="0075620E">
            <w:pPr>
              <w:spacing w:line="360" w:lineRule="auto"/>
              <w:jc w:val="center"/>
              <w:rPr>
                <w:rFonts w:ascii="Times New Roman" w:hAnsi="Times New Roman" w:cs="Times New Roman"/>
                <w:color w:val="000000" w:themeColor="text1"/>
              </w:rPr>
            </w:pPr>
            <w:r w:rsidRPr="00EE7674">
              <w:rPr>
                <w:rFonts w:ascii="Times New Roman" w:hAnsi="Times New Roman" w:cs="Times New Roman"/>
                <w:color w:val="000000" w:themeColor="text1"/>
              </w:rPr>
              <w:t>(S9)</w:t>
            </w:r>
          </w:p>
        </w:tc>
      </w:tr>
    </w:tbl>
    <w:p w14:paraId="492AF73E" w14:textId="77777777" w:rsidR="0046486F" w:rsidRPr="00EE7674" w:rsidRDefault="0046486F" w:rsidP="0046486F">
      <w:pPr>
        <w:pStyle w:val="Addresses"/>
        <w:spacing w:line="360" w:lineRule="auto"/>
        <w:rPr>
          <w:rFonts w:eastAsia="Times New Roman"/>
          <w:color w:val="000000" w:themeColor="text1"/>
        </w:rPr>
      </w:pPr>
    </w:p>
    <w:p w14:paraId="3A15EAD2" w14:textId="77777777" w:rsidR="0046486F" w:rsidRPr="00EE7674" w:rsidRDefault="0046486F" w:rsidP="0046486F">
      <w:pPr>
        <w:pStyle w:val="Addresses"/>
        <w:spacing w:line="360" w:lineRule="auto"/>
        <w:rPr>
          <w:rFonts w:eastAsia="Times New Roman"/>
          <w:color w:val="000000" w:themeColor="text1"/>
        </w:rPr>
      </w:pPr>
    </w:p>
    <w:p w14:paraId="75DE413E" w14:textId="23542CC1" w:rsidR="0046486F" w:rsidRPr="00EE7674" w:rsidRDefault="0046486F" w:rsidP="0046486F">
      <w:pPr>
        <w:pStyle w:val="1"/>
        <w:rPr>
          <w:color w:val="000000" w:themeColor="text1"/>
        </w:rPr>
      </w:pPr>
      <w:bookmarkStart w:id="52" w:name="_Toc194674161"/>
      <w:r w:rsidRPr="00EE7674">
        <w:rPr>
          <w:color w:val="000000" w:themeColor="text1"/>
        </w:rPr>
        <w:t>S</w:t>
      </w:r>
      <w:r w:rsidR="00C11721" w:rsidRPr="00EE7674">
        <w:rPr>
          <w:color w:val="000000" w:themeColor="text1"/>
        </w:rPr>
        <w:t>8</w:t>
      </w:r>
      <w:r w:rsidRPr="00EE7674">
        <w:rPr>
          <w:color w:val="000000" w:themeColor="text1"/>
        </w:rPr>
        <w:t xml:space="preserve">. </w:t>
      </w:r>
      <w:bookmarkStart w:id="53" w:name="OLE_LINK457"/>
      <w:bookmarkStart w:id="54" w:name="OLE_LINK455"/>
      <w:bookmarkStart w:id="55" w:name="OLE_LINK456"/>
      <w:bookmarkStart w:id="56" w:name="OLE_LINK437"/>
      <w:bookmarkStart w:id="57" w:name="OLE_LINK436"/>
      <w:bookmarkStart w:id="58" w:name="OLE_LINK458"/>
      <w:bookmarkStart w:id="59" w:name="OLE_LINK459"/>
      <w:r w:rsidRPr="00EE7674">
        <w:rPr>
          <w:color w:val="000000" w:themeColor="text1"/>
        </w:rPr>
        <w:t xml:space="preserve">Comparation </w:t>
      </w:r>
      <w:bookmarkEnd w:id="53"/>
      <w:bookmarkEnd w:id="54"/>
      <w:bookmarkEnd w:id="55"/>
      <w:r w:rsidRPr="00EE7674">
        <w:rPr>
          <w:color w:val="000000" w:themeColor="text1"/>
        </w:rPr>
        <w:t xml:space="preserve">of IDM-MetaSPR sensor’s sensitivity and </w:t>
      </w:r>
      <w:bookmarkEnd w:id="56"/>
      <w:bookmarkEnd w:id="57"/>
      <w:r w:rsidRPr="00EE7674">
        <w:rPr>
          <w:color w:val="000000" w:themeColor="text1"/>
        </w:rPr>
        <w:t>FoM</w:t>
      </w:r>
      <w:bookmarkEnd w:id="52"/>
      <w:bookmarkEnd w:id="58"/>
      <w:bookmarkEnd w:id="59"/>
      <w:r w:rsidRPr="00EE7674">
        <w:rPr>
          <w:color w:val="000000" w:themeColor="text1"/>
        </w:rPr>
        <w:t xml:space="preserve"> </w:t>
      </w:r>
    </w:p>
    <w:p w14:paraId="6A79E83F" w14:textId="77777777" w:rsidR="0046486F" w:rsidRPr="00EE7674" w:rsidRDefault="0046486F" w:rsidP="0046486F">
      <w:pPr>
        <w:spacing w:line="360" w:lineRule="auto"/>
        <w:ind w:firstLineChars="200" w:firstLine="480"/>
        <w:rPr>
          <w:color w:val="000000" w:themeColor="text1"/>
        </w:rPr>
      </w:pPr>
      <w:bookmarkStart w:id="60" w:name="OLE_LINK136"/>
      <w:bookmarkStart w:id="61" w:name="OLE_LINK135"/>
      <w:r w:rsidRPr="00EE7674">
        <w:rPr>
          <w:color w:val="000000" w:themeColor="text1"/>
        </w:rPr>
        <w:t xml:space="preserve">To evaluate and demonstrate the performance of the developed </w:t>
      </w:r>
      <w:r w:rsidRPr="00EE7674">
        <w:rPr>
          <w:color w:val="000000" w:themeColor="text1"/>
          <w:szCs w:val="32"/>
        </w:rPr>
        <w:t>IDM-MetaSPR</w:t>
      </w:r>
      <w:r w:rsidRPr="00EE7674">
        <w:rPr>
          <w:color w:val="000000" w:themeColor="text1"/>
        </w:rPr>
        <w:t xml:space="preserve"> sensor, we also compared it with relevant reported works. </w:t>
      </w:r>
      <w:bookmarkStart w:id="62" w:name="OLE_LINK465"/>
      <w:bookmarkStart w:id="63" w:name="OLE_LINK463"/>
      <w:bookmarkStart w:id="64" w:name="OLE_LINK464"/>
      <w:bookmarkEnd w:id="60"/>
      <w:bookmarkEnd w:id="61"/>
      <w:r w:rsidRPr="00EE7674">
        <w:rPr>
          <w:color w:val="000000" w:themeColor="text1"/>
        </w:rPr>
        <w:t xml:space="preserve">By definition in the “material and methods” section, we calculate the sensitivity and FoM of our </w:t>
      </w:r>
      <w:bookmarkStart w:id="65" w:name="OLE_LINK476"/>
      <w:bookmarkStart w:id="66" w:name="OLE_LINK475"/>
      <w:r w:rsidRPr="00EE7674">
        <w:rPr>
          <w:color w:val="000000" w:themeColor="text1"/>
          <w:szCs w:val="32"/>
        </w:rPr>
        <w:t>IDM-MetaSPR</w:t>
      </w:r>
      <w:r w:rsidRPr="00EE7674">
        <w:rPr>
          <w:color w:val="000000" w:themeColor="text1"/>
        </w:rPr>
        <w:t xml:space="preserve"> sensor</w:t>
      </w:r>
      <w:bookmarkEnd w:id="62"/>
      <w:bookmarkEnd w:id="63"/>
      <w:bookmarkEnd w:id="64"/>
      <w:r w:rsidRPr="00EE7674">
        <w:rPr>
          <w:color w:val="000000" w:themeColor="text1"/>
        </w:rPr>
        <w:t>.</w:t>
      </w:r>
      <w:bookmarkEnd w:id="65"/>
      <w:bookmarkEnd w:id="66"/>
      <w:r w:rsidRPr="00EE7674">
        <w:rPr>
          <w:color w:val="000000" w:themeColor="text1"/>
        </w:rPr>
        <w:t xml:space="preserve"> Comparisons between the developed </w:t>
      </w:r>
      <w:r w:rsidRPr="00EE7674">
        <w:rPr>
          <w:color w:val="000000" w:themeColor="text1"/>
          <w:szCs w:val="32"/>
        </w:rPr>
        <w:t>IDM-MetaSPR</w:t>
      </w:r>
      <w:r w:rsidRPr="00EE7674">
        <w:rPr>
          <w:color w:val="000000" w:themeColor="text1"/>
        </w:rPr>
        <w:t xml:space="preserve"> sensor and other similar sensors in visible wavelength regions published in the literature are performed. The characteristics of these structures are presented in </w:t>
      </w:r>
      <w:r w:rsidRPr="00EE7674">
        <w:rPr>
          <w:b/>
          <w:bCs/>
          <w:color w:val="000000" w:themeColor="text1"/>
        </w:rPr>
        <w:t>Table S1</w:t>
      </w:r>
      <w:r w:rsidRPr="00EE7674">
        <w:rPr>
          <w:color w:val="000000" w:themeColor="text1"/>
        </w:rPr>
        <w:t xml:space="preserve">. In this table, the comparison parameters include the structure type, metal type, resonance wavelength, sensitivity (S), and FoM. Although FoM and sensitivity were not our optimization goals, the sensors we ultimately determined still achieved 812 nm ⁄ RIU and 26.3 RIU ^ (-1), respectively. The sensitivity and FoM value of the biosensor we proposed are </w:t>
      </w:r>
      <w:r w:rsidRPr="00EE7674">
        <w:rPr>
          <w:color w:val="000000" w:themeColor="text1"/>
        </w:rPr>
        <w:lastRenderedPageBreak/>
        <w:t xml:space="preserve">much higher than many similar sensors reported. Therefore, the proposed </w:t>
      </w:r>
      <w:r w:rsidRPr="00EE7674">
        <w:rPr>
          <w:color w:val="000000" w:themeColor="text1"/>
          <w:szCs w:val="32"/>
        </w:rPr>
        <w:t>IDM-MetaSPR sensor</w:t>
      </w:r>
      <w:r w:rsidRPr="00EE7674">
        <w:rPr>
          <w:color w:val="000000" w:themeColor="text1"/>
        </w:rPr>
        <w:t xml:space="preserve"> can become an excellent candidate for biosensing applications.</w:t>
      </w:r>
    </w:p>
    <w:p w14:paraId="2E45EEC0" w14:textId="77777777" w:rsidR="006C7EF4" w:rsidRPr="00EE7674" w:rsidRDefault="006C7EF4" w:rsidP="0046486F">
      <w:pPr>
        <w:spacing w:line="360" w:lineRule="auto"/>
        <w:ind w:firstLineChars="200" w:firstLine="480"/>
        <w:rPr>
          <w:color w:val="000000" w:themeColor="text1"/>
        </w:rPr>
      </w:pPr>
    </w:p>
    <w:p w14:paraId="63DB88BA" w14:textId="77777777" w:rsidR="0046486F" w:rsidRPr="00EE7674" w:rsidRDefault="0046486F" w:rsidP="0046486F">
      <w:pPr>
        <w:rPr>
          <w:color w:val="000000" w:themeColor="text1"/>
        </w:rPr>
      </w:pPr>
    </w:p>
    <w:p w14:paraId="78193E07" w14:textId="354C3B6B" w:rsidR="0046486F" w:rsidRPr="00EE7674" w:rsidRDefault="0046486F" w:rsidP="0046486F">
      <w:pPr>
        <w:pStyle w:val="1"/>
        <w:rPr>
          <w:color w:val="000000" w:themeColor="text1"/>
        </w:rPr>
      </w:pPr>
      <w:bookmarkStart w:id="67" w:name="OLE_LINK403"/>
      <w:bookmarkStart w:id="68" w:name="OLE_LINK402"/>
      <w:bookmarkStart w:id="69" w:name="_Toc194674164"/>
      <w:r w:rsidRPr="00EE7674">
        <w:rPr>
          <w:color w:val="000000" w:themeColor="text1"/>
        </w:rPr>
        <w:t>S</w:t>
      </w:r>
      <w:r w:rsidR="006C7EF4" w:rsidRPr="00EE7674">
        <w:rPr>
          <w:color w:val="000000" w:themeColor="text1"/>
        </w:rPr>
        <w:t>9</w:t>
      </w:r>
      <w:r w:rsidRPr="00EE7674">
        <w:rPr>
          <w:color w:val="000000" w:themeColor="text1"/>
        </w:rPr>
        <w:t>.</w:t>
      </w:r>
      <w:bookmarkEnd w:id="67"/>
      <w:bookmarkEnd w:id="68"/>
      <w:r w:rsidRPr="00EE7674">
        <w:rPr>
          <w:color w:val="000000" w:themeColor="text1"/>
        </w:rPr>
        <w:t xml:space="preserve"> Establishment of the Molecular Interaction Analysis platform based on IDM-MetaSPR sensor</w:t>
      </w:r>
      <w:bookmarkEnd w:id="69"/>
    </w:p>
    <w:p w14:paraId="7B6D9969" w14:textId="4A77E488" w:rsidR="0046486F" w:rsidRPr="00EE7674" w:rsidRDefault="0046486F" w:rsidP="0046486F">
      <w:pPr>
        <w:spacing w:line="360" w:lineRule="auto"/>
        <w:ind w:firstLineChars="200" w:firstLine="480"/>
        <w:rPr>
          <w:color w:val="000000" w:themeColor="text1"/>
        </w:rPr>
      </w:pPr>
      <w:r w:rsidRPr="00EE7674">
        <w:rPr>
          <w:color w:val="000000" w:themeColor="text1"/>
        </w:rPr>
        <w:t>I</w:t>
      </w:r>
      <w:bookmarkStart w:id="70" w:name="OLE_LINK194"/>
      <w:bookmarkStart w:id="71" w:name="OLE_LINK193"/>
      <w:r w:rsidRPr="00EE7674">
        <w:rPr>
          <w:color w:val="000000" w:themeColor="text1"/>
        </w:rPr>
        <w:t>gG is a monomeric immunoglobulin that participates in secondary immune reactions and is the most abundant immunoglobulin in serum.</w:t>
      </w:r>
      <w:r w:rsidRPr="00EE7674">
        <w:rPr>
          <w:color w:val="000000" w:themeColor="text1"/>
        </w:rPr>
        <w:fldChar w:fldCharType="begin"/>
      </w:r>
      <w:r w:rsidR="00C9505E">
        <w:rPr>
          <w:color w:val="000000" w:themeColor="text1"/>
        </w:rPr>
        <w:instrText xml:space="preserve"> ADDIN ZOTERO_ITEM CSL_CITATION {"citationID":"n15FhSSC","properties":{"formattedCitation":"[16]","plainCitation":"[16]","noteIndex":0},"citationItems":[{"id":912,"uris":["http://zotero.org/users/local/389ubzLc/items/VHX7ILLC"],"itemData":{"id":912,"type":"article-journal","container-title":"Frontiers in Immunology","DOI":"10.3389/fimmu.2014.00520","ISSN":"1664-3224","journalAbbreviation":"Front. Immunol.","source":"DOI.org (Crossref)","title":"IgG Subclasses and Allotypes: From Structure to Effector Functions","title-short":"IgG Subclasses and Allotypes","URL":"http://www.frontiersin.org/Immunotherapies_and_Vaccines/10.3389/fimmu.2014.00520/abstract","volume":"5","author":[{"family":"Vidarsson","given":"Gestur"},{"family":"Dekkers","given":"Gillian"},{"family":"Rispens","given":"Theo"}],"accessed":{"date-parts":[["2024",7,23]]},"issued":{"date-parts":[["2014",10,20]]}}}],"schema":"https://github.com/citation-style-language/schema/raw/master/csl-citation.json"} </w:instrText>
      </w:r>
      <w:r w:rsidRPr="00EE7674">
        <w:rPr>
          <w:color w:val="000000" w:themeColor="text1"/>
        </w:rPr>
        <w:fldChar w:fldCharType="separate"/>
      </w:r>
      <w:r w:rsidR="00C9505E">
        <w:rPr>
          <w:color w:val="000000"/>
          <w:szCs w:val="24"/>
        </w:rPr>
        <w:t>[16]</w:t>
      </w:r>
      <w:r w:rsidRPr="00EE7674">
        <w:rPr>
          <w:color w:val="000000" w:themeColor="text1"/>
        </w:rPr>
        <w:fldChar w:fldCharType="end"/>
      </w:r>
      <w:r w:rsidRPr="00EE7674">
        <w:rPr>
          <w:color w:val="000000" w:themeColor="text1"/>
        </w:rPr>
        <w:t xml:space="preserve"> Protein A is a surface protein of Staphylococcus aureus that can bind to immunoglobulin and has been widely used in research techniques such as immunoprecipitation and sensor development</w:t>
      </w:r>
      <w:r w:rsidRPr="00EE7674">
        <w:rPr>
          <w:color w:val="000000" w:themeColor="text1"/>
        </w:rPr>
        <w:fldChar w:fldCharType="begin"/>
      </w:r>
      <w:r w:rsidR="00C9505E">
        <w:rPr>
          <w:color w:val="000000" w:themeColor="text1"/>
        </w:rPr>
        <w:instrText xml:space="preserve"> ADDIN ZOTERO_ITEM CSL_CITATION {"citationID":"tRIkAR2m","properties":{"formattedCitation":"[17]","plainCitation":"[17]","noteIndex":0},"citationItems":[{"id":916,"uris":["http://zotero.org/users/local/389ubzLc/items/UZ9EQUYK"],"itemData":{"id":916,"type":"article-journal","abstract":"Abstract\n            \n              An undergraduate biochemistry laboratory experiment has been developed using biolayer interferometry (BLI), an optical biosensing technique similar to surface plasmon resonance (SPR), in</w:instrText>
      </w:r>
      <w:r w:rsidR="00C9505E">
        <w:rPr>
          <w:rFonts w:hint="eastAsia"/>
          <w:color w:val="000000" w:themeColor="text1"/>
        </w:rPr>
        <w:instrText xml:space="preserve"> which students obtain and analyze kinetic data for a protein</w:instrText>
      </w:r>
      <w:r w:rsidR="00C9505E">
        <w:rPr>
          <w:rFonts w:hint="eastAsia"/>
          <w:color w:val="000000" w:themeColor="text1"/>
        </w:rPr>
        <w:instrText>‐</w:instrText>
      </w:r>
      <w:r w:rsidR="00C9505E">
        <w:rPr>
          <w:rFonts w:hint="eastAsia"/>
          <w:color w:val="000000" w:themeColor="text1"/>
        </w:rPr>
        <w:instrText>protein interaction. Optical biosensing is a technique of choice to determine kinetic and affinity constants for biomolecular interactions. Measurements can be made in real</w:instrText>
      </w:r>
      <w:r w:rsidR="00C9505E">
        <w:rPr>
          <w:rFonts w:hint="eastAsia"/>
          <w:color w:val="000000" w:themeColor="text1"/>
        </w:rPr>
        <w:instrText>‐</w:instrText>
      </w:r>
      <w:r w:rsidR="00C9505E">
        <w:rPr>
          <w:rFonts w:hint="eastAsia"/>
          <w:color w:val="000000" w:themeColor="text1"/>
        </w:rPr>
        <w:instrText>time without labels, making biosensing particularly appropriate for the teaching laboratory. In the described exercise, students investigate the kinetics of Protein A</w:instrText>
      </w:r>
      <w:r w:rsidR="00C9505E">
        <w:rPr>
          <w:rFonts w:hint="eastAsia"/>
          <w:color w:val="000000" w:themeColor="text1"/>
        </w:rPr>
        <w:instrText>‐</w:instrText>
      </w:r>
      <w:r w:rsidR="00C9505E">
        <w:rPr>
          <w:rFonts w:hint="eastAsia"/>
          <w:color w:val="000000" w:themeColor="text1"/>
        </w:rPr>
        <w:instrText>human Immunoglobin G binding under conditions that mimic simple 1:1 binding. Students prepare appropriate se</w:instrText>
      </w:r>
      <w:r w:rsidR="00C9505E">
        <w:rPr>
          <w:color w:val="000000" w:themeColor="text1"/>
        </w:rPr>
        <w:instrText>rial dilutions of IgG and set up a microplate for the experiment by aliquotting biotinylated Protein A, buffer, and IgG solutions. A commercial BLI sensor, the FortéBio Octet QK, is used to measure binding. While data are collected students prepare a spreadsheet with which they will simulate the data to determine\n              k\n              on\n              ,\n              k\n              off\n              , and\n              K\n              D\n              . Raw data from the sensor are then exported to the spreadsheets for analysis. Optimized experiment timing, regeneration methods and other parameters are described to increase throughput and reduce cost. The experiment is readily adaptable to other biosensing platforms such as SPR instrument</w:instrText>
      </w:r>
      <w:r w:rsidR="00C9505E">
        <w:rPr>
          <w:rFonts w:hint="eastAsia"/>
          <w:color w:val="000000" w:themeColor="text1"/>
        </w:rPr>
        <w:instrText>s. Biochemistry and Molecular Biology Education Vol. 38, No. 6, pp. 400</w:instrText>
      </w:r>
      <w:r w:rsidR="00C9505E">
        <w:rPr>
          <w:rFonts w:hint="eastAsia"/>
          <w:color w:val="000000" w:themeColor="text1"/>
        </w:rPr>
        <w:instrText>‐</w:instrText>
      </w:r>
      <w:r w:rsidR="00C9505E">
        <w:rPr>
          <w:rFonts w:hint="eastAsia"/>
          <w:color w:val="000000" w:themeColor="text1"/>
        </w:rPr>
        <w:instrText>407, 2010","container-title":"Biochemistry and Molecular Biology Education","DOI":"10.1002/bmb.20442","ISSN":"1470-8175, 1539-3429","issue":"6","journalAbbreviation":"Biochem Molecular Bio Educ","language":"en","license":"http://onlinelibrary.wiley.com/termsAndConditions#vor","page":"400-407","source":"DOI.org (Crossref)","title":"Optical biosensing: Kinetics of protein A</w:instrText>
      </w:r>
      <w:r w:rsidR="00C9505E">
        <w:rPr>
          <w:rFonts w:hint="eastAsia"/>
          <w:color w:val="000000" w:themeColor="text1"/>
        </w:rPr>
        <w:instrText>‐</w:instrText>
      </w:r>
      <w:r w:rsidR="00C9505E">
        <w:rPr>
          <w:rFonts w:hint="eastAsia"/>
          <w:color w:val="000000" w:themeColor="text1"/>
        </w:rPr>
        <w:instrText>IGG binding using biolayer interferometry","title-short":"Optic</w:instrText>
      </w:r>
      <w:r w:rsidR="00C9505E">
        <w:rPr>
          <w:color w:val="000000" w:themeColor="text1"/>
        </w:rPr>
        <w:instrText xml:space="preserve">al biosensing","volume":"38","author":[{"family":"Wilson","given":"Jo Leanna"},{"family":"Scott","given":"Israel M."},{"family":"McMurry","given":"Jonathan L."}],"issued":{"date-parts":[["2010",11]]}}}],"schema":"https://github.com/citation-style-language/schema/raw/master/csl-citation.json"} </w:instrText>
      </w:r>
      <w:r w:rsidRPr="00EE7674">
        <w:rPr>
          <w:color w:val="000000" w:themeColor="text1"/>
        </w:rPr>
        <w:fldChar w:fldCharType="separate"/>
      </w:r>
      <w:r w:rsidR="00C9505E">
        <w:rPr>
          <w:color w:val="000000"/>
          <w:szCs w:val="24"/>
        </w:rPr>
        <w:t>[17]</w:t>
      </w:r>
      <w:r w:rsidRPr="00EE7674">
        <w:rPr>
          <w:color w:val="000000" w:themeColor="text1"/>
        </w:rPr>
        <w:fldChar w:fldCharType="end"/>
      </w:r>
      <w:r w:rsidRPr="00EE7674">
        <w:rPr>
          <w:color w:val="000000" w:themeColor="text1"/>
        </w:rPr>
        <w:t xml:space="preserve">. To exhibit the real-time monitoring ability of the developed </w:t>
      </w:r>
      <w:r w:rsidRPr="00EE7674">
        <w:rPr>
          <w:color w:val="000000" w:themeColor="text1"/>
          <w:szCs w:val="32"/>
        </w:rPr>
        <w:t>IDM-MetaSPR</w:t>
      </w:r>
      <w:r w:rsidRPr="00EE7674">
        <w:rPr>
          <w:color w:val="000000" w:themeColor="text1"/>
        </w:rPr>
        <w:t xml:space="preserve"> biosensor, we selected Protein A and IgG as ligands and analytes models to build a high-throughput molecular interaction analysis method based on the </w:t>
      </w:r>
      <w:r w:rsidRPr="00EE7674">
        <w:rPr>
          <w:color w:val="000000" w:themeColor="text1"/>
          <w:szCs w:val="32"/>
        </w:rPr>
        <w:t>IDM-MetaSPR</w:t>
      </w:r>
      <w:r w:rsidRPr="00EE7674">
        <w:rPr>
          <w:color w:val="000000" w:themeColor="text1"/>
        </w:rPr>
        <w:t xml:space="preserve"> sensor.</w:t>
      </w:r>
      <w:bookmarkStart w:id="72" w:name="OLE_LINK195"/>
      <w:bookmarkStart w:id="73" w:name="OLE_LINK196"/>
      <w:r w:rsidRPr="00EE7674">
        <w:rPr>
          <w:color w:val="000000" w:themeColor="text1"/>
        </w:rPr>
        <w:t xml:space="preserve"> </w:t>
      </w:r>
      <w:bookmarkEnd w:id="70"/>
      <w:bookmarkEnd w:id="71"/>
      <w:r w:rsidRPr="00EE7674">
        <w:rPr>
          <w:color w:val="000000" w:themeColor="text1"/>
        </w:rPr>
        <w:t xml:space="preserve">To further confirm whether the response of different parameter </w:t>
      </w:r>
      <w:r w:rsidRPr="00EE7674">
        <w:rPr>
          <w:color w:val="000000" w:themeColor="text1"/>
          <w:szCs w:val="32"/>
        </w:rPr>
        <w:t>IDM-MetaSPR</w:t>
      </w:r>
      <w:r w:rsidRPr="00EE7674">
        <w:rPr>
          <w:color w:val="000000" w:themeColor="text1"/>
        </w:rPr>
        <w:t xml:space="preserve"> sensors to biological samples is similar to the refractive index response, we also tested the response of Protein A and IgG. The response results of OD are shown in </w:t>
      </w:r>
      <w:r w:rsidR="0061600F" w:rsidRPr="00EE7674">
        <w:rPr>
          <w:b/>
          <w:bCs/>
          <w:color w:val="000000" w:themeColor="text1"/>
        </w:rPr>
        <w:t xml:space="preserve">Fig. </w:t>
      </w:r>
      <w:r w:rsidRPr="00EE7674">
        <w:rPr>
          <w:b/>
          <w:bCs/>
          <w:color w:val="000000" w:themeColor="text1"/>
        </w:rPr>
        <w:t>S23</w:t>
      </w:r>
      <w:r w:rsidRPr="00EE7674">
        <w:rPr>
          <w:color w:val="000000" w:themeColor="text1"/>
        </w:rPr>
        <w:t xml:space="preserve">, which is similar to the response of different refractive indices. As shown in </w:t>
      </w:r>
      <w:r w:rsidR="0061600F" w:rsidRPr="00EE7674">
        <w:rPr>
          <w:b/>
          <w:bCs/>
          <w:color w:val="000000" w:themeColor="text1"/>
        </w:rPr>
        <w:t xml:space="preserve">Fig. </w:t>
      </w:r>
      <w:r w:rsidRPr="00EE7674">
        <w:rPr>
          <w:b/>
          <w:bCs/>
          <w:color w:val="000000" w:themeColor="text1"/>
        </w:rPr>
        <w:t>S23a-b</w:t>
      </w:r>
      <w:r w:rsidRPr="00EE7674">
        <w:rPr>
          <w:color w:val="000000" w:themeColor="text1"/>
        </w:rPr>
        <w:t xml:space="preserve">, the excellent parameter </w:t>
      </w:r>
      <w:r w:rsidRPr="00EE7674">
        <w:rPr>
          <w:color w:val="000000" w:themeColor="text1"/>
          <w:szCs w:val="32"/>
        </w:rPr>
        <w:t>IDM-MetaSPR</w:t>
      </w:r>
      <w:r w:rsidRPr="00EE7674">
        <w:rPr>
          <w:color w:val="000000" w:themeColor="text1"/>
        </w:rPr>
        <w:t xml:space="preserve"> chip is integrated with a 96-well microplate to produce a </w:t>
      </w:r>
      <w:bookmarkStart w:id="74" w:name="OLE_LINK122"/>
      <w:bookmarkStart w:id="75" w:name="OLE_LINK123"/>
      <w:r w:rsidRPr="00EE7674">
        <w:rPr>
          <w:color w:val="000000" w:themeColor="text1"/>
        </w:rPr>
        <w:t>loading</w:t>
      </w:r>
      <w:bookmarkEnd w:id="74"/>
      <w:bookmarkEnd w:id="75"/>
      <w:r w:rsidRPr="00EE7674">
        <w:rPr>
          <w:color w:val="000000" w:themeColor="text1"/>
        </w:rPr>
        <w:t xml:space="preserve"> device and combines with XLement SPR We200 (the loading device is also suitable for almost all Microplate Readers)  for high-throughput detecting molecular association and dissociation processes. </w:t>
      </w:r>
      <w:bookmarkStart w:id="76" w:name="OLE_LINK203"/>
      <w:bookmarkStart w:id="77" w:name="OLE_LINK197"/>
      <w:bookmarkStart w:id="78" w:name="OLE_LINK198"/>
      <w:bookmarkEnd w:id="72"/>
      <w:bookmarkEnd w:id="73"/>
      <w:r w:rsidR="0061600F" w:rsidRPr="00EE7674">
        <w:rPr>
          <w:b/>
          <w:bCs/>
          <w:color w:val="000000" w:themeColor="text1"/>
        </w:rPr>
        <w:t xml:space="preserve">Fig. </w:t>
      </w:r>
      <w:r w:rsidRPr="00EE7674">
        <w:rPr>
          <w:b/>
          <w:bCs/>
          <w:color w:val="000000" w:themeColor="text1"/>
        </w:rPr>
        <w:t xml:space="preserve">S23c </w:t>
      </w:r>
      <w:r w:rsidRPr="00EE7674">
        <w:rPr>
          <w:color w:val="000000" w:themeColor="text1"/>
        </w:rPr>
        <w:t xml:space="preserve">exhibits the establishment process of the high-throughput affinity measurement protocol, which mainly includes sensor cleaning, functionalization, adding analytes, and adding buffer solutions. </w:t>
      </w:r>
      <w:bookmarkEnd w:id="76"/>
      <w:bookmarkEnd w:id="77"/>
      <w:bookmarkEnd w:id="78"/>
      <w:r w:rsidRPr="00EE7674">
        <w:rPr>
          <w:color w:val="000000" w:themeColor="text1"/>
        </w:rPr>
        <w:t xml:space="preserve">With just a few simple steps, the entire affinity detection process can be completed at high throughput. After functionalization with equal amounts of Protein A and BSA in </w:t>
      </w:r>
      <w:r w:rsidRPr="00EE7674">
        <w:rPr>
          <w:color w:val="000000" w:themeColor="text1"/>
          <w:szCs w:val="32"/>
        </w:rPr>
        <w:t>IDM-MetaSPR</w:t>
      </w:r>
      <w:r w:rsidRPr="00EE7674">
        <w:rPr>
          <w:color w:val="000000" w:themeColor="text1"/>
        </w:rPr>
        <w:t xml:space="preserve"> chip wells, different concentrations of IgG (0.125-8 μg/mL) were added to different chip wells to detect the real-time dual-wavelength OD changes using the XLement SPR200 instrument. After the association, the IgG solutions were replaced with buffer, and dissociation curves were measured. </w:t>
      </w:r>
    </w:p>
    <w:p w14:paraId="36A34F8D" w14:textId="57FB59F9" w:rsidR="0046486F" w:rsidRPr="00EE7674" w:rsidRDefault="0061600F" w:rsidP="0046486F">
      <w:pPr>
        <w:spacing w:line="360" w:lineRule="auto"/>
        <w:ind w:firstLineChars="200" w:firstLine="489"/>
        <w:rPr>
          <w:color w:val="000000" w:themeColor="text1"/>
        </w:rPr>
      </w:pPr>
      <w:r w:rsidRPr="00EE7674">
        <w:rPr>
          <w:b/>
          <w:bCs/>
          <w:color w:val="000000" w:themeColor="text1"/>
        </w:rPr>
        <w:t xml:space="preserve">Fig. </w:t>
      </w:r>
      <w:r w:rsidR="0046486F" w:rsidRPr="00EE7674">
        <w:rPr>
          <w:b/>
          <w:bCs/>
          <w:color w:val="000000" w:themeColor="text1"/>
        </w:rPr>
        <w:t>S23d</w:t>
      </w:r>
      <w:r w:rsidR="0046486F" w:rsidRPr="00EE7674">
        <w:rPr>
          <w:color w:val="000000" w:themeColor="text1"/>
        </w:rPr>
        <w:t xml:space="preserve"> shows a typical SPR real-time detection process curve for biomolecule binding and dissociation, which mainly includes baseline, binding segment, and dissociation segment. </w:t>
      </w:r>
      <w:bookmarkStart w:id="79" w:name="OLE_LINK154"/>
      <w:bookmarkStart w:id="80" w:name="OLE_LINK153"/>
      <w:r w:rsidR="0046486F" w:rsidRPr="00EE7674">
        <w:rPr>
          <w:color w:val="000000" w:themeColor="text1"/>
        </w:rPr>
        <w:t xml:space="preserve">The original signal curves collected at room temperature are demonstrated in </w:t>
      </w:r>
      <w:r w:rsidRPr="00EE7674">
        <w:rPr>
          <w:b/>
          <w:bCs/>
          <w:color w:val="000000" w:themeColor="text1"/>
        </w:rPr>
        <w:t xml:space="preserve">Fig. </w:t>
      </w:r>
      <w:r w:rsidR="0046486F" w:rsidRPr="00EE7674">
        <w:rPr>
          <w:b/>
          <w:bCs/>
          <w:color w:val="000000" w:themeColor="text1"/>
        </w:rPr>
        <w:t>S23e-f</w:t>
      </w:r>
      <w:r w:rsidR="0046486F" w:rsidRPr="00EE7674">
        <w:rPr>
          <w:color w:val="000000" w:themeColor="text1"/>
        </w:rPr>
        <w:t>, in which the baselines are corrected to zero</w:t>
      </w:r>
      <w:bookmarkEnd w:id="79"/>
      <w:bookmarkEnd w:id="80"/>
      <w:r w:rsidR="0046486F" w:rsidRPr="00EE7674">
        <w:rPr>
          <w:color w:val="000000" w:themeColor="text1"/>
        </w:rPr>
        <w:t xml:space="preserve">. This operation can usually effectively eliminate </w:t>
      </w:r>
      <w:r w:rsidR="0046486F" w:rsidRPr="00EE7674">
        <w:rPr>
          <w:color w:val="000000" w:themeColor="text1"/>
        </w:rPr>
        <w:lastRenderedPageBreak/>
        <w:t xml:space="preserve">dissociation curve drift. </w:t>
      </w:r>
      <w:bookmarkStart w:id="81" w:name="OLE_LINK200"/>
      <w:bookmarkStart w:id="82" w:name="OLE_LINK199"/>
      <w:r w:rsidR="0046486F" w:rsidRPr="00EE7674">
        <w:rPr>
          <w:color w:val="000000" w:themeColor="text1"/>
        </w:rPr>
        <w:t xml:space="preserve">The kinetic constants </w:t>
      </w:r>
      <w:bookmarkStart w:id="83" w:name="OLE_LINK205"/>
      <w:bookmarkStart w:id="84" w:name="OLE_LINK204"/>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on</m:t>
            </m:r>
          </m:sub>
        </m:sSub>
      </m:oMath>
      <w:r w:rsidR="0046486F" w:rsidRPr="00EE7674">
        <w:rPr>
          <w:color w:val="000000" w:themeColor="text1"/>
        </w:rPr>
        <w:t xml:space="preserve"> </w:t>
      </w:r>
      <w:bookmarkEnd w:id="83"/>
      <w:bookmarkEnd w:id="84"/>
      <w:r w:rsidR="0046486F" w:rsidRPr="00EE7674">
        <w:rPr>
          <w:color w:val="000000" w:themeColor="text1"/>
        </w:rPr>
        <w:t xml:space="preserve">and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off</m:t>
            </m:r>
          </m:sub>
        </m:sSub>
      </m:oMath>
      <w:r w:rsidR="0046486F" w:rsidRPr="00EE7674">
        <w:rPr>
          <w:color w:val="000000" w:themeColor="text1"/>
        </w:rPr>
        <w:t xml:space="preserve"> were calculated by the fitting association and dissociation curves and the equilibrium affinity constant </w:t>
      </w:r>
      <m:oMath>
        <m:sSub>
          <m:sSubPr>
            <m:ctrlPr>
              <w:rPr>
                <w:rFonts w:ascii="Cambria Math" w:hAnsi="Cambria Math"/>
                <w:i/>
                <w:color w:val="000000" w:themeColor="text1"/>
              </w:rPr>
            </m:ctrlPr>
          </m:sSubPr>
          <m:e>
            <w:bookmarkStart w:id="85" w:name="OLE_LINK51"/>
            <w:bookmarkStart w:id="86" w:name="OLE_LINK53"/>
            <m:r>
              <w:rPr>
                <w:rFonts w:ascii="Cambria Math" w:hAnsi="Cambria Math"/>
                <w:color w:val="000000" w:themeColor="text1"/>
              </w:rPr>
              <m:t>K</m:t>
            </m:r>
          </m:e>
          <m:sub>
            <m:r>
              <w:rPr>
                <w:rFonts w:ascii="Cambria Math" w:hAnsi="Cambria Math"/>
                <w:color w:val="000000" w:themeColor="text1"/>
              </w:rPr>
              <m:t>D</m:t>
            </m:r>
            <w:bookmarkEnd w:id="85"/>
            <w:bookmarkEnd w:id="86"/>
          </m:sub>
        </m:sSub>
      </m:oMath>
      <w:r w:rsidR="0046486F" w:rsidRPr="00EE7674">
        <w:rPr>
          <w:color w:val="000000" w:themeColor="text1"/>
        </w:rPr>
        <w:t xml:space="preserve"> is the ratio of the two kinetic constants. </w:t>
      </w:r>
      <w:bookmarkStart w:id="87" w:name="OLE_LINK206"/>
      <w:bookmarkStart w:id="88" w:name="OLE_LINK207"/>
      <w:r w:rsidR="0046486F" w:rsidRPr="00EE7674">
        <w:rPr>
          <w:color w:val="000000" w:themeColor="text1"/>
        </w:rPr>
        <w:t>We use the previously reported 1:1 binding stoichiometry Langmuir model to describe the kinetic association and dissociation processes based on the following equations:</w:t>
      </w:r>
      <w:r w:rsidR="0046486F" w:rsidRPr="00EE7674">
        <w:rPr>
          <w:color w:val="000000" w:themeColor="text1"/>
        </w:rPr>
        <w:fldChar w:fldCharType="begin"/>
      </w:r>
      <w:r w:rsidR="00C9505E">
        <w:rPr>
          <w:color w:val="000000" w:themeColor="text1"/>
        </w:rPr>
        <w:instrText xml:space="preserve"> ADDIN ZOTERO_ITEM CSL_CITATION {"citationID":"0Vavqlma","properties":{"formattedCitation":"[17]","plainCitation":"[17]","noteIndex":0},"citationItems":[{"id":916,"uris":["http://zotero.org/users/local/389ubzLc/items/UZ9EQUYK"],"itemData":{"id":916,"type":"article-journal","abstract":"Abstract\n            \n              An undergraduate biochemistry laboratory experiment has been developed using biolayer interferometry (BLI), an optical biosensing technique similar to surface plasmon resonance (SPR), in</w:instrText>
      </w:r>
      <w:r w:rsidR="00C9505E">
        <w:rPr>
          <w:rFonts w:hint="eastAsia"/>
          <w:color w:val="000000" w:themeColor="text1"/>
        </w:rPr>
        <w:instrText xml:space="preserve"> which students obtain and analyze kinetic data for a protein</w:instrText>
      </w:r>
      <w:r w:rsidR="00C9505E">
        <w:rPr>
          <w:rFonts w:hint="eastAsia"/>
          <w:color w:val="000000" w:themeColor="text1"/>
        </w:rPr>
        <w:instrText>‐</w:instrText>
      </w:r>
      <w:r w:rsidR="00C9505E">
        <w:rPr>
          <w:rFonts w:hint="eastAsia"/>
          <w:color w:val="000000" w:themeColor="text1"/>
        </w:rPr>
        <w:instrText>protein interaction. Optical biosensing is a technique of choice to determine kinetic and affinity constants for biomolecular interactions. Measurements can be made in real</w:instrText>
      </w:r>
      <w:r w:rsidR="00C9505E">
        <w:rPr>
          <w:rFonts w:hint="eastAsia"/>
          <w:color w:val="000000" w:themeColor="text1"/>
        </w:rPr>
        <w:instrText>‐</w:instrText>
      </w:r>
      <w:r w:rsidR="00C9505E">
        <w:rPr>
          <w:rFonts w:hint="eastAsia"/>
          <w:color w:val="000000" w:themeColor="text1"/>
        </w:rPr>
        <w:instrText>time without labels, making biosensing particularly appropriate for the teaching laboratory. In the described exercise, students investigate the kinetics of Protein A</w:instrText>
      </w:r>
      <w:r w:rsidR="00C9505E">
        <w:rPr>
          <w:rFonts w:hint="eastAsia"/>
          <w:color w:val="000000" w:themeColor="text1"/>
        </w:rPr>
        <w:instrText>‐</w:instrText>
      </w:r>
      <w:r w:rsidR="00C9505E">
        <w:rPr>
          <w:rFonts w:hint="eastAsia"/>
          <w:color w:val="000000" w:themeColor="text1"/>
        </w:rPr>
        <w:instrText>human Immunoglobin G binding under conditions that mimic simple 1:1 binding. Students prepare appropriate se</w:instrText>
      </w:r>
      <w:r w:rsidR="00C9505E">
        <w:rPr>
          <w:color w:val="000000" w:themeColor="text1"/>
        </w:rPr>
        <w:instrText>rial dilutions of IgG and set up a microplate for the experiment by aliquotting biotinylated Protein A, buffer, and IgG solutions. A commercial BLI sensor, the FortéBio Octet QK, is used to measure binding. While data are collected students prepare a spreadsheet with which they will simulate the data to determine\n              k\n              on\n              ,\n              k\n              off\n              , and\n              K\n              D\n              . Raw data from the sensor are then exported to the spreadsheets for analysis. Optimized experiment timing, regeneration methods and other parameters are described to increase throughput and reduce cost. The experiment is readily adaptable to other biosensing platforms such as SPR instrument</w:instrText>
      </w:r>
      <w:r w:rsidR="00C9505E">
        <w:rPr>
          <w:rFonts w:hint="eastAsia"/>
          <w:color w:val="000000" w:themeColor="text1"/>
        </w:rPr>
        <w:instrText>s. Biochemistry and Molecular Biology Education Vol. 38, No. 6, pp. 400</w:instrText>
      </w:r>
      <w:r w:rsidR="00C9505E">
        <w:rPr>
          <w:rFonts w:hint="eastAsia"/>
          <w:color w:val="000000" w:themeColor="text1"/>
        </w:rPr>
        <w:instrText>‐</w:instrText>
      </w:r>
      <w:r w:rsidR="00C9505E">
        <w:rPr>
          <w:rFonts w:hint="eastAsia"/>
          <w:color w:val="000000" w:themeColor="text1"/>
        </w:rPr>
        <w:instrText>407, 2010","container-title":"Biochemistry and Molecular Biology Education","DOI":"10.1002/bmb.20442","ISSN":"1470-8175, 1539-3429","issue":"6","journalAbbreviation":"Biochem Molecular Bio Educ","language":"en","license":"http://onlinelibrary.wiley.com/termsAndConditions#vor","page":"400-407","source":"DOI.org (Crossref)","title":"Optical biosensing: Kinetics of protein A</w:instrText>
      </w:r>
      <w:r w:rsidR="00C9505E">
        <w:rPr>
          <w:rFonts w:hint="eastAsia"/>
          <w:color w:val="000000" w:themeColor="text1"/>
        </w:rPr>
        <w:instrText>‐</w:instrText>
      </w:r>
      <w:r w:rsidR="00C9505E">
        <w:rPr>
          <w:rFonts w:hint="eastAsia"/>
          <w:color w:val="000000" w:themeColor="text1"/>
        </w:rPr>
        <w:instrText>IGG binding using biolayer interferometry","title-short":"Optic</w:instrText>
      </w:r>
      <w:r w:rsidR="00C9505E">
        <w:rPr>
          <w:color w:val="000000" w:themeColor="text1"/>
        </w:rPr>
        <w:instrText xml:space="preserve">al biosensing","volume":"38","author":[{"family":"Wilson","given":"Jo Leanna"},{"family":"Scott","given":"Israel M."},{"family":"McMurry","given":"Jonathan L."}],"issued":{"date-parts":[["2010",11]]}}}],"schema":"https://github.com/citation-style-language/schema/raw/master/csl-citation.json"} </w:instrText>
      </w:r>
      <w:r w:rsidR="0046486F" w:rsidRPr="00EE7674">
        <w:rPr>
          <w:color w:val="000000" w:themeColor="text1"/>
        </w:rPr>
        <w:fldChar w:fldCharType="separate"/>
      </w:r>
      <w:r w:rsidR="00C9505E">
        <w:rPr>
          <w:color w:val="000000"/>
          <w:szCs w:val="24"/>
        </w:rPr>
        <w:t>[17]</w:t>
      </w:r>
      <w:r w:rsidR="0046486F" w:rsidRPr="00EE7674">
        <w:rPr>
          <w:color w:val="000000" w:themeColor="text1"/>
        </w:rPr>
        <w:fldChar w:fldCharType="end"/>
      </w:r>
      <w:r w:rsidR="0046486F" w:rsidRPr="00EE7674">
        <w:rPr>
          <w:color w:val="000000" w:themeColor="text1"/>
        </w:rPr>
        <w:t xml:space="preserve"> </w:t>
      </w:r>
      <w:bookmarkEnd w:id="87"/>
      <w:bookmarkEnd w:id="88"/>
    </w:p>
    <w:tbl>
      <w:tblPr>
        <w:tblStyle w:val="affff9"/>
        <w:tblW w:w="829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3"/>
        <w:gridCol w:w="1063"/>
      </w:tblGrid>
      <w:tr w:rsidR="0046486F" w:rsidRPr="00EE7674" w14:paraId="56653F5D" w14:textId="77777777" w:rsidTr="0075620E">
        <w:tc>
          <w:tcPr>
            <w:tcW w:w="7233" w:type="dxa"/>
            <w:vAlign w:val="center"/>
          </w:tcPr>
          <w:p w14:paraId="322F982F" w14:textId="77777777" w:rsidR="0046486F" w:rsidRPr="00EE7674" w:rsidRDefault="00000000" w:rsidP="0075620E">
            <w:pPr>
              <w:spacing w:line="360" w:lineRule="auto"/>
              <w:jc w:val="center"/>
              <w:rPr>
                <w:rFonts w:ascii="Times New Roman" w:hAnsi="Times New Roman" w:cs="Times New Roman"/>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Y</m:t>
                    </m:r>
                  </m:e>
                  <m:sub>
                    <m:r>
                      <w:rPr>
                        <w:rFonts w:ascii="Cambria Math" w:hAnsi="Cambria Math" w:cs="Times New Roman"/>
                        <w:color w:val="000000" w:themeColor="text1"/>
                      </w:rPr>
                      <m:t>a</m:t>
                    </m:r>
                  </m:sub>
                </m:sSub>
                <m:r>
                  <m:rPr>
                    <m:sty m:val="p"/>
                  </m:rPr>
                  <w:rPr>
                    <w:rFonts w:ascii="Cambria Math" w:hAnsi="Cambria Math" w:cs="Times New Roman"/>
                    <w:color w:val="000000" w:themeColor="text1"/>
                  </w:rPr>
                  <m:t xml:space="preserve">= </m:t>
                </m:r>
                <w:bookmarkStart w:id="89" w:name="OLE_LINK209"/>
                <w:bookmarkStart w:id="90" w:name="OLE_LINK208"/>
                <m:r>
                  <w:rPr>
                    <w:rFonts w:ascii="Cambria Math" w:hAnsi="Cambria Math" w:cs="Times New Roman"/>
                    <w:color w:val="000000" w:themeColor="text1"/>
                  </w:rPr>
                  <m:t>A</m:t>
                </m:r>
                <w:bookmarkEnd w:id="89"/>
                <w:bookmarkEnd w:id="90"/>
                <m:r>
                  <w:rPr>
                    <w:rFonts w:ascii="Cambria Math" w:hAnsi="Cambria Math" w:cs="Times New Roman"/>
                    <w:color w:val="000000" w:themeColor="text1"/>
                  </w:rPr>
                  <m:t>(1-</m:t>
                </m:r>
                <m:sSup>
                  <m:sSupPr>
                    <m:ctrlPr>
                      <w:rPr>
                        <w:rFonts w:ascii="Cambria Math" w:hAnsi="Cambria Math" w:cs="Times New Roman"/>
                        <w:i/>
                        <w:color w:val="000000" w:themeColor="text1"/>
                      </w:rPr>
                    </m:ctrlPr>
                  </m:sSupPr>
                  <m:e>
                    <m:r>
                      <w:rPr>
                        <w:rFonts w:ascii="Cambria Math" w:hAnsi="Cambria Math" w:cs="Times New Roman"/>
                        <w:color w:val="000000" w:themeColor="text1"/>
                      </w:rPr>
                      <m:t>e</m:t>
                    </m:r>
                  </m:e>
                  <m:sup>
                    <m:r>
                      <w:rPr>
                        <w:rFonts w:ascii="Cambria Math" w:hAnsi="Cambria Math" w:cs="Times New Roman"/>
                        <w:color w:val="000000" w:themeColor="text1"/>
                      </w:rPr>
                      <m:t>-B*X</m:t>
                    </m:r>
                  </m:sup>
                </m:sSup>
                <m:r>
                  <w:rPr>
                    <w:rFonts w:ascii="Cambria Math" w:hAnsi="Cambria Math" w:cs="Times New Roman"/>
                    <w:color w:val="000000" w:themeColor="text1"/>
                  </w:rPr>
                  <m:t>)</m:t>
                </m:r>
              </m:oMath>
            </m:oMathPara>
          </w:p>
        </w:tc>
        <w:tc>
          <w:tcPr>
            <w:tcW w:w="1063" w:type="dxa"/>
            <w:vAlign w:val="center"/>
          </w:tcPr>
          <w:p w14:paraId="66EE133F" w14:textId="77777777" w:rsidR="0046486F" w:rsidRPr="00EE7674" w:rsidRDefault="0046486F" w:rsidP="0075620E">
            <w:pPr>
              <w:spacing w:line="360" w:lineRule="auto"/>
              <w:jc w:val="center"/>
              <w:rPr>
                <w:rFonts w:ascii="Times New Roman" w:hAnsi="Times New Roman" w:cs="Times New Roman"/>
                <w:color w:val="000000" w:themeColor="text1"/>
              </w:rPr>
            </w:pPr>
            <w:r w:rsidRPr="00EE7674">
              <w:rPr>
                <w:rFonts w:ascii="Times New Roman" w:hAnsi="Times New Roman" w:cs="Times New Roman"/>
                <w:color w:val="000000" w:themeColor="text1"/>
              </w:rPr>
              <w:t>(S9)</w:t>
            </w:r>
          </w:p>
        </w:tc>
      </w:tr>
      <w:tr w:rsidR="0046486F" w:rsidRPr="00EE7674" w14:paraId="218F8923" w14:textId="77777777" w:rsidTr="0075620E">
        <w:tc>
          <w:tcPr>
            <w:tcW w:w="7233" w:type="dxa"/>
            <w:vAlign w:val="center"/>
          </w:tcPr>
          <w:p w14:paraId="053CA6B5" w14:textId="77777777" w:rsidR="0046486F" w:rsidRPr="00EE7674" w:rsidRDefault="00000000" w:rsidP="0075620E">
            <w:pPr>
              <w:spacing w:line="360" w:lineRule="auto"/>
              <w:jc w:val="center"/>
              <w:rPr>
                <w:rFonts w:ascii="Times New Roman" w:eastAsia="DengXian" w:hAnsi="Times New Roman" w:cs="Times New Roman"/>
                <w:color w:val="000000" w:themeColor="text1"/>
              </w:rPr>
            </w:pPr>
            <m:oMath>
              <m:sSub>
                <m:sSubPr>
                  <m:ctrlPr>
                    <w:rPr>
                      <w:rFonts w:ascii="Cambria Math" w:hAnsi="Cambria Math" w:cs="Times New Roman"/>
                      <w:i/>
                      <w:color w:val="000000" w:themeColor="text1"/>
                    </w:rPr>
                  </m:ctrlPr>
                </m:sSubPr>
                <m:e>
                  <m:r>
                    <w:rPr>
                      <w:rFonts w:ascii="Cambria Math" w:hAnsi="Cambria Math" w:cs="Times New Roman"/>
                      <w:color w:val="000000" w:themeColor="text1"/>
                    </w:rPr>
                    <m:t>Y</m:t>
                  </m:r>
                </m:e>
                <m:sub>
                  <m:r>
                    <w:rPr>
                      <w:rFonts w:ascii="Cambria Math" w:hAnsi="Cambria Math" w:cs="Times New Roman"/>
                      <w:color w:val="000000" w:themeColor="text1"/>
                    </w:rPr>
                    <m:t>d</m:t>
                  </m:r>
                </m:sub>
              </m:sSub>
            </m:oMath>
            <w:r w:rsidR="0046486F" w:rsidRPr="00EE7674">
              <w:rPr>
                <w:rFonts w:ascii="Times New Roman" w:eastAsia="DengXian" w:hAnsi="Times New Roman" w:cs="Times New Roman"/>
                <w:color w:val="000000" w:themeColor="text1"/>
              </w:rPr>
              <w:t>=</w:t>
            </w:r>
            <w:r w:rsidR="0046486F" w:rsidRPr="00EE7674">
              <w:rPr>
                <w:rFonts w:ascii="Times New Roman" w:hAnsi="Times New Roman" w:cs="Times New Roman"/>
                <w:i/>
                <w:color w:val="000000" w:themeColor="text1"/>
              </w:rPr>
              <w:t xml:space="preserve"> </w:t>
            </w:r>
            <m:oMath>
              <m:r>
                <w:rPr>
                  <w:rFonts w:ascii="Cambria Math" w:hAnsi="Cambria Math" w:cs="Times New Roman"/>
                  <w:color w:val="000000" w:themeColor="text1"/>
                </w:rPr>
                <m:t>A</m:t>
              </m:r>
            </m:oMath>
            <w:r w:rsidR="0046486F" w:rsidRPr="00EE7674">
              <w:rPr>
                <w:rFonts w:ascii="Times New Roman" w:eastAsia="DengXian" w:hAnsi="Times New Roman" w:cs="Times New Roman"/>
                <w:color w:val="000000" w:themeColor="text1"/>
              </w:rPr>
              <w:t>(</w:t>
            </w:r>
            <m:oMath>
              <m:sSup>
                <m:sSupPr>
                  <m:ctrlPr>
                    <w:rPr>
                      <w:rFonts w:ascii="Cambria Math" w:hAnsi="Cambria Math" w:cs="Times New Roman"/>
                      <w:i/>
                      <w:color w:val="000000" w:themeColor="text1"/>
                    </w:rPr>
                  </m:ctrlPr>
                </m:sSupPr>
                <m:e>
                  <m:r>
                    <w:rPr>
                      <w:rFonts w:ascii="Cambria Math" w:hAnsi="Cambria Math" w:cs="Times New Roman"/>
                      <w:color w:val="000000" w:themeColor="text1"/>
                    </w:rPr>
                    <m:t>e</m:t>
                  </m:r>
                </m:e>
                <m:sup>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K</m:t>
                      </m:r>
                    </m:e>
                    <m:sub>
                      <m:r>
                        <w:rPr>
                          <w:rFonts w:ascii="Cambria Math" w:hAnsi="Cambria Math" w:cs="Times New Roman"/>
                          <w:color w:val="000000" w:themeColor="text1"/>
                        </w:rPr>
                        <m:t>off</m:t>
                      </m:r>
                    </m:sub>
                  </m:sSub>
                  <m:r>
                    <w:rPr>
                      <w:rFonts w:ascii="Cambria Math" w:hAnsi="Cambria Math" w:cs="Times New Roman"/>
                      <w:color w:val="000000" w:themeColor="text1"/>
                    </w:rPr>
                    <m:t>*X</m:t>
                  </m:r>
                </m:sup>
              </m:sSup>
            </m:oMath>
            <w:r w:rsidR="0046486F" w:rsidRPr="00EE7674">
              <w:rPr>
                <w:rFonts w:ascii="Times New Roman" w:eastAsia="DengXian" w:hAnsi="Times New Roman" w:cs="Times New Roman"/>
                <w:color w:val="000000" w:themeColor="text1"/>
              </w:rPr>
              <w:t>)</w:t>
            </w:r>
          </w:p>
        </w:tc>
        <w:tc>
          <w:tcPr>
            <w:tcW w:w="1063" w:type="dxa"/>
            <w:vAlign w:val="center"/>
          </w:tcPr>
          <w:p w14:paraId="02D43205" w14:textId="77777777" w:rsidR="0046486F" w:rsidRPr="00EE7674" w:rsidRDefault="0046486F" w:rsidP="0075620E">
            <w:pPr>
              <w:spacing w:line="360" w:lineRule="auto"/>
              <w:jc w:val="center"/>
              <w:rPr>
                <w:rFonts w:ascii="Times New Roman" w:hAnsi="Times New Roman" w:cs="Times New Roman"/>
                <w:color w:val="000000" w:themeColor="text1"/>
              </w:rPr>
            </w:pPr>
            <w:r w:rsidRPr="00EE7674">
              <w:rPr>
                <w:rFonts w:ascii="Times New Roman" w:hAnsi="Times New Roman" w:cs="Times New Roman"/>
                <w:color w:val="000000" w:themeColor="text1"/>
              </w:rPr>
              <w:t>(S10)</w:t>
            </w:r>
          </w:p>
        </w:tc>
      </w:tr>
      <w:tr w:rsidR="0046486F" w:rsidRPr="00EE7674" w14:paraId="65F117D1" w14:textId="77777777" w:rsidTr="0075620E">
        <w:tc>
          <w:tcPr>
            <w:tcW w:w="7233" w:type="dxa"/>
            <w:vAlign w:val="center"/>
          </w:tcPr>
          <w:p w14:paraId="1A8CDAB6" w14:textId="77777777" w:rsidR="0046486F" w:rsidRPr="00EE7674" w:rsidRDefault="00000000" w:rsidP="0075620E">
            <w:pPr>
              <w:spacing w:line="360" w:lineRule="auto"/>
              <w:jc w:val="center"/>
              <w:rPr>
                <w:rFonts w:ascii="Times New Roman" w:eastAsia="DengXian" w:hAnsi="Times New Roman" w:cs="Times New Roman"/>
                <w:color w:val="000000" w:themeColor="text1"/>
              </w:rPr>
            </w:pPr>
            <m:oMath>
              <m:sSub>
                <m:sSubPr>
                  <m:ctrlPr>
                    <w:rPr>
                      <w:rFonts w:ascii="Cambria Math" w:hAnsi="Cambria Math" w:cs="Times New Roman"/>
                      <w:i/>
                      <w:color w:val="000000" w:themeColor="text1"/>
                    </w:rPr>
                  </m:ctrlPr>
                </m:sSubPr>
                <m:e>
                  <m:r>
                    <w:rPr>
                      <w:rFonts w:ascii="Cambria Math" w:hAnsi="Cambria Math" w:cs="Times New Roman"/>
                      <w:color w:val="000000" w:themeColor="text1"/>
                    </w:rPr>
                    <m:t>K</m:t>
                  </m:r>
                </m:e>
                <m:sub>
                  <m:r>
                    <w:rPr>
                      <w:rFonts w:ascii="Cambria Math" w:hAnsi="Cambria Math" w:cs="Times New Roman"/>
                      <w:color w:val="000000" w:themeColor="text1"/>
                    </w:rPr>
                    <m:t>on</m:t>
                  </m:r>
                </m:sub>
              </m:sSub>
            </m:oMath>
            <w:r w:rsidR="0046486F" w:rsidRPr="00EE7674">
              <w:rPr>
                <w:rFonts w:ascii="Times New Roman" w:eastAsia="DengXian" w:hAnsi="Times New Roman" w:cs="Times New Roman"/>
                <w:color w:val="000000" w:themeColor="text1"/>
              </w:rPr>
              <w:t>=</w:t>
            </w:r>
            <m:oMath>
              <m:f>
                <m:fPr>
                  <m:ctrlPr>
                    <w:rPr>
                      <w:rFonts w:ascii="Cambria Math" w:eastAsia="DengXian" w:hAnsi="Cambria Math" w:cs="Times New Roman"/>
                      <w:i/>
                      <w:color w:val="000000" w:themeColor="text1"/>
                    </w:rPr>
                  </m:ctrlPr>
                </m:fPr>
                <m:num>
                  <m:r>
                    <w:rPr>
                      <w:rFonts w:ascii="Cambria Math" w:eastAsia="DengXian" w:hAnsi="Cambria Math" w:cs="Times New Roman"/>
                      <w:color w:val="000000" w:themeColor="text1"/>
                    </w:rPr>
                    <m:t>B-</m:t>
                  </m:r>
                  <m:sSub>
                    <m:sSubPr>
                      <m:ctrlPr>
                        <w:rPr>
                          <w:rFonts w:ascii="Cambria Math" w:hAnsi="Cambria Math" w:cs="Times New Roman"/>
                          <w:i/>
                          <w:color w:val="000000" w:themeColor="text1"/>
                        </w:rPr>
                      </m:ctrlPr>
                    </m:sSubPr>
                    <m:e>
                      <m:r>
                        <w:rPr>
                          <w:rFonts w:ascii="Cambria Math" w:hAnsi="Cambria Math" w:cs="Times New Roman"/>
                          <w:color w:val="000000" w:themeColor="text1"/>
                        </w:rPr>
                        <m:t>K</m:t>
                      </m:r>
                    </m:e>
                    <m:sub>
                      <m:r>
                        <w:rPr>
                          <w:rFonts w:ascii="Cambria Math" w:hAnsi="Cambria Math" w:cs="Times New Roman"/>
                          <w:color w:val="000000" w:themeColor="text1"/>
                        </w:rPr>
                        <m:t>off</m:t>
                      </m:r>
                    </m:sub>
                  </m:sSub>
                </m:num>
                <m:den>
                  <m:r>
                    <w:rPr>
                      <w:rFonts w:ascii="Cambria Math" w:eastAsia="DengXian" w:hAnsi="Cambria Math" w:cs="Times New Roman"/>
                      <w:color w:val="000000" w:themeColor="text1"/>
                    </w:rPr>
                    <m:t>[C]</m:t>
                  </m:r>
                </m:den>
              </m:f>
            </m:oMath>
          </w:p>
        </w:tc>
        <w:tc>
          <w:tcPr>
            <w:tcW w:w="1063" w:type="dxa"/>
            <w:vAlign w:val="center"/>
          </w:tcPr>
          <w:p w14:paraId="28AF3E2D" w14:textId="77777777" w:rsidR="0046486F" w:rsidRPr="00EE7674" w:rsidRDefault="0046486F" w:rsidP="0075620E">
            <w:pPr>
              <w:spacing w:line="360" w:lineRule="auto"/>
              <w:jc w:val="center"/>
              <w:rPr>
                <w:rFonts w:ascii="Times New Roman" w:hAnsi="Times New Roman" w:cs="Times New Roman"/>
                <w:color w:val="000000" w:themeColor="text1"/>
              </w:rPr>
            </w:pPr>
            <w:r w:rsidRPr="00EE7674">
              <w:rPr>
                <w:rFonts w:ascii="Times New Roman" w:hAnsi="Times New Roman" w:cs="Times New Roman"/>
                <w:color w:val="000000" w:themeColor="text1"/>
              </w:rPr>
              <w:t>(S11)</w:t>
            </w:r>
          </w:p>
        </w:tc>
      </w:tr>
      <w:tr w:rsidR="0046486F" w:rsidRPr="00EE7674" w14:paraId="3CB1B14E" w14:textId="77777777" w:rsidTr="0075620E">
        <w:tc>
          <w:tcPr>
            <w:tcW w:w="7233" w:type="dxa"/>
            <w:vAlign w:val="center"/>
          </w:tcPr>
          <w:p w14:paraId="6D2B9419" w14:textId="77777777" w:rsidR="0046486F" w:rsidRPr="00EE7674" w:rsidRDefault="00000000" w:rsidP="0075620E">
            <w:pPr>
              <w:spacing w:line="360" w:lineRule="auto"/>
              <w:jc w:val="center"/>
              <w:rPr>
                <w:rFonts w:ascii="Times New Roman" w:eastAsia="DengXian" w:hAnsi="Times New Roman" w:cs="Times New Roman"/>
                <w:color w:val="000000" w:themeColor="text1"/>
              </w:rPr>
            </w:pPr>
            <m:oMath>
              <m:sSub>
                <m:sSubPr>
                  <m:ctrlPr>
                    <w:rPr>
                      <w:rFonts w:ascii="Cambria Math" w:hAnsi="Cambria Math" w:cs="Times New Roman"/>
                      <w:i/>
                      <w:color w:val="000000" w:themeColor="text1"/>
                    </w:rPr>
                  </m:ctrlPr>
                </m:sSubPr>
                <m:e>
                  <w:bookmarkStart w:id="91" w:name="OLE_LINK212"/>
                  <w:bookmarkStart w:id="92" w:name="OLE_LINK214"/>
                  <w:bookmarkStart w:id="93" w:name="OLE_LINK213"/>
                  <m:r>
                    <w:rPr>
                      <w:rFonts w:ascii="Cambria Math" w:hAnsi="Cambria Math" w:cs="Times New Roman"/>
                      <w:color w:val="000000" w:themeColor="text1"/>
                    </w:rPr>
                    <m:t>K</m:t>
                  </m:r>
                </m:e>
                <m:sub>
                  <m:r>
                    <w:rPr>
                      <w:rFonts w:ascii="Cambria Math" w:hAnsi="Cambria Math" w:cs="Times New Roman"/>
                      <w:color w:val="000000" w:themeColor="text1"/>
                    </w:rPr>
                    <m:t>D</m:t>
                  </m:r>
                  <w:bookmarkEnd w:id="91"/>
                  <w:bookmarkEnd w:id="92"/>
                  <w:bookmarkEnd w:id="93"/>
                </m:sub>
              </m:sSub>
            </m:oMath>
            <w:r w:rsidR="0046486F" w:rsidRPr="00EE7674">
              <w:rPr>
                <w:rFonts w:ascii="Times New Roman" w:eastAsia="DengXian" w:hAnsi="Times New Roman" w:cs="Times New Roman"/>
                <w:color w:val="000000" w:themeColor="text1"/>
              </w:rPr>
              <w:t>=</w:t>
            </w:r>
            <m:oMath>
              <m:f>
                <m:fPr>
                  <m:ctrlPr>
                    <w:rPr>
                      <w:rFonts w:ascii="Cambria Math" w:eastAsia="DengXian" w:hAnsi="Cambria Math" w:cs="Times New Roman"/>
                      <w:i/>
                      <w:color w:val="000000" w:themeColor="text1"/>
                    </w:rPr>
                  </m:ctrlPr>
                </m:fPr>
                <m:num>
                  <m:sSub>
                    <m:sSubPr>
                      <m:ctrlPr>
                        <w:rPr>
                          <w:rFonts w:ascii="Cambria Math" w:hAnsi="Cambria Math" w:cs="Times New Roman"/>
                          <w:i/>
                          <w:color w:val="000000" w:themeColor="text1"/>
                        </w:rPr>
                      </m:ctrlPr>
                    </m:sSubPr>
                    <m:e>
                      <m:r>
                        <w:rPr>
                          <w:rFonts w:ascii="Cambria Math" w:hAnsi="Cambria Math" w:cs="Times New Roman"/>
                          <w:color w:val="000000" w:themeColor="text1"/>
                        </w:rPr>
                        <m:t>K</m:t>
                      </m:r>
                    </m:e>
                    <m:sub>
                      <m:r>
                        <w:rPr>
                          <w:rFonts w:ascii="Cambria Math" w:hAnsi="Cambria Math" w:cs="Times New Roman"/>
                          <w:color w:val="000000" w:themeColor="text1"/>
                        </w:rPr>
                        <m:t>off</m:t>
                      </m:r>
                    </m:sub>
                  </m:sSub>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K</m:t>
                      </m:r>
                    </m:e>
                    <m:sub>
                      <m:r>
                        <w:rPr>
                          <w:rFonts w:ascii="Cambria Math" w:hAnsi="Cambria Math" w:cs="Times New Roman"/>
                          <w:color w:val="000000" w:themeColor="text1"/>
                        </w:rPr>
                        <m:t>on</m:t>
                      </m:r>
                    </m:sub>
                  </m:sSub>
                </m:den>
              </m:f>
            </m:oMath>
          </w:p>
        </w:tc>
        <w:tc>
          <w:tcPr>
            <w:tcW w:w="1063" w:type="dxa"/>
            <w:vAlign w:val="center"/>
          </w:tcPr>
          <w:p w14:paraId="3BDD87DB" w14:textId="77777777" w:rsidR="0046486F" w:rsidRPr="00EE7674" w:rsidRDefault="0046486F" w:rsidP="0075620E">
            <w:pPr>
              <w:spacing w:line="360" w:lineRule="auto"/>
              <w:jc w:val="center"/>
              <w:rPr>
                <w:rFonts w:ascii="Times New Roman" w:hAnsi="Times New Roman" w:cs="Times New Roman"/>
                <w:color w:val="000000" w:themeColor="text1"/>
              </w:rPr>
            </w:pPr>
            <w:r w:rsidRPr="00EE7674">
              <w:rPr>
                <w:rFonts w:ascii="Times New Roman" w:hAnsi="Times New Roman" w:cs="Times New Roman"/>
                <w:color w:val="000000" w:themeColor="text1"/>
              </w:rPr>
              <w:t>(S12)</w:t>
            </w:r>
          </w:p>
        </w:tc>
      </w:tr>
    </w:tbl>
    <w:p w14:paraId="07EBC186" w14:textId="77777777" w:rsidR="0046486F" w:rsidRPr="00EE7674" w:rsidRDefault="0046486F" w:rsidP="0046486F">
      <w:pPr>
        <w:spacing w:line="360" w:lineRule="auto"/>
        <w:ind w:firstLineChars="200" w:firstLine="489"/>
        <w:rPr>
          <w:color w:val="000000" w:themeColor="text1"/>
        </w:rPr>
      </w:pPr>
      <w:bookmarkStart w:id="94" w:name="OLE_LINK211"/>
      <w:bookmarkStart w:id="95" w:name="OLE_LINK210"/>
      <w:r w:rsidRPr="00EE7674">
        <w:rPr>
          <w:b/>
          <w:bCs/>
          <w:color w:val="000000" w:themeColor="text1"/>
        </w:rPr>
        <w:t>In Equation (S9–12)</w:t>
      </w:r>
      <w:r w:rsidRPr="00EE7674">
        <w:rPr>
          <w:color w:val="000000" w:themeColor="text1"/>
        </w:rPr>
        <w:t xml:space="preserve">, </w:t>
      </w:r>
      <m:oMath>
        <m:sSub>
          <m:sSubPr>
            <m:ctrlPr>
              <w:rPr>
                <w:rFonts w:ascii="Cambria Math" w:hAnsi="Cambria Math"/>
                <w:b/>
                <w:bCs/>
                <w:i/>
                <w:color w:val="000000" w:themeColor="text1"/>
              </w:rPr>
            </m:ctrlPr>
          </m:sSubPr>
          <m:e>
            <m:r>
              <m:rPr>
                <m:sty m:val="bi"/>
              </m:rPr>
              <w:rPr>
                <w:rFonts w:ascii="Cambria Math" w:hAnsi="Cambria Math"/>
                <w:color w:val="000000" w:themeColor="text1"/>
              </w:rPr>
              <m:t>Y</m:t>
            </m:r>
          </m:e>
          <m:sub>
            <m:r>
              <m:rPr>
                <m:sty m:val="bi"/>
              </m:rPr>
              <w:rPr>
                <w:rFonts w:ascii="Cambria Math" w:hAnsi="Cambria Math"/>
                <w:color w:val="000000" w:themeColor="text1"/>
              </w:rPr>
              <m:t>a</m:t>
            </m:r>
          </m:sub>
        </m:sSub>
      </m:oMath>
      <w:r w:rsidRPr="00EE7674">
        <w:rPr>
          <w:color w:val="000000" w:themeColor="text1"/>
        </w:rPr>
        <w:t xml:space="preserve"> is the binding rate and  </w:t>
      </w:r>
      <m:oMath>
        <m:sSub>
          <m:sSubPr>
            <m:ctrlPr>
              <w:rPr>
                <w:rFonts w:ascii="Cambria Math" w:hAnsi="Cambria Math"/>
                <w:b/>
                <w:bCs/>
                <w:i/>
                <w:color w:val="000000" w:themeColor="text1"/>
              </w:rPr>
            </m:ctrlPr>
          </m:sSubPr>
          <m:e>
            <m:r>
              <m:rPr>
                <m:sty m:val="bi"/>
              </m:rPr>
              <w:rPr>
                <w:rFonts w:ascii="Cambria Math" w:hAnsi="Cambria Math"/>
                <w:color w:val="000000" w:themeColor="text1"/>
              </w:rPr>
              <m:t>Y</m:t>
            </m:r>
          </m:e>
          <m:sub>
            <m:r>
              <m:rPr>
                <m:sty m:val="bi"/>
              </m:rPr>
              <w:rPr>
                <w:rFonts w:ascii="Cambria Math" w:hAnsi="Cambria Math"/>
                <w:color w:val="000000" w:themeColor="text1"/>
              </w:rPr>
              <m:t>d</m:t>
            </m:r>
          </m:sub>
        </m:sSub>
      </m:oMath>
      <w:r w:rsidRPr="00EE7674">
        <w:rPr>
          <w:color w:val="000000" w:themeColor="text1"/>
        </w:rPr>
        <w:t xml:space="preserve"> is the dissociation rate, corresponding to the response signal; </w:t>
      </w:r>
      <w:bookmarkEnd w:id="94"/>
      <w:bookmarkEnd w:id="95"/>
      <w:r w:rsidRPr="00EE7674">
        <w:rPr>
          <w:b/>
          <w:bCs/>
          <w:color w:val="000000" w:themeColor="text1"/>
        </w:rPr>
        <w:t>A</w:t>
      </w:r>
      <w:r w:rsidRPr="00EE7674">
        <w:rPr>
          <w:color w:val="000000" w:themeColor="text1"/>
        </w:rPr>
        <w:t xml:space="preserve"> is the asymptote , which is the maximum binding signal at equilibrium; </w:t>
      </w:r>
      <w:r w:rsidRPr="00EE7674">
        <w:rPr>
          <w:b/>
          <w:bCs/>
          <w:color w:val="000000" w:themeColor="text1"/>
        </w:rPr>
        <w:t>X</w:t>
      </w:r>
      <w:r w:rsidRPr="00EE7674">
        <w:rPr>
          <w:color w:val="000000" w:themeColor="text1"/>
        </w:rPr>
        <w:t xml:space="preserve"> is time; and </w:t>
      </w:r>
      <w:r w:rsidRPr="00EE7674">
        <w:rPr>
          <w:b/>
          <w:bCs/>
          <w:color w:val="000000" w:themeColor="text1"/>
        </w:rPr>
        <w:t>B</w:t>
      </w:r>
      <w:r w:rsidRPr="00EE7674">
        <w:rPr>
          <w:color w:val="000000" w:themeColor="text1"/>
        </w:rPr>
        <w:t xml:space="preserve"> is the observed rate constant; </w:t>
      </w:r>
      <m:oMath>
        <m:r>
          <m:rPr>
            <m:sty m:val="bi"/>
          </m:rPr>
          <w:rPr>
            <w:rFonts w:ascii="Cambria Math" w:eastAsia="DengXian" w:hAnsi="Cambria Math"/>
            <w:color w:val="000000" w:themeColor="text1"/>
          </w:rPr>
          <m:t>[C]</m:t>
        </m:r>
      </m:oMath>
      <w:r w:rsidRPr="00EE7674">
        <w:rPr>
          <w:color w:val="000000" w:themeColor="text1"/>
        </w:rPr>
        <w:t xml:space="preserve"> is the concentration of the analyte. Equation </w:t>
      </w:r>
      <w:r w:rsidRPr="00EE7674">
        <w:rPr>
          <w:b/>
          <w:bCs/>
          <w:color w:val="000000" w:themeColor="text1"/>
        </w:rPr>
        <w:t xml:space="preserve">(S9) </w:t>
      </w:r>
      <w:r w:rsidRPr="00EE7674">
        <w:rPr>
          <w:color w:val="000000" w:themeColor="text1"/>
        </w:rPr>
        <w:t xml:space="preserve">describes the association stage, Equation (S10) </w:t>
      </w:r>
      <w:r w:rsidRPr="00EE7674">
        <w:rPr>
          <w:b/>
          <w:bCs/>
          <w:color w:val="000000" w:themeColor="text1"/>
        </w:rPr>
        <w:t xml:space="preserve"> </w:t>
      </w:r>
      <w:r w:rsidRPr="00EE7674">
        <w:rPr>
          <w:color w:val="000000" w:themeColor="text1"/>
        </w:rPr>
        <w:t xml:space="preserve">describes the dissociation stage. Equation </w:t>
      </w:r>
      <w:r w:rsidRPr="00EE7674">
        <w:rPr>
          <w:b/>
          <w:bCs/>
          <w:color w:val="000000" w:themeColor="text1"/>
        </w:rPr>
        <w:t xml:space="preserve">(S11) </w:t>
      </w:r>
      <w:r w:rsidRPr="00EE7674">
        <w:rPr>
          <w:color w:val="000000" w:themeColor="text1"/>
        </w:rPr>
        <w:t xml:space="preserve">describe the relation of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on</m:t>
            </m:r>
          </m:sub>
        </m:sSub>
      </m:oMath>
      <w:r w:rsidRPr="00EE7674">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off</m:t>
            </m:r>
          </m:sub>
        </m:sSub>
      </m:oMath>
      <w:r w:rsidRPr="00EE7674">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D</m:t>
            </m:r>
          </m:sub>
        </m:sSub>
      </m:oMath>
      <w:r w:rsidRPr="00EE7674">
        <w:rPr>
          <w:color w:val="000000" w:themeColor="text1"/>
        </w:rPr>
        <w:t xml:space="preserve">. </w:t>
      </w:r>
    </w:p>
    <w:p w14:paraId="7A6BF064" w14:textId="74D7AFA8" w:rsidR="0046486F" w:rsidRPr="00EE7674" w:rsidRDefault="0061600F" w:rsidP="0046486F">
      <w:pPr>
        <w:spacing w:line="360" w:lineRule="auto"/>
        <w:ind w:firstLineChars="200" w:firstLine="489"/>
        <w:rPr>
          <w:color w:val="000000" w:themeColor="text1"/>
        </w:rPr>
      </w:pPr>
      <w:r w:rsidRPr="00EE7674">
        <w:rPr>
          <w:b/>
          <w:bCs/>
          <w:color w:val="000000" w:themeColor="text1"/>
        </w:rPr>
        <w:t xml:space="preserve">Fig. </w:t>
      </w:r>
      <w:r w:rsidR="0046486F" w:rsidRPr="00EE7674">
        <w:rPr>
          <w:b/>
          <w:bCs/>
          <w:color w:val="000000" w:themeColor="text1"/>
        </w:rPr>
        <w:t>S23g</w:t>
      </w:r>
      <w:r w:rsidR="0046486F" w:rsidRPr="00EE7674">
        <w:rPr>
          <w:color w:val="000000" w:themeColor="text1"/>
        </w:rPr>
        <w:t xml:space="preserve"> shows the fitting curves of protein A and IgG binding dissociation at different concentrations. From the curves, we can see that protein A and IgG are ligand-analytes with strong binding and weak dissociation</w:t>
      </w:r>
      <w:bookmarkEnd w:id="81"/>
      <w:bookmarkEnd w:id="82"/>
      <w:r w:rsidR="0046486F" w:rsidRPr="00EE7674">
        <w:rPr>
          <w:color w:val="000000" w:themeColor="text1"/>
        </w:rPr>
        <w:t xml:space="preserve">. The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D</m:t>
            </m:r>
          </m:sub>
        </m:sSub>
      </m:oMath>
      <w:r w:rsidR="0046486F" w:rsidRPr="00EE7674">
        <w:rPr>
          <w:color w:val="000000" w:themeColor="text1"/>
        </w:rPr>
        <w:t xml:space="preserve"> values of protein A and IgG ranged from 318 to 610 pM, which agrees with the literature</w:t>
      </w:r>
      <w:r w:rsidR="0046486F" w:rsidRPr="00EE7674">
        <w:rPr>
          <w:color w:val="000000" w:themeColor="text1"/>
        </w:rPr>
        <w:fldChar w:fldCharType="begin"/>
      </w:r>
      <w:r w:rsidR="00C9505E">
        <w:rPr>
          <w:color w:val="000000" w:themeColor="text1"/>
        </w:rPr>
        <w:instrText xml:space="preserve"> ADDIN ZOTERO_ITEM CSL_CITATION {"citationID":"QzkDDki4","properties":{"formattedCitation":"[17]","plainCitation":"[17]","noteIndex":0},"citationItems":[{"id":916,"uris":["http://zotero.org/users/local/389ubzLc/items/UZ9EQUYK"],"itemData":{"id":916,"type":"article-journal","abstract":"Abstract\n            \n              An undergraduate biochemistry laboratory experiment has been developed using biolayer interferometry (BLI), an optical biosensing technique similar to surface plasmon resonance (SPR), in</w:instrText>
      </w:r>
      <w:r w:rsidR="00C9505E">
        <w:rPr>
          <w:rFonts w:hint="eastAsia"/>
          <w:color w:val="000000" w:themeColor="text1"/>
        </w:rPr>
        <w:instrText xml:space="preserve"> which students obtain and analyze kinetic data for a protein</w:instrText>
      </w:r>
      <w:r w:rsidR="00C9505E">
        <w:rPr>
          <w:rFonts w:hint="eastAsia"/>
          <w:color w:val="000000" w:themeColor="text1"/>
        </w:rPr>
        <w:instrText>‐</w:instrText>
      </w:r>
      <w:r w:rsidR="00C9505E">
        <w:rPr>
          <w:rFonts w:hint="eastAsia"/>
          <w:color w:val="000000" w:themeColor="text1"/>
        </w:rPr>
        <w:instrText>protein interaction. Optical biosensing is a technique of choice to determine kinetic and affinity constants for biomolecular interactions. Measurements can be made in real</w:instrText>
      </w:r>
      <w:r w:rsidR="00C9505E">
        <w:rPr>
          <w:rFonts w:hint="eastAsia"/>
          <w:color w:val="000000" w:themeColor="text1"/>
        </w:rPr>
        <w:instrText>‐</w:instrText>
      </w:r>
      <w:r w:rsidR="00C9505E">
        <w:rPr>
          <w:rFonts w:hint="eastAsia"/>
          <w:color w:val="000000" w:themeColor="text1"/>
        </w:rPr>
        <w:instrText>time without labels, making biosensing particularly appropriate for the teaching laboratory. In the described exercise, students investigate the kinetics of Protein A</w:instrText>
      </w:r>
      <w:r w:rsidR="00C9505E">
        <w:rPr>
          <w:rFonts w:hint="eastAsia"/>
          <w:color w:val="000000" w:themeColor="text1"/>
        </w:rPr>
        <w:instrText>‐</w:instrText>
      </w:r>
      <w:r w:rsidR="00C9505E">
        <w:rPr>
          <w:rFonts w:hint="eastAsia"/>
          <w:color w:val="000000" w:themeColor="text1"/>
        </w:rPr>
        <w:instrText>human Immunoglobin G binding under conditions that mimic simple 1:1 binding. Students prepare appropriate se</w:instrText>
      </w:r>
      <w:r w:rsidR="00C9505E">
        <w:rPr>
          <w:color w:val="000000" w:themeColor="text1"/>
        </w:rPr>
        <w:instrText>rial dilutions of IgG and set up a microplate for the experiment by aliquotting biotinylated Protein A, buffer, and IgG solutions. A commercial BLI sensor, the FortéBio Octet QK, is used to measure binding. While data are collected students prepare a spreadsheet with which they will simulate the data to determine\n              k\n              on\n              ,\n              k\n              off\n              , and\n              K\n              D\n              . Raw data from the sensor are then exported to the spreadsheets for analysis. Optimized experiment timing, regeneration methods and other parameters are described to increase throughput and reduce cost. The experiment is readily adaptable to other biosensing platforms such as SPR instrument</w:instrText>
      </w:r>
      <w:r w:rsidR="00C9505E">
        <w:rPr>
          <w:rFonts w:hint="eastAsia"/>
          <w:color w:val="000000" w:themeColor="text1"/>
        </w:rPr>
        <w:instrText>s. Biochemistry and Molecular Biology Education Vol. 38, No. 6, pp. 400</w:instrText>
      </w:r>
      <w:r w:rsidR="00C9505E">
        <w:rPr>
          <w:rFonts w:hint="eastAsia"/>
          <w:color w:val="000000" w:themeColor="text1"/>
        </w:rPr>
        <w:instrText>‐</w:instrText>
      </w:r>
      <w:r w:rsidR="00C9505E">
        <w:rPr>
          <w:rFonts w:hint="eastAsia"/>
          <w:color w:val="000000" w:themeColor="text1"/>
        </w:rPr>
        <w:instrText>407, 2010","container-title":"Biochemistry and Molecular Biology Education","DOI":"10.1002/bmb.20442","ISSN":"1470-8175, 1539-3429","issue":"6","journalAbbreviation":"Biochem Molecular Bio Educ","language":"en","license":"http://onlinelibrary.wiley.com/termsAndConditions#vor","page":"400-407","source":"DOI.org (Crossref)","title":"Optical biosensing: Kinetics of protein A</w:instrText>
      </w:r>
      <w:r w:rsidR="00C9505E">
        <w:rPr>
          <w:rFonts w:hint="eastAsia"/>
          <w:color w:val="000000" w:themeColor="text1"/>
        </w:rPr>
        <w:instrText>‐</w:instrText>
      </w:r>
      <w:r w:rsidR="00C9505E">
        <w:rPr>
          <w:rFonts w:hint="eastAsia"/>
          <w:color w:val="000000" w:themeColor="text1"/>
        </w:rPr>
        <w:instrText>IGG binding using biolayer interferometry","title-short":"Optic</w:instrText>
      </w:r>
      <w:r w:rsidR="00C9505E">
        <w:rPr>
          <w:color w:val="000000" w:themeColor="text1"/>
        </w:rPr>
        <w:instrText xml:space="preserve">al biosensing","volume":"38","author":[{"family":"Wilson","given":"Jo Leanna"},{"family":"Scott","given":"Israel M."},{"family":"McMurry","given":"Jonathan L."}],"issued":{"date-parts":[["2010",11]]}}}],"schema":"https://github.com/citation-style-language/schema/raw/master/csl-citation.json"} </w:instrText>
      </w:r>
      <w:r w:rsidR="0046486F" w:rsidRPr="00EE7674">
        <w:rPr>
          <w:color w:val="000000" w:themeColor="text1"/>
        </w:rPr>
        <w:fldChar w:fldCharType="separate"/>
      </w:r>
      <w:r w:rsidR="00C9505E">
        <w:rPr>
          <w:color w:val="000000"/>
          <w:szCs w:val="24"/>
        </w:rPr>
        <w:t>[17]</w:t>
      </w:r>
      <w:r w:rsidR="0046486F" w:rsidRPr="00EE7674">
        <w:rPr>
          <w:color w:val="000000" w:themeColor="text1"/>
        </w:rPr>
        <w:fldChar w:fldCharType="end"/>
      </w:r>
      <w:r w:rsidR="0046486F" w:rsidRPr="00EE7674">
        <w:rPr>
          <w:color w:val="000000" w:themeColor="text1"/>
        </w:rPr>
        <w:t>.</w:t>
      </w:r>
      <w:bookmarkStart w:id="96" w:name="OLE_LINK49"/>
      <w:bookmarkStart w:id="97" w:name="OLE_LINK50"/>
      <w:r w:rsidR="0046486F" w:rsidRPr="00EE7674">
        <w:rPr>
          <w:color w:val="000000" w:themeColor="text1"/>
        </w:rPr>
        <w:t xml:space="preserve"> The developed platform can simultaneously detect and create binding and dissociation curves in a high-throughput manner. </w:t>
      </w:r>
      <w:bookmarkEnd w:id="96"/>
      <w:bookmarkEnd w:id="97"/>
    </w:p>
    <w:p w14:paraId="140CCDBB" w14:textId="486ACA92" w:rsidR="00FA2FB8" w:rsidRDefault="006C7EF4" w:rsidP="00FA2FB8">
      <w:pPr>
        <w:rPr>
          <w:rFonts w:eastAsia="Times New Roman"/>
          <w:b/>
          <w:color w:val="000000" w:themeColor="text1"/>
          <w:szCs w:val="32"/>
        </w:rPr>
      </w:pPr>
      <w:r w:rsidRPr="00EE7674">
        <w:rPr>
          <w:rFonts w:eastAsia="Times New Roman"/>
          <w:b/>
          <w:color w:val="000000" w:themeColor="text1"/>
          <w:szCs w:val="32"/>
        </w:rPr>
        <w:br w:type="page"/>
      </w:r>
    </w:p>
    <w:p w14:paraId="176DE391" w14:textId="33293973" w:rsidR="003251CB" w:rsidRPr="00EE7674" w:rsidRDefault="003251CB" w:rsidP="003251CB">
      <w:pPr>
        <w:pStyle w:val="1"/>
        <w:rPr>
          <w:color w:val="000000" w:themeColor="text1"/>
        </w:rPr>
      </w:pPr>
      <w:r w:rsidRPr="00EE7674">
        <w:rPr>
          <w:color w:val="000000" w:themeColor="text1"/>
        </w:rPr>
        <w:lastRenderedPageBreak/>
        <w:t>S</w:t>
      </w:r>
      <w:r>
        <w:rPr>
          <w:color w:val="000000" w:themeColor="text1"/>
        </w:rPr>
        <w:t>10</w:t>
      </w:r>
      <w:r w:rsidRPr="00EE7674">
        <w:rPr>
          <w:color w:val="000000" w:themeColor="text1"/>
        </w:rPr>
        <w:t xml:space="preserve">. </w:t>
      </w:r>
      <w:r w:rsidR="004A7E36" w:rsidRPr="004A7E36">
        <w:rPr>
          <w:color w:val="000000" w:themeColor="text1"/>
        </w:rPr>
        <w:t>Application of IDMM-SPR Sensor for Small Molecule Affinity Evaluation</w:t>
      </w:r>
      <w:r w:rsidRPr="00EE7674">
        <w:rPr>
          <w:color w:val="000000" w:themeColor="text1"/>
        </w:rPr>
        <w:t xml:space="preserve"> </w:t>
      </w:r>
    </w:p>
    <w:p w14:paraId="6DBFF974" w14:textId="2AFFE64B" w:rsidR="003251CB" w:rsidRDefault="004A7E36" w:rsidP="003251CB">
      <w:pPr>
        <w:spacing w:line="360" w:lineRule="auto"/>
        <w:ind w:firstLineChars="200" w:firstLine="480"/>
        <w:rPr>
          <w:color w:val="000000" w:themeColor="text1"/>
        </w:rPr>
      </w:pPr>
      <w:r w:rsidRPr="004A7E36">
        <w:rPr>
          <w:color w:val="000000" w:themeColor="text1"/>
        </w:rPr>
        <w:t xml:space="preserve">The low molecular weight of small molecules results in minimal refractive index (RI) changes upon binding, making their detection challenging using conventional SPR techniques. </w:t>
      </w:r>
      <w:r w:rsidRPr="00E007CD">
        <w:rPr>
          <w:color w:val="000000" w:themeColor="text1"/>
        </w:rPr>
        <w:fldChar w:fldCharType="begin"/>
      </w:r>
      <w:r w:rsidR="00C9505E">
        <w:rPr>
          <w:color w:val="000000" w:themeColor="text1"/>
        </w:rPr>
        <w:instrText xml:space="preserve"> ADDIN ZOTERO_ITEM CSL_CITATION {"citationID":"rYgf8ikQ","properties":{"formattedCitation":"[18]","plainCitation":"[18]","noteIndex":0},"citationItems":[{"id":1052,"uris":["http://zotero.org/users/local/389ubzLc/items/R96JR8NX"],"itemData":{"id":1052,"type":"article-journal","abstract":"Label-free optical biosensors are an intriguing option for the analyses of many analytes, as they offer several advantages such as high sensitivity, direct and real-time measurement in addition to multiplexing capabilities. However, development of label-free optical biosensors for small molecules can be challenging as most of them are not naturally chromogenic or fluorescent, and in some cases, the sensor response is related to the size of the analyte. To overcome some of the limitations associated with the analysis of biologically, pharmacologically, or environmentally relevant compounds of low molecular weight, recent advances in the field have improved the detection of these analytes using outstanding methodology, instrumentation, recognition elements, or immobilization strategies. In this review, we aim to introduce some of the latest developments in the field of label-free optical biosensors with the focus on applications with novel innovations to overcome the challenges related to small molecule detection. Optical label-free methods with different transduction schemes, including evanescent wave and optical fiber sensors, surface plasmon resonance, surface-enhanced Raman spectroscopy, and interferometry, using various biorecognition elements, such as antibodies, aptamers, enzymes, and bioinspired molecularly imprinted polymers, are reviewed.","container-title":"Sensors","DOI":"10.3390/s18124126","ISSN":"1424-8220","issue":"12","journalAbbreviation":"Sensors","language":"en","license":"https://creativecommons.org/licenses/by/4.0/","page":"4126","source":"DOI.org (Crossref)","title":"Optical Biosensors for Label-Free Detection of Small Molecules","volume":"18","author":[{"family":"Peltomaa","given":"Riikka"},{"family":"Glahn-Martínez","given":"Bettina"},{"family":"Benito-Peña","given":"Elena"},{"family":"Moreno-Bondi","given":"María C."}],"issued":{"date-parts":[["2018",11,24]]}}}],"schema":"https://github.com/citation-style-language/schema/raw/master/csl-citation.json"} </w:instrText>
      </w:r>
      <w:r w:rsidRPr="00E007CD">
        <w:rPr>
          <w:color w:val="000000" w:themeColor="text1"/>
        </w:rPr>
        <w:fldChar w:fldCharType="separate"/>
      </w:r>
      <w:r w:rsidR="00C9505E">
        <w:rPr>
          <w:color w:val="000000"/>
          <w:szCs w:val="24"/>
        </w:rPr>
        <w:t>[18]</w:t>
      </w:r>
      <w:r w:rsidRPr="00E007CD">
        <w:rPr>
          <w:color w:val="000000" w:themeColor="text1"/>
        </w:rPr>
        <w:fldChar w:fldCharType="end"/>
      </w:r>
      <w:r w:rsidRPr="004A7E36">
        <w:rPr>
          <w:color w:val="000000" w:themeColor="text1"/>
        </w:rPr>
        <w:t xml:space="preserve"> However, characterizing the binding affinity between small molecule ligands and target proteins is crucial for virtual drug screening and repurposing existing drugs. </w:t>
      </w:r>
      <w:r w:rsidRPr="00E007CD">
        <w:rPr>
          <w:color w:val="000000" w:themeColor="text1"/>
        </w:rPr>
        <w:fldChar w:fldCharType="begin"/>
      </w:r>
      <w:r w:rsidR="00C9505E">
        <w:rPr>
          <w:color w:val="000000" w:themeColor="text1"/>
        </w:rPr>
        <w:instrText xml:space="preserve"> ADDIN ZOTERO_ITEM CSL_CITATION {"citationID":"AxnpC3M2","properties":{"formattedCitation":"[19]","plainCitation":"[19]","noteIndex":0},"citationItems":[{"id":941,"uris":["http://zotero.org/users/local/389ubzLc/items/LV7S9LMW"],"itemData":{"id":941,"type":"article-journal","container-title":"Biogerontology","DOI":"10.1007/s10522-018-9744-x","ISSN":"1389-5729, 1573-6768","issue":"2","journalAbbreviation":"Biogerontology","language":"en","page":"133-143","source":"DOI.org (Crossref)","title":"Repurposing existing drugs for new AMPK activators as a strategy to extend lifespan: a computer-aided drug discovery study","title-short":"Repurposing existing drugs for new AMPK activators as a strategy to extend lifespan","volume":"19","author":[{"family":"Mofidifar","given":"Sepideh"},{"family":"Sohraby","given":"Farzin"},{"family":"Bagheri","given":"Milad"},{"family":"Aryapour","given":"Hassan"}],"issued":{"date-parts":[["2018",4]]}}}],"schema":"https://github.com/citation-style-language/schema/raw/master/csl-citation.json"} </w:instrText>
      </w:r>
      <w:r w:rsidRPr="00E007CD">
        <w:rPr>
          <w:color w:val="000000" w:themeColor="text1"/>
        </w:rPr>
        <w:fldChar w:fldCharType="separate"/>
      </w:r>
      <w:r w:rsidR="00C9505E">
        <w:rPr>
          <w:color w:val="000000"/>
          <w:szCs w:val="24"/>
        </w:rPr>
        <w:t>[19]</w:t>
      </w:r>
      <w:r w:rsidRPr="00E007CD">
        <w:rPr>
          <w:color w:val="000000" w:themeColor="text1"/>
        </w:rPr>
        <w:fldChar w:fldCharType="end"/>
      </w:r>
      <w:r w:rsidRPr="004A7E36">
        <w:rPr>
          <w:color w:val="000000" w:themeColor="text1"/>
        </w:rPr>
        <w:t xml:space="preserve"> To address this challenge, we developed a novel method for measuring small molecule affinity using the IDMM-SPR sensor chip, exemplified by the use of Quercetin. Quercetin, a bioflavonoid with anti-inflammatory and other therapeutic properties, </w:t>
      </w:r>
      <w:r w:rsidRPr="00E007CD">
        <w:rPr>
          <w:color w:val="000000" w:themeColor="text1"/>
        </w:rPr>
        <w:fldChar w:fldCharType="begin"/>
      </w:r>
      <w:r w:rsidR="00C9505E">
        <w:rPr>
          <w:color w:val="000000" w:themeColor="text1"/>
        </w:rPr>
        <w:instrText xml:space="preserve"> ADDIN ZOTERO_ITEM CSL_CITATION {"citationID":"RGof3EnM","properties":{"formattedCitation":"[20]","plainCitation":"[20]","noteIndex":0},"citationItems":[{"id":942,"uris":["http://zotero.org/users/local/389ubzLc/items/P3VBJC32"],"itemData":{"id":942,"type":"article-journal","container-title":"Pharmacognosy Reviews","DOI":"10.4103/0973-7847.194044","ISSN":"0973-7847","issue":"20","journalAbbreviation":"Phcog Rev","language":"en","page":"84","source":"DOI.org (Crossref)","title":"Overviews of biological importance of quercetin: A bioactive flavonoid","title-short":"Overviews of biological importance of quercetin","volume":"10","author":[{"family":"Anand David","given":"AlexanderVictor"},{"family":"Arulmoli","given":"Radhakrishnan"},{"family":"Parasuraman","given":"Subramani"}],"issued":{"date-parts":[["2016"]]}}}],"schema":"https://github.com/citation-style-language/schema/raw/master/csl-citation.json"} </w:instrText>
      </w:r>
      <w:r w:rsidRPr="00E007CD">
        <w:rPr>
          <w:color w:val="000000" w:themeColor="text1"/>
        </w:rPr>
        <w:fldChar w:fldCharType="separate"/>
      </w:r>
      <w:r w:rsidR="00C9505E">
        <w:rPr>
          <w:color w:val="000000"/>
          <w:szCs w:val="24"/>
        </w:rPr>
        <w:t>[20]</w:t>
      </w:r>
      <w:r w:rsidRPr="00E007CD">
        <w:rPr>
          <w:color w:val="000000" w:themeColor="text1"/>
        </w:rPr>
        <w:fldChar w:fldCharType="end"/>
      </w:r>
      <w:r w:rsidRPr="004A7E36">
        <w:rPr>
          <w:color w:val="000000" w:themeColor="text1"/>
        </w:rPr>
        <w:t xml:space="preserve"> was chosen as a model small molecule. </w:t>
      </w:r>
      <w:r>
        <w:rPr>
          <w:color w:val="000000" w:themeColor="text1"/>
        </w:rPr>
        <w:t xml:space="preserve">As shown in </w:t>
      </w:r>
      <w:r w:rsidRPr="004A7E36">
        <w:rPr>
          <w:color w:val="000000" w:themeColor="text1"/>
        </w:rPr>
        <w:t>Fig</w:t>
      </w:r>
      <w:r w:rsidR="00204EC2">
        <w:rPr>
          <w:color w:val="000000" w:themeColor="text1"/>
          <w:lang w:eastAsia="zh-CN"/>
        </w:rPr>
        <w:t>.</w:t>
      </w:r>
      <w:r w:rsidRPr="004A7E36">
        <w:rPr>
          <w:color w:val="000000" w:themeColor="text1"/>
        </w:rPr>
        <w:t xml:space="preserve"> </w:t>
      </w:r>
      <w:r>
        <w:rPr>
          <w:color w:val="000000" w:themeColor="text1"/>
        </w:rPr>
        <w:t>S2</w:t>
      </w:r>
      <w:r w:rsidR="00FA5CCA">
        <w:rPr>
          <w:color w:val="000000" w:themeColor="text1"/>
        </w:rPr>
        <w:t>6</w:t>
      </w:r>
      <w:r>
        <w:rPr>
          <w:color w:val="000000" w:themeColor="text1"/>
        </w:rPr>
        <w:t>a,</w:t>
      </w:r>
      <w:r w:rsidRPr="004A7E36">
        <w:rPr>
          <w:color w:val="000000" w:themeColor="text1"/>
        </w:rPr>
        <w:t xml:space="preserve"> </w:t>
      </w:r>
      <w:r>
        <w:rPr>
          <w:color w:val="000000" w:themeColor="text1"/>
        </w:rPr>
        <w:t>w</w:t>
      </w:r>
      <w:r w:rsidRPr="004A7E36">
        <w:rPr>
          <w:color w:val="000000" w:themeColor="text1"/>
        </w:rPr>
        <w:t xml:space="preserve">e functionalized the IDMM-SPR sensor chip surface with carboxyl groups using MUA to provide binding sites for Quercetin. The sensor surface was then activated under 365 nm UV irradiation to immobilize Quercetin. By adding various concentrations of human </w:t>
      </w:r>
      <w:r>
        <w:rPr>
          <w:rFonts w:hint="eastAsia"/>
          <w:color w:val="000000" w:themeColor="text1"/>
          <w:lang w:eastAsia="zh-CN"/>
        </w:rPr>
        <w:t>t</w:t>
      </w:r>
      <w:r w:rsidRPr="00E007CD">
        <w:rPr>
          <w:color w:val="000000" w:themeColor="text1"/>
        </w:rPr>
        <w:t>ransforming growth factor-beta receptor 1 (TGFBR1)</w:t>
      </w:r>
      <w:r w:rsidRPr="004A7E36">
        <w:rPr>
          <w:color w:val="000000" w:themeColor="text1"/>
        </w:rPr>
        <w:t xml:space="preserve"> solutions and buffer solutions, we successfully monitored the association and dissociation processes between Quercetin and TGFBR1.</w:t>
      </w:r>
    </w:p>
    <w:p w14:paraId="6964A1F0" w14:textId="4C945E7E" w:rsidR="004A7E36" w:rsidRDefault="004A7E36" w:rsidP="003251CB">
      <w:pPr>
        <w:spacing w:line="360" w:lineRule="auto"/>
        <w:ind w:firstLineChars="200" w:firstLine="480"/>
        <w:rPr>
          <w:color w:val="000000" w:themeColor="text1"/>
        </w:rPr>
      </w:pPr>
      <w:r w:rsidRPr="004A7E36">
        <w:rPr>
          <w:color w:val="000000" w:themeColor="text1"/>
        </w:rPr>
        <w:t>To validate the effectiveness of the inverse design, we compared the response signals of the optimized and unoptimized sensors. The optimized sensor exhibited significantly higher sensitivity and discrimination capability, especially at low concentrations (Fig</w:t>
      </w:r>
      <w:r w:rsidR="00204EC2">
        <w:rPr>
          <w:color w:val="000000" w:themeColor="text1"/>
        </w:rPr>
        <w:t>.</w:t>
      </w:r>
      <w:r w:rsidRPr="004A7E36">
        <w:rPr>
          <w:color w:val="000000" w:themeColor="text1"/>
        </w:rPr>
        <w:t xml:space="preserve"> </w:t>
      </w:r>
      <w:r>
        <w:rPr>
          <w:color w:val="000000" w:themeColor="text1"/>
        </w:rPr>
        <w:t>S2</w:t>
      </w:r>
      <w:r w:rsidR="00FA5CCA">
        <w:rPr>
          <w:color w:val="000000" w:themeColor="text1"/>
        </w:rPr>
        <w:t>6</w:t>
      </w:r>
      <w:r w:rsidRPr="004A7E36">
        <w:rPr>
          <w:color w:val="000000" w:themeColor="text1"/>
        </w:rPr>
        <w:t>b-d). The dissociation constants (</w:t>
      </w:r>
      <m:oMath>
        <m:sSub>
          <m:sSubPr>
            <m:ctrlPr>
              <w:rPr>
                <w:rFonts w:ascii="Cambria Math" w:hAnsi="Cambria Math"/>
                <w:i/>
                <w:color w:val="000000" w:themeColor="text1"/>
              </w:rPr>
            </m:ctrlPr>
          </m:sSubPr>
          <m:e>
            <m:r>
              <m:rPr>
                <m:sty m:val="bi"/>
              </m:rPr>
              <w:rPr>
                <w:rFonts w:ascii="Cambria Math" w:hAnsi="Cambria Math"/>
                <w:color w:val="000000" w:themeColor="text1"/>
              </w:rPr>
              <m:t>K</m:t>
            </m:r>
          </m:e>
          <m:sub>
            <m:r>
              <m:rPr>
                <m:sty m:val="bi"/>
              </m:rPr>
              <w:rPr>
                <w:rFonts w:ascii="Cambria Math" w:hAnsi="Cambria Math"/>
                <w:color w:val="000000" w:themeColor="text1"/>
              </w:rPr>
              <m:t>D</m:t>
            </m:r>
          </m:sub>
        </m:sSub>
      </m:oMath>
      <w:r w:rsidRPr="004A7E36">
        <w:rPr>
          <w:color w:val="000000" w:themeColor="text1"/>
        </w:rPr>
        <w:t>) calculated from the kinetic data were 28.3 nM and 50.1 nM for the optimized sensor, indicating a strong binding affinity between Quercetin and TGFBR1. These values corroborate previous findings.</w:t>
      </w:r>
      <w:r w:rsidR="002F666F" w:rsidRPr="002F666F">
        <w:rPr>
          <w:color w:val="000000" w:themeColor="text1"/>
        </w:rPr>
        <w:t xml:space="preserve"> </w:t>
      </w:r>
      <w:r w:rsidR="002F666F" w:rsidRPr="00E007CD">
        <w:rPr>
          <w:color w:val="000000" w:themeColor="text1"/>
        </w:rPr>
        <w:fldChar w:fldCharType="begin"/>
      </w:r>
      <w:r w:rsidR="00C9505E">
        <w:rPr>
          <w:color w:val="000000" w:themeColor="text1"/>
        </w:rPr>
        <w:instrText xml:space="preserve"> ADDIN ZOTERO_ITEM CSL_CITATION {"citationID":"N3ucFK2x","properties":{"formattedCitation":"[21]","plainCitation":"[21]","noteIndex":0},"citationItems":[{"id":988,"uris":["http://zotero.org/users/local/389ubzLc/items/UILCIGY6"],"itemData":{"id":988,"type":"article-journal","container-title":"Biophysical Chemistry","DOI":"10.1016/j.bpc.2021.106731","ISSN":"03014622","journalAbbreviation":"Biophysical Chemistry","language":"en","page":"106731","source":"DOI.org (Crossref)","title":"Discovery of TGFBR1 (ALK5) as a potential drug target of quercetin glycoside derivatives (QGDs) by reverse molecular docking and molecular dynamics simulation","volume":"281","author":[{"family":"Xu","given":"Jiahui"},{"family":"Zhang","given":"Shanshan"},{"family":"Wu","given":"Tao"},{"family":"Fang","given":"Xianying"},{"family":"Zhao","given":"Linguo"}],"issued":{"date-parts":[["2022",2]]}}}],"schema":"https://github.com/citation-style-language/schema/raw/master/csl-citation.json"} </w:instrText>
      </w:r>
      <w:r w:rsidR="002F666F" w:rsidRPr="00E007CD">
        <w:rPr>
          <w:color w:val="000000" w:themeColor="text1"/>
        </w:rPr>
        <w:fldChar w:fldCharType="separate"/>
      </w:r>
      <w:r w:rsidR="00C9505E">
        <w:rPr>
          <w:color w:val="000000"/>
          <w:szCs w:val="24"/>
        </w:rPr>
        <w:t>[21]</w:t>
      </w:r>
      <w:r w:rsidR="002F666F" w:rsidRPr="00E007CD">
        <w:rPr>
          <w:color w:val="000000" w:themeColor="text1"/>
        </w:rPr>
        <w:fldChar w:fldCharType="end"/>
      </w:r>
      <w:r w:rsidR="002F666F" w:rsidRPr="00E007CD">
        <w:rPr>
          <w:color w:val="000000" w:themeColor="text1"/>
        </w:rPr>
        <w:t xml:space="preserve"> </w:t>
      </w:r>
      <w:r w:rsidRPr="004A7E36">
        <w:rPr>
          <w:color w:val="000000" w:themeColor="text1"/>
        </w:rPr>
        <w:t xml:space="preserve"> The unoptimized sensor showed slightly lower </w:t>
      </w:r>
      <m:oMath>
        <m:sSub>
          <m:sSubPr>
            <m:ctrlPr>
              <w:rPr>
                <w:rFonts w:ascii="Cambria Math" w:hAnsi="Cambria Math"/>
                <w:i/>
                <w:color w:val="000000" w:themeColor="text1"/>
              </w:rPr>
            </m:ctrlPr>
          </m:sSubPr>
          <m:e>
            <m:r>
              <m:rPr>
                <m:sty m:val="bi"/>
              </m:rPr>
              <w:rPr>
                <w:rFonts w:ascii="Cambria Math" w:hAnsi="Cambria Math"/>
                <w:color w:val="000000" w:themeColor="text1"/>
              </w:rPr>
              <m:t>K</m:t>
            </m:r>
          </m:e>
          <m:sub>
            <m:r>
              <m:rPr>
                <m:sty m:val="bi"/>
              </m:rPr>
              <w:rPr>
                <w:rFonts w:ascii="Cambria Math" w:hAnsi="Cambria Math"/>
                <w:color w:val="000000" w:themeColor="text1"/>
              </w:rPr>
              <m:t>D</m:t>
            </m:r>
          </m:sub>
        </m:sSub>
      </m:oMath>
      <w:r w:rsidRPr="004A7E36">
        <w:rPr>
          <w:color w:val="000000" w:themeColor="text1"/>
        </w:rPr>
        <w:t xml:space="preserve"> values, likely due to reduced precision in detecting low-concentration samples. However, the differences between the optimized and unoptimized sensors were smaller compared to ultra-high-affinity interactions, likely because the tested concentrations were close to the </w:t>
      </w:r>
      <m:oMath>
        <m:sSub>
          <m:sSubPr>
            <m:ctrlPr>
              <w:rPr>
                <w:rFonts w:ascii="Cambria Math" w:hAnsi="Cambria Math"/>
                <w:i/>
                <w:color w:val="000000" w:themeColor="text1"/>
              </w:rPr>
            </m:ctrlPr>
          </m:sSubPr>
          <m:e>
            <m:r>
              <m:rPr>
                <m:sty m:val="bi"/>
              </m:rPr>
              <w:rPr>
                <w:rFonts w:ascii="Cambria Math" w:hAnsi="Cambria Math"/>
                <w:color w:val="000000" w:themeColor="text1"/>
              </w:rPr>
              <m:t>K</m:t>
            </m:r>
          </m:e>
          <m:sub>
            <m:r>
              <m:rPr>
                <m:sty m:val="bi"/>
              </m:rPr>
              <w:rPr>
                <w:rFonts w:ascii="Cambria Math" w:hAnsi="Cambria Math"/>
                <w:color w:val="000000" w:themeColor="text1"/>
              </w:rPr>
              <m:t>D</m:t>
            </m:r>
          </m:sub>
        </m:sSub>
      </m:oMath>
      <w:r w:rsidRPr="004A7E36">
        <w:rPr>
          <w:color w:val="000000" w:themeColor="text1"/>
        </w:rPr>
        <w:t xml:space="preserve"> value.</w:t>
      </w:r>
    </w:p>
    <w:p w14:paraId="7BEA53C6" w14:textId="2AB9F401" w:rsidR="002F666F" w:rsidRPr="00EE7674" w:rsidRDefault="002F666F" w:rsidP="003251CB">
      <w:pPr>
        <w:spacing w:line="360" w:lineRule="auto"/>
        <w:ind w:firstLineChars="200" w:firstLine="480"/>
        <w:rPr>
          <w:color w:val="000000" w:themeColor="text1"/>
        </w:rPr>
      </w:pPr>
      <w:r w:rsidRPr="002F666F">
        <w:rPr>
          <w:color w:val="000000" w:themeColor="text1"/>
        </w:rPr>
        <w:t>These results highlight the exceptional performance of the inverse-designed IDMM-SPR sensor in small molecule affinity detection and quantitative analysis, demonstrating its potential for compound drug development and research.</w:t>
      </w:r>
    </w:p>
    <w:p w14:paraId="4B0CC8BA" w14:textId="77777777" w:rsidR="003251CB" w:rsidRDefault="003251CB" w:rsidP="00FA2FB8">
      <w:pPr>
        <w:tabs>
          <w:tab w:val="left" w:pos="1641"/>
        </w:tabs>
        <w:spacing w:line="360" w:lineRule="auto"/>
        <w:rPr>
          <w:color w:val="000000" w:themeColor="text1"/>
        </w:rPr>
      </w:pPr>
    </w:p>
    <w:p w14:paraId="18C9CDEC" w14:textId="77777777" w:rsidR="003251CB" w:rsidRDefault="003251CB">
      <w:pPr>
        <w:rPr>
          <w:rFonts w:eastAsia="Times New Roman"/>
          <w:szCs w:val="32"/>
        </w:rPr>
      </w:pPr>
      <w:r>
        <w:rPr>
          <w:rFonts w:eastAsia="Times New Roman"/>
          <w:szCs w:val="32"/>
        </w:rPr>
        <w:br w:type="page"/>
      </w:r>
    </w:p>
    <w:p w14:paraId="5F44A4A1" w14:textId="447D5F9C" w:rsidR="00185390" w:rsidRPr="00EE7674" w:rsidRDefault="00FA2FB8" w:rsidP="00FA2FB8">
      <w:pPr>
        <w:tabs>
          <w:tab w:val="left" w:pos="1641"/>
        </w:tabs>
        <w:spacing w:line="360" w:lineRule="auto"/>
      </w:pPr>
      <w:r w:rsidRPr="00EE7674">
        <w:rPr>
          <w:rFonts w:eastAsia="Times New Roman"/>
          <w:szCs w:val="32"/>
        </w:rPr>
        <w:lastRenderedPageBreak/>
        <w:tab/>
      </w:r>
      <w:r w:rsidR="001D7C8B" w:rsidRPr="00EE7674">
        <w:rPr>
          <w:noProof/>
        </w:rPr>
        <w:drawing>
          <wp:inline distT="0" distB="0" distL="0" distR="0" wp14:anchorId="3DF1D4D1" wp14:editId="5C949D29">
            <wp:extent cx="5943600" cy="6499860"/>
            <wp:effectExtent l="0" t="0" r="0" b="2540"/>
            <wp:docPr id="16022830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83071" name="图片 160228307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6499860"/>
                    </a:xfrm>
                    <a:prstGeom prst="rect">
                      <a:avLst/>
                    </a:prstGeom>
                  </pic:spPr>
                </pic:pic>
              </a:graphicData>
            </a:graphic>
          </wp:inline>
        </w:drawing>
      </w:r>
    </w:p>
    <w:p w14:paraId="676C9EA9" w14:textId="77777777" w:rsidR="00185390" w:rsidRPr="00EE7674" w:rsidRDefault="00185390" w:rsidP="00185390">
      <w:pPr>
        <w:spacing w:line="360" w:lineRule="auto"/>
        <w:rPr>
          <w:color w:val="000000" w:themeColor="text1"/>
        </w:rPr>
      </w:pPr>
      <w:r w:rsidRPr="00EE7674">
        <w:rPr>
          <w:b/>
          <w:bCs/>
        </w:rPr>
        <w:t>Fig. S1.</w:t>
      </w:r>
      <w:r w:rsidRPr="00EE7674">
        <w:rPr>
          <w:b/>
          <w:bCs/>
          <w:color w:val="000000" w:themeColor="text1"/>
          <w:sz w:val="32"/>
          <w:szCs w:val="32"/>
        </w:rPr>
        <w:t xml:space="preserve"> </w:t>
      </w:r>
      <w:r w:rsidRPr="00EE7674">
        <w:rPr>
          <w:color w:val="000000" w:themeColor="text1"/>
          <w:szCs w:val="32"/>
        </w:rPr>
        <w:t xml:space="preserve">Conversion from peak-shift modulation to intensity modulation. </w:t>
      </w:r>
      <w:r w:rsidRPr="00EE7674">
        <w:rPr>
          <w:color w:val="000000" w:themeColor="text1"/>
        </w:rPr>
        <w:t>(a) Original OD spectrum under various refractive indices. (b) differential OD (</w:t>
      </w:r>
      <m:oMath>
        <m:r>
          <w:rPr>
            <w:rFonts w:ascii="Cambria Math" w:hAnsi="Cambria Math"/>
            <w:color w:val="000000" w:themeColor="text1"/>
          </w:rPr>
          <m:t>difOD</m:t>
        </m:r>
      </m:oMath>
      <w:r w:rsidRPr="00EE7674">
        <w:rPr>
          <w:color w:val="000000" w:themeColor="text1"/>
        </w:rPr>
        <w:t xml:space="preserve">) under various refractive indices. (c) Bar graph of peak shift to refractive index variation. (d) Bar graph of </w:t>
      </w:r>
      <m:oMath>
        <m:r>
          <w:rPr>
            <w:rFonts w:ascii="Cambria Math" w:hAnsi="Cambria Math"/>
            <w:color w:val="000000" w:themeColor="text1"/>
          </w:rPr>
          <m:t>difOD</m:t>
        </m:r>
      </m:oMath>
      <w:r w:rsidRPr="00EE7674">
        <w:rPr>
          <w:color w:val="000000" w:themeColor="text1"/>
        </w:rPr>
        <w:t xml:space="preserve"> to refractive index variation. (e) Fitting curve of peak shift to refractive index change. (f) Fitting curve of </w:t>
      </w:r>
      <m:oMath>
        <m:r>
          <w:rPr>
            <w:rFonts w:ascii="Cambria Math" w:hAnsi="Cambria Math"/>
            <w:color w:val="000000" w:themeColor="text1"/>
          </w:rPr>
          <m:t>difOD</m:t>
        </m:r>
      </m:oMath>
      <w:r w:rsidRPr="00EE7674">
        <w:rPr>
          <w:color w:val="000000" w:themeColor="text1"/>
        </w:rPr>
        <w:t xml:space="preserve"> to refractive index change.</w:t>
      </w:r>
    </w:p>
    <w:p w14:paraId="4D0FA1FE" w14:textId="77777777" w:rsidR="00185390" w:rsidRPr="00EE7674" w:rsidRDefault="00185390" w:rsidP="00185390">
      <w:pPr>
        <w:pStyle w:val="SMcaption"/>
      </w:pPr>
    </w:p>
    <w:p w14:paraId="6BC67CFD" w14:textId="799C0C2E" w:rsidR="00185390" w:rsidRPr="00EE7674" w:rsidRDefault="003D6E84" w:rsidP="00185390">
      <w:pPr>
        <w:spacing w:line="360" w:lineRule="auto"/>
        <w:rPr>
          <w:b/>
          <w:bCs/>
          <w:color w:val="000000" w:themeColor="text1"/>
        </w:rPr>
      </w:pPr>
      <w:bookmarkStart w:id="98" w:name="OLE_LINK146"/>
      <w:bookmarkStart w:id="99" w:name="OLE_LINK157"/>
      <w:r w:rsidRPr="00EE7674">
        <w:rPr>
          <w:b/>
          <w:bCs/>
          <w:noProof/>
          <w:color w:val="000000" w:themeColor="text1"/>
        </w:rPr>
        <w:drawing>
          <wp:inline distT="0" distB="0" distL="0" distR="0" wp14:anchorId="7997FE34" wp14:editId="4FC87839">
            <wp:extent cx="5943600" cy="4524375"/>
            <wp:effectExtent l="0" t="0" r="0" b="0"/>
            <wp:docPr id="2903956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395620" name="图片 29039562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524375"/>
                    </a:xfrm>
                    <a:prstGeom prst="rect">
                      <a:avLst/>
                    </a:prstGeom>
                  </pic:spPr>
                </pic:pic>
              </a:graphicData>
            </a:graphic>
          </wp:inline>
        </w:drawing>
      </w:r>
    </w:p>
    <w:p w14:paraId="38B5EF72" w14:textId="77777777" w:rsidR="00185390" w:rsidRPr="00EE7674" w:rsidRDefault="00185390" w:rsidP="00185390">
      <w:pPr>
        <w:spacing w:line="360" w:lineRule="auto"/>
        <w:rPr>
          <w:color w:val="000000" w:themeColor="text1"/>
        </w:rPr>
      </w:pPr>
      <w:r w:rsidRPr="00EE7674">
        <w:rPr>
          <w:b/>
          <w:bCs/>
        </w:rPr>
        <w:t>Fig. S2.</w:t>
      </w:r>
      <w:r w:rsidRPr="00EE7674">
        <w:rPr>
          <w:b/>
          <w:bCs/>
          <w:color w:val="000000" w:themeColor="text1"/>
        </w:rPr>
        <w:t xml:space="preserve"> </w:t>
      </w:r>
      <w:r w:rsidRPr="00EE7674">
        <w:rPr>
          <w:color w:val="000000" w:themeColor="text1"/>
        </w:rPr>
        <w:t xml:space="preserve"> </w:t>
      </w:r>
      <w:bookmarkEnd w:id="98"/>
      <w:bookmarkEnd w:id="99"/>
      <w:r w:rsidRPr="00EE7674">
        <w:rPr>
          <w:color w:val="000000" w:themeColor="text1"/>
        </w:rPr>
        <w:t>Simulation results of normalized electric field intensity distributions and OD response.</w:t>
      </w:r>
      <w:bookmarkStart w:id="100" w:name="OLE_LINK174"/>
      <w:bookmarkStart w:id="101" w:name="OLE_LINK175"/>
      <w:r w:rsidRPr="00EE7674">
        <w:rPr>
          <w:color w:val="000000" w:themeColor="text1"/>
        </w:rPr>
        <w:t xml:space="preserve"> (a) The OD response of silver, gold, copper, and platinum as surface plasmon excitation materials on a nanohole array in varying refractive indices. (b) Differential OD response of the four metal materials at different refractive indices. (c) Normalized electric field distributions of the four materials at their absorption peaks based on the nanohole array.</w:t>
      </w:r>
      <w:bookmarkEnd w:id="100"/>
      <w:bookmarkEnd w:id="101"/>
    </w:p>
    <w:p w14:paraId="36AFB3B8" w14:textId="77777777" w:rsidR="00185390" w:rsidRPr="00EE7674" w:rsidRDefault="00185390" w:rsidP="00185390">
      <w:r w:rsidRPr="00EE7674">
        <w:br w:type="page"/>
      </w:r>
    </w:p>
    <w:p w14:paraId="0D8E6261" w14:textId="77777777" w:rsidR="00185390" w:rsidRPr="00EE7674" w:rsidRDefault="00185390" w:rsidP="00185390">
      <w:pPr>
        <w:rPr>
          <w:color w:val="000000" w:themeColor="text1"/>
        </w:rPr>
      </w:pPr>
      <w:r w:rsidRPr="00EE7674">
        <w:rPr>
          <w:noProof/>
          <w:color w:val="000000" w:themeColor="text1"/>
        </w:rPr>
        <w:lastRenderedPageBreak/>
        <w:drawing>
          <wp:inline distT="0" distB="0" distL="0" distR="0" wp14:anchorId="78A926B2" wp14:editId="0C3E7939">
            <wp:extent cx="5274310" cy="3285490"/>
            <wp:effectExtent l="0" t="0" r="0" b="3810"/>
            <wp:docPr id="18017944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794416" name="图片 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3285490"/>
                    </a:xfrm>
                    <a:prstGeom prst="rect">
                      <a:avLst/>
                    </a:prstGeom>
                  </pic:spPr>
                </pic:pic>
              </a:graphicData>
            </a:graphic>
          </wp:inline>
        </w:drawing>
      </w:r>
    </w:p>
    <w:p w14:paraId="2A60D01F" w14:textId="77777777" w:rsidR="00185390" w:rsidRPr="00EE7674" w:rsidRDefault="00185390" w:rsidP="00185390">
      <w:pPr>
        <w:pStyle w:val="afff2"/>
        <w:rPr>
          <w:color w:val="000000" w:themeColor="text1"/>
        </w:rPr>
      </w:pPr>
      <w:bookmarkStart w:id="102" w:name="OLE_LINK184"/>
      <w:bookmarkStart w:id="103" w:name="OLE_LINK185"/>
      <w:r w:rsidRPr="00EE7674">
        <w:rPr>
          <w:b/>
          <w:bCs/>
          <w:color w:val="000000" w:themeColor="text1"/>
        </w:rPr>
        <w:t>Fig. S3</w:t>
      </w:r>
      <w:r w:rsidRPr="00EE7674">
        <w:rPr>
          <w:color w:val="000000" w:themeColor="text1"/>
        </w:rPr>
        <w:t xml:space="preserve">. The update process of a single particle in particle swarm optimization algorithm. </w:t>
      </w:r>
    </w:p>
    <w:bookmarkEnd w:id="102"/>
    <w:bookmarkEnd w:id="103"/>
    <w:p w14:paraId="5F1D0788" w14:textId="77777777" w:rsidR="00185390" w:rsidRPr="00EE7674" w:rsidRDefault="00185390" w:rsidP="00185390">
      <w:pPr>
        <w:pStyle w:val="SMcaption"/>
      </w:pPr>
    </w:p>
    <w:p w14:paraId="77B6D72D" w14:textId="32EC492B" w:rsidR="00185390" w:rsidRPr="00EE7674" w:rsidRDefault="00185390" w:rsidP="00185390">
      <w:pPr>
        <w:rPr>
          <w:color w:val="000000" w:themeColor="text1"/>
        </w:rPr>
      </w:pPr>
      <w:r w:rsidRPr="00EE7674">
        <w:br w:type="page"/>
      </w:r>
      <w:r w:rsidR="003D6E84" w:rsidRPr="00EE7674">
        <w:rPr>
          <w:noProof/>
          <w:color w:val="000000" w:themeColor="text1"/>
        </w:rPr>
        <w:lastRenderedPageBreak/>
        <w:drawing>
          <wp:inline distT="0" distB="0" distL="0" distR="0" wp14:anchorId="2DBFB93C" wp14:editId="2A8BC9C6">
            <wp:extent cx="5943600" cy="2489835"/>
            <wp:effectExtent l="0" t="0" r="0" b="0"/>
            <wp:docPr id="19990106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010620" name="图片 199901062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2489835"/>
                    </a:xfrm>
                    <a:prstGeom prst="rect">
                      <a:avLst/>
                    </a:prstGeom>
                  </pic:spPr>
                </pic:pic>
              </a:graphicData>
            </a:graphic>
          </wp:inline>
        </w:drawing>
      </w:r>
    </w:p>
    <w:p w14:paraId="3C69D355" w14:textId="77777777" w:rsidR="00185390" w:rsidRPr="00EE7674" w:rsidRDefault="00185390" w:rsidP="00185390">
      <w:pPr>
        <w:pStyle w:val="afff2"/>
        <w:rPr>
          <w:color w:val="000000" w:themeColor="text1"/>
        </w:rPr>
      </w:pPr>
      <w:r w:rsidRPr="00EE7674">
        <w:rPr>
          <w:b/>
          <w:bCs/>
          <w:color w:val="000000" w:themeColor="text1"/>
        </w:rPr>
        <w:t>Fig. S4</w:t>
      </w:r>
      <w:r w:rsidRPr="00EE7674">
        <w:rPr>
          <w:color w:val="000000" w:themeColor="text1"/>
        </w:rPr>
        <w:t xml:space="preserve">. The results of the period during the PSO inverse design. </w:t>
      </w:r>
    </w:p>
    <w:p w14:paraId="42DD32A1" w14:textId="77777777" w:rsidR="00185390" w:rsidRPr="00EE7674" w:rsidRDefault="00185390" w:rsidP="00185390">
      <w:pPr>
        <w:rPr>
          <w:color w:val="000000" w:themeColor="text1"/>
          <w:szCs w:val="24"/>
        </w:rPr>
      </w:pPr>
      <w:r w:rsidRPr="00EE7674">
        <w:rPr>
          <w:color w:val="000000" w:themeColor="text1"/>
        </w:rPr>
        <w:br w:type="page"/>
      </w:r>
    </w:p>
    <w:p w14:paraId="3AEC20A8" w14:textId="77777777" w:rsidR="00185390" w:rsidRPr="00EE7674" w:rsidRDefault="00185390" w:rsidP="00185390">
      <w:pPr>
        <w:pStyle w:val="afff2"/>
        <w:rPr>
          <w:color w:val="000000" w:themeColor="text1"/>
        </w:rPr>
      </w:pPr>
    </w:p>
    <w:p w14:paraId="0FADA287" w14:textId="471E73D5" w:rsidR="00185390" w:rsidRPr="00EE7674" w:rsidRDefault="003D6E84" w:rsidP="00185390">
      <w:pPr>
        <w:pStyle w:val="afff2"/>
        <w:rPr>
          <w:color w:val="000000" w:themeColor="text1"/>
        </w:rPr>
      </w:pPr>
      <w:r w:rsidRPr="00EE7674">
        <w:rPr>
          <w:noProof/>
          <w:color w:val="000000" w:themeColor="text1"/>
        </w:rPr>
        <w:drawing>
          <wp:inline distT="0" distB="0" distL="0" distR="0" wp14:anchorId="764E94AF" wp14:editId="2BD52226">
            <wp:extent cx="5943600" cy="2496820"/>
            <wp:effectExtent l="0" t="0" r="0" b="5080"/>
            <wp:docPr id="4961138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113898" name="图片 49611389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2496820"/>
                    </a:xfrm>
                    <a:prstGeom prst="rect">
                      <a:avLst/>
                    </a:prstGeom>
                  </pic:spPr>
                </pic:pic>
              </a:graphicData>
            </a:graphic>
          </wp:inline>
        </w:drawing>
      </w:r>
    </w:p>
    <w:p w14:paraId="1340D230" w14:textId="77777777" w:rsidR="00185390" w:rsidRPr="00EE7674" w:rsidRDefault="00185390" w:rsidP="00185390">
      <w:pPr>
        <w:pStyle w:val="afff2"/>
        <w:rPr>
          <w:color w:val="000000" w:themeColor="text1"/>
        </w:rPr>
      </w:pPr>
      <w:r w:rsidRPr="00EE7674">
        <w:rPr>
          <w:b/>
          <w:bCs/>
          <w:color w:val="000000" w:themeColor="text1"/>
        </w:rPr>
        <w:t>Fig. S5</w:t>
      </w:r>
      <w:r w:rsidRPr="00EE7674">
        <w:rPr>
          <w:color w:val="000000" w:themeColor="text1"/>
        </w:rPr>
        <w:t xml:space="preserve">. The results of the radius during the PSO inverse design. </w:t>
      </w:r>
    </w:p>
    <w:p w14:paraId="38CC374E" w14:textId="77777777" w:rsidR="00185390" w:rsidRPr="00EE7674" w:rsidRDefault="00185390" w:rsidP="00185390">
      <w:pPr>
        <w:rPr>
          <w:color w:val="000000" w:themeColor="text1"/>
          <w:szCs w:val="24"/>
        </w:rPr>
      </w:pPr>
      <w:r w:rsidRPr="00EE7674">
        <w:rPr>
          <w:color w:val="000000" w:themeColor="text1"/>
        </w:rPr>
        <w:br w:type="page"/>
      </w:r>
    </w:p>
    <w:p w14:paraId="0D728A33" w14:textId="77777777" w:rsidR="00185390" w:rsidRPr="00EE7674" w:rsidRDefault="00185390" w:rsidP="00185390">
      <w:pPr>
        <w:pStyle w:val="afff2"/>
        <w:rPr>
          <w:color w:val="000000" w:themeColor="text1"/>
        </w:rPr>
      </w:pPr>
    </w:p>
    <w:p w14:paraId="7E2C785A" w14:textId="49F88D37" w:rsidR="00185390" w:rsidRPr="00EE7674" w:rsidRDefault="003D6E84" w:rsidP="00185390">
      <w:pPr>
        <w:pStyle w:val="afff2"/>
        <w:rPr>
          <w:color w:val="000000" w:themeColor="text1"/>
        </w:rPr>
      </w:pPr>
      <w:r w:rsidRPr="00EE7674">
        <w:rPr>
          <w:noProof/>
          <w:color w:val="000000" w:themeColor="text1"/>
        </w:rPr>
        <w:drawing>
          <wp:inline distT="0" distB="0" distL="0" distR="0" wp14:anchorId="5F4E62F3" wp14:editId="0071E119">
            <wp:extent cx="5943600" cy="2438400"/>
            <wp:effectExtent l="0" t="0" r="0" b="0"/>
            <wp:docPr id="133193190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31905" name="图片 133193190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2438400"/>
                    </a:xfrm>
                    <a:prstGeom prst="rect">
                      <a:avLst/>
                    </a:prstGeom>
                  </pic:spPr>
                </pic:pic>
              </a:graphicData>
            </a:graphic>
          </wp:inline>
        </w:drawing>
      </w:r>
    </w:p>
    <w:p w14:paraId="0B120CE2" w14:textId="77777777" w:rsidR="00185390" w:rsidRPr="00EE7674" w:rsidRDefault="00185390" w:rsidP="00185390">
      <w:pPr>
        <w:pStyle w:val="afff2"/>
        <w:rPr>
          <w:color w:val="000000" w:themeColor="text1"/>
        </w:rPr>
      </w:pPr>
      <w:r w:rsidRPr="00EE7674">
        <w:rPr>
          <w:b/>
          <w:bCs/>
          <w:color w:val="000000" w:themeColor="text1"/>
        </w:rPr>
        <w:t>Fig. S6</w:t>
      </w:r>
      <w:r w:rsidRPr="00EE7674">
        <w:rPr>
          <w:color w:val="000000" w:themeColor="text1"/>
        </w:rPr>
        <w:t xml:space="preserve">. The results of the height during the PSO inverse design. </w:t>
      </w:r>
    </w:p>
    <w:p w14:paraId="4E84FB10" w14:textId="77777777" w:rsidR="00185390" w:rsidRPr="00EE7674" w:rsidRDefault="00185390" w:rsidP="00185390">
      <w:pPr>
        <w:rPr>
          <w:color w:val="000000" w:themeColor="text1"/>
          <w:szCs w:val="24"/>
        </w:rPr>
      </w:pPr>
      <w:r w:rsidRPr="00EE7674">
        <w:rPr>
          <w:color w:val="000000" w:themeColor="text1"/>
        </w:rPr>
        <w:br w:type="page"/>
      </w:r>
    </w:p>
    <w:p w14:paraId="5EA08128" w14:textId="77777777" w:rsidR="00185390" w:rsidRPr="00EE7674" w:rsidRDefault="00185390" w:rsidP="00185390">
      <w:pPr>
        <w:pStyle w:val="afff2"/>
        <w:rPr>
          <w:color w:val="000000" w:themeColor="text1"/>
        </w:rPr>
      </w:pPr>
    </w:p>
    <w:p w14:paraId="4E87CE65" w14:textId="4ADE1201" w:rsidR="00185390" w:rsidRPr="00EE7674" w:rsidRDefault="003D6E84" w:rsidP="00185390">
      <w:pPr>
        <w:pStyle w:val="afff2"/>
        <w:rPr>
          <w:color w:val="000000" w:themeColor="text1"/>
        </w:rPr>
      </w:pPr>
      <w:r w:rsidRPr="00EE7674">
        <w:rPr>
          <w:noProof/>
          <w:color w:val="000000" w:themeColor="text1"/>
        </w:rPr>
        <w:drawing>
          <wp:inline distT="0" distB="0" distL="0" distR="0" wp14:anchorId="44657DEA" wp14:editId="169C2CDD">
            <wp:extent cx="5943600" cy="2484120"/>
            <wp:effectExtent l="0" t="0" r="0" b="5080"/>
            <wp:docPr id="20855543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554340" name="图片 208555434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2484120"/>
                    </a:xfrm>
                    <a:prstGeom prst="rect">
                      <a:avLst/>
                    </a:prstGeom>
                  </pic:spPr>
                </pic:pic>
              </a:graphicData>
            </a:graphic>
          </wp:inline>
        </w:drawing>
      </w:r>
    </w:p>
    <w:p w14:paraId="4B05E3FD" w14:textId="77777777" w:rsidR="00185390" w:rsidRPr="00EE7674" w:rsidRDefault="00185390" w:rsidP="00185390">
      <w:pPr>
        <w:pStyle w:val="afff2"/>
        <w:rPr>
          <w:color w:val="000000" w:themeColor="text1"/>
        </w:rPr>
      </w:pPr>
      <w:r w:rsidRPr="00EE7674">
        <w:rPr>
          <w:b/>
          <w:bCs/>
          <w:color w:val="000000" w:themeColor="text1"/>
        </w:rPr>
        <w:t>Fig. S7</w:t>
      </w:r>
      <w:r w:rsidRPr="00EE7674">
        <w:rPr>
          <w:color w:val="000000" w:themeColor="text1"/>
        </w:rPr>
        <w:t xml:space="preserve">. The results of the </w:t>
      </w:r>
      <w:bookmarkStart w:id="104" w:name="OLE_LINK187"/>
      <w:bookmarkStart w:id="105" w:name="OLE_LINK188"/>
      <w:r w:rsidRPr="00EE7674">
        <w:rPr>
          <w:color w:val="000000" w:themeColor="text1"/>
        </w:rPr>
        <w:t>Ag thickness</w:t>
      </w:r>
      <w:bookmarkEnd w:id="104"/>
      <w:bookmarkEnd w:id="105"/>
      <w:r w:rsidRPr="00EE7674">
        <w:rPr>
          <w:color w:val="000000" w:themeColor="text1"/>
        </w:rPr>
        <w:t xml:space="preserve"> during the PSO inverse design. </w:t>
      </w:r>
    </w:p>
    <w:p w14:paraId="3C083EF2" w14:textId="77777777" w:rsidR="00185390" w:rsidRPr="00EE7674" w:rsidRDefault="00185390" w:rsidP="00185390">
      <w:pPr>
        <w:rPr>
          <w:color w:val="000000" w:themeColor="text1"/>
          <w:szCs w:val="24"/>
        </w:rPr>
      </w:pPr>
      <w:r w:rsidRPr="00EE7674">
        <w:rPr>
          <w:color w:val="000000" w:themeColor="text1"/>
        </w:rPr>
        <w:br w:type="page"/>
      </w:r>
    </w:p>
    <w:p w14:paraId="2363A22F" w14:textId="77777777" w:rsidR="00185390" w:rsidRPr="00EE7674" w:rsidRDefault="00185390" w:rsidP="00185390">
      <w:pPr>
        <w:pStyle w:val="afff2"/>
        <w:rPr>
          <w:color w:val="000000" w:themeColor="text1"/>
        </w:rPr>
      </w:pPr>
    </w:p>
    <w:p w14:paraId="40519780" w14:textId="23DFC849" w:rsidR="00185390" w:rsidRPr="00EE7674" w:rsidRDefault="003D6E84" w:rsidP="00185390">
      <w:pPr>
        <w:pStyle w:val="afff2"/>
        <w:rPr>
          <w:color w:val="000000" w:themeColor="text1"/>
        </w:rPr>
      </w:pPr>
      <w:r w:rsidRPr="00EE7674">
        <w:rPr>
          <w:noProof/>
          <w:color w:val="000000" w:themeColor="text1"/>
        </w:rPr>
        <w:drawing>
          <wp:inline distT="0" distB="0" distL="0" distR="0" wp14:anchorId="5B136F49" wp14:editId="7A5B2B61">
            <wp:extent cx="5943600" cy="2340610"/>
            <wp:effectExtent l="0" t="0" r="0" b="0"/>
            <wp:docPr id="11584701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470127" name="图片 115847012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2340610"/>
                    </a:xfrm>
                    <a:prstGeom prst="rect">
                      <a:avLst/>
                    </a:prstGeom>
                  </pic:spPr>
                </pic:pic>
              </a:graphicData>
            </a:graphic>
          </wp:inline>
        </w:drawing>
      </w:r>
    </w:p>
    <w:p w14:paraId="152DECB5" w14:textId="77777777" w:rsidR="00185390" w:rsidRPr="00EE7674" w:rsidRDefault="00185390" w:rsidP="00185390">
      <w:pPr>
        <w:pStyle w:val="afff2"/>
        <w:rPr>
          <w:color w:val="000000" w:themeColor="text1"/>
        </w:rPr>
      </w:pPr>
      <w:r w:rsidRPr="00EE7674">
        <w:rPr>
          <w:b/>
          <w:bCs/>
          <w:color w:val="000000" w:themeColor="text1"/>
        </w:rPr>
        <w:t>Fig. S8</w:t>
      </w:r>
      <w:r w:rsidRPr="00EE7674">
        <w:rPr>
          <w:color w:val="000000" w:themeColor="text1"/>
        </w:rPr>
        <w:t xml:space="preserve">. The results of the Au thickness during the PSO inverse design. </w:t>
      </w:r>
    </w:p>
    <w:p w14:paraId="1DDEA21D" w14:textId="77777777" w:rsidR="00185390" w:rsidRPr="00EE7674" w:rsidRDefault="00185390" w:rsidP="00185390">
      <w:pPr>
        <w:rPr>
          <w:color w:val="000000" w:themeColor="text1"/>
          <w:szCs w:val="24"/>
        </w:rPr>
      </w:pPr>
      <w:r w:rsidRPr="00EE7674">
        <w:rPr>
          <w:color w:val="000000" w:themeColor="text1"/>
        </w:rPr>
        <w:br w:type="page"/>
      </w:r>
    </w:p>
    <w:p w14:paraId="00FDFB85" w14:textId="611D2CE5" w:rsidR="00185390" w:rsidRPr="00EE7674" w:rsidRDefault="003D6E84" w:rsidP="00185390">
      <w:pPr>
        <w:rPr>
          <w:color w:val="000000" w:themeColor="text1"/>
        </w:rPr>
      </w:pPr>
      <w:r w:rsidRPr="00EE7674">
        <w:rPr>
          <w:noProof/>
          <w:color w:val="000000" w:themeColor="text1"/>
        </w:rPr>
        <w:lastRenderedPageBreak/>
        <w:drawing>
          <wp:inline distT="0" distB="0" distL="0" distR="0" wp14:anchorId="3750411B" wp14:editId="220A25DC">
            <wp:extent cx="5943600" cy="2546350"/>
            <wp:effectExtent l="0" t="0" r="0" b="6350"/>
            <wp:docPr id="169952164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521646" name="图片 169952164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2546350"/>
                    </a:xfrm>
                    <a:prstGeom prst="rect">
                      <a:avLst/>
                    </a:prstGeom>
                  </pic:spPr>
                </pic:pic>
              </a:graphicData>
            </a:graphic>
          </wp:inline>
        </w:drawing>
      </w:r>
    </w:p>
    <w:p w14:paraId="2AA6CDA6" w14:textId="77777777" w:rsidR="00185390" w:rsidRPr="00EE7674" w:rsidRDefault="00185390" w:rsidP="00185390">
      <w:pPr>
        <w:rPr>
          <w:color w:val="000000" w:themeColor="text1"/>
        </w:rPr>
      </w:pPr>
    </w:p>
    <w:p w14:paraId="5C2C12D9" w14:textId="6AC24A97" w:rsidR="00185390" w:rsidRPr="00EE7674" w:rsidRDefault="00185390" w:rsidP="00185390">
      <w:pPr>
        <w:spacing w:line="360" w:lineRule="auto"/>
        <w:rPr>
          <w:color w:val="000000" w:themeColor="text1"/>
        </w:rPr>
      </w:pPr>
      <w:r w:rsidRPr="00EE7674">
        <w:rPr>
          <w:b/>
          <w:bCs/>
          <w:color w:val="000000" w:themeColor="text1"/>
        </w:rPr>
        <w:t>Fig. S9</w:t>
      </w:r>
      <w:r w:rsidRPr="00EE7674">
        <w:rPr>
          <w:color w:val="000000" w:themeColor="text1"/>
        </w:rPr>
        <w:t xml:space="preserve">. The combined impact of main parameters on </w:t>
      </w:r>
      <w:r w:rsidR="003D6E84" w:rsidRPr="00EE7674">
        <w:rPr>
          <w:color w:val="000000" w:themeColor="text1"/>
          <w:lang w:eastAsia="zh-CN"/>
        </w:rPr>
        <w:t>OD response</w:t>
      </w:r>
      <w:r w:rsidRPr="00EE7674">
        <w:rPr>
          <w:color w:val="000000" w:themeColor="text1"/>
          <w:lang w:eastAsia="zh-CN"/>
        </w:rPr>
        <w:t>.</w:t>
      </w:r>
      <w:r w:rsidRPr="00EE7674">
        <w:rPr>
          <w:color w:val="000000" w:themeColor="text1"/>
        </w:rPr>
        <w:t xml:space="preserve"> (a) Surface plot of </w:t>
      </w:r>
      <m:oMath>
        <m:sSub>
          <m:sSubPr>
            <m:ctrlPr>
              <w:rPr>
                <w:rFonts w:ascii="Cambria Math" w:hAnsi="Cambria Math"/>
                <w:i/>
                <w:color w:val="000000" w:themeColor="text1"/>
              </w:rPr>
            </m:ctrlPr>
          </m:sSubPr>
          <m:e>
            <m:r>
              <w:rPr>
                <w:rFonts w:ascii="Cambria Math" w:hAnsi="Cambria Math"/>
                <w:color w:val="000000" w:themeColor="text1"/>
              </w:rPr>
              <m:t>FoM</m:t>
            </m:r>
          </m:e>
          <m:sub>
            <m:r>
              <w:rPr>
                <w:rFonts w:ascii="Cambria Math" w:hAnsi="Cambria Math"/>
                <w:color w:val="000000" w:themeColor="text1"/>
              </w:rPr>
              <m:t>OD</m:t>
            </m:r>
          </m:sub>
        </m:sSub>
      </m:oMath>
      <w:r w:rsidRPr="00EE7674">
        <w:rPr>
          <w:color w:val="000000" w:themeColor="text1"/>
        </w:rPr>
        <w:t xml:space="preserve"> versus period and diameter-to-period ratio. (b) Surface plot of </w:t>
      </w:r>
      <m:oMath>
        <m:sSub>
          <m:sSubPr>
            <m:ctrlPr>
              <w:rPr>
                <w:rFonts w:ascii="Cambria Math" w:hAnsi="Cambria Math"/>
                <w:i/>
                <w:color w:val="000000" w:themeColor="text1"/>
              </w:rPr>
            </m:ctrlPr>
          </m:sSubPr>
          <m:e>
            <m:r>
              <w:rPr>
                <w:rFonts w:ascii="Cambria Math" w:hAnsi="Cambria Math"/>
                <w:color w:val="000000" w:themeColor="text1"/>
              </w:rPr>
              <m:t>FoM</m:t>
            </m:r>
          </m:e>
          <m:sub>
            <m:r>
              <w:rPr>
                <w:rFonts w:ascii="Cambria Math" w:hAnsi="Cambria Math"/>
                <w:color w:val="000000" w:themeColor="text1"/>
              </w:rPr>
              <m:t>OD</m:t>
            </m:r>
          </m:sub>
        </m:sSub>
      </m:oMath>
      <w:r w:rsidRPr="00EE7674">
        <w:rPr>
          <w:color w:val="000000" w:themeColor="text1"/>
        </w:rPr>
        <w:t>​ versus thickness variations of Au and Ag layers.</w:t>
      </w:r>
    </w:p>
    <w:p w14:paraId="21DC075B" w14:textId="77777777" w:rsidR="00185390" w:rsidRPr="00EE7674" w:rsidRDefault="00185390" w:rsidP="00185390">
      <w:pPr>
        <w:rPr>
          <w:color w:val="000000" w:themeColor="text1"/>
        </w:rPr>
      </w:pPr>
      <w:r w:rsidRPr="00EE7674">
        <w:rPr>
          <w:color w:val="000000" w:themeColor="text1"/>
        </w:rPr>
        <w:br w:type="page"/>
      </w:r>
    </w:p>
    <w:p w14:paraId="1112FB3D" w14:textId="6F84FA7C" w:rsidR="00185390" w:rsidRPr="00EE7674" w:rsidRDefault="0025031A" w:rsidP="00185390">
      <w:pPr>
        <w:pStyle w:val="Addresses"/>
        <w:spacing w:line="360" w:lineRule="auto"/>
        <w:rPr>
          <w:rFonts w:eastAsia="Times New Roman"/>
          <w:color w:val="000000" w:themeColor="text1"/>
        </w:rPr>
      </w:pPr>
      <w:r w:rsidRPr="00EE7674">
        <w:rPr>
          <w:rFonts w:eastAsia="Times New Roman"/>
          <w:noProof/>
          <w:color w:val="000000" w:themeColor="text1"/>
        </w:rPr>
        <w:lastRenderedPageBreak/>
        <w:drawing>
          <wp:inline distT="0" distB="0" distL="0" distR="0" wp14:anchorId="5B8A6034" wp14:editId="264AF81B">
            <wp:extent cx="5943600" cy="2660015"/>
            <wp:effectExtent l="0" t="0" r="0" b="0"/>
            <wp:docPr id="15605567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556738" name="图片 156055673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2660015"/>
                    </a:xfrm>
                    <a:prstGeom prst="rect">
                      <a:avLst/>
                    </a:prstGeom>
                  </pic:spPr>
                </pic:pic>
              </a:graphicData>
            </a:graphic>
          </wp:inline>
        </w:drawing>
      </w:r>
    </w:p>
    <w:p w14:paraId="203D0A16" w14:textId="682D0448" w:rsidR="00185390" w:rsidRPr="00EE7674" w:rsidRDefault="00185390" w:rsidP="00185390">
      <w:pPr>
        <w:spacing w:line="360" w:lineRule="auto"/>
        <w:rPr>
          <w:color w:val="000000" w:themeColor="text1"/>
        </w:rPr>
      </w:pPr>
      <w:r w:rsidRPr="00EE7674">
        <w:rPr>
          <w:b/>
          <w:bCs/>
          <w:color w:val="000000" w:themeColor="text1"/>
        </w:rPr>
        <w:t>Fig. S10</w:t>
      </w:r>
      <w:r w:rsidRPr="00EE7674">
        <w:rPr>
          <w:color w:val="000000" w:themeColor="text1"/>
        </w:rPr>
        <w:t xml:space="preserve">. </w:t>
      </w:r>
      <w:r w:rsidR="003D6E84" w:rsidRPr="00EE7674">
        <w:rPr>
          <w:color w:val="000000" w:themeColor="text1"/>
        </w:rPr>
        <w:t xml:space="preserve">The combined impact of main parameters on resonance </w:t>
      </w:r>
      <w:r w:rsidR="003D6E84" w:rsidRPr="00EE7674">
        <w:rPr>
          <w:color w:val="000000" w:themeColor="text1"/>
          <w:lang w:eastAsia="zh-CN"/>
        </w:rPr>
        <w:t>peak shift response.</w:t>
      </w:r>
      <w:r w:rsidRPr="00EE7674">
        <w:rPr>
          <w:color w:val="000000" w:themeColor="text1"/>
        </w:rPr>
        <w:t xml:space="preserve"> (a) The result of period and diameter period ratio on Sensor's </w:t>
      </w:r>
      <m:oMath>
        <m:sSub>
          <m:sSubPr>
            <m:ctrlPr>
              <w:rPr>
                <w:rFonts w:ascii="Cambria Math" w:hAnsi="Cambria Math"/>
                <w:i/>
                <w:color w:val="000000" w:themeColor="text1"/>
              </w:rPr>
            </m:ctrlPr>
          </m:sSubPr>
          <m:e>
            <m:r>
              <w:rPr>
                <w:rFonts w:ascii="Cambria Math" w:hAnsi="Cambria Math"/>
                <w:color w:val="000000" w:themeColor="text1"/>
              </w:rPr>
              <m:t>FOM</m:t>
            </m:r>
          </m:e>
          <m:sub>
            <m:r>
              <w:rPr>
                <w:rFonts w:ascii="Cambria Math" w:hAnsi="Cambria Math"/>
                <w:color w:val="000000" w:themeColor="text1"/>
              </w:rPr>
              <m:t>shift</m:t>
            </m:r>
          </m:sub>
        </m:sSub>
      </m:oMath>
      <w:r w:rsidRPr="00EE7674">
        <w:rPr>
          <w:color w:val="000000" w:themeColor="text1"/>
        </w:rPr>
        <w:t xml:space="preserve">. (a) The result of  Au and Ag thickness on Sensor's </w:t>
      </w:r>
      <m:oMath>
        <m:sSub>
          <m:sSubPr>
            <m:ctrlPr>
              <w:rPr>
                <w:rFonts w:ascii="Cambria Math" w:hAnsi="Cambria Math"/>
                <w:i/>
                <w:color w:val="000000" w:themeColor="text1"/>
              </w:rPr>
            </m:ctrlPr>
          </m:sSubPr>
          <m:e>
            <m:r>
              <w:rPr>
                <w:rFonts w:ascii="Cambria Math" w:hAnsi="Cambria Math"/>
                <w:color w:val="000000" w:themeColor="text1"/>
              </w:rPr>
              <m:t>FOM</m:t>
            </m:r>
          </m:e>
          <m:sub>
            <m:r>
              <w:rPr>
                <w:rFonts w:ascii="Cambria Math" w:hAnsi="Cambria Math"/>
                <w:color w:val="000000" w:themeColor="text1"/>
              </w:rPr>
              <m:t>shift</m:t>
            </m:r>
          </m:sub>
        </m:sSub>
      </m:oMath>
      <w:r w:rsidRPr="00EE7674">
        <w:rPr>
          <w:color w:val="000000" w:themeColor="text1"/>
        </w:rPr>
        <w:t>.</w:t>
      </w:r>
    </w:p>
    <w:p w14:paraId="60B8A6F0" w14:textId="77777777" w:rsidR="00185390" w:rsidRPr="00EE7674" w:rsidRDefault="00185390" w:rsidP="00185390">
      <w:pPr>
        <w:rPr>
          <w:color w:val="000000" w:themeColor="text1"/>
          <w:szCs w:val="24"/>
        </w:rPr>
      </w:pPr>
    </w:p>
    <w:p w14:paraId="26E920D4" w14:textId="0DCF7C2D" w:rsidR="00185390" w:rsidRPr="00EE7674" w:rsidRDefault="002A4A07" w:rsidP="00185390">
      <w:pPr>
        <w:spacing w:line="360" w:lineRule="auto"/>
        <w:rPr>
          <w:b/>
          <w:bCs/>
          <w:color w:val="000000" w:themeColor="text1"/>
        </w:rPr>
      </w:pPr>
      <w:r w:rsidRPr="00EE7674">
        <w:rPr>
          <w:b/>
          <w:bCs/>
          <w:noProof/>
          <w:color w:val="000000" w:themeColor="text1"/>
        </w:rPr>
        <w:lastRenderedPageBreak/>
        <w:drawing>
          <wp:inline distT="0" distB="0" distL="0" distR="0" wp14:anchorId="6BDB8131" wp14:editId="7DEA3E1D">
            <wp:extent cx="5943600" cy="6667500"/>
            <wp:effectExtent l="0" t="0" r="0" b="0"/>
            <wp:docPr id="14306249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624956" name="图片 143062495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6667500"/>
                    </a:xfrm>
                    <a:prstGeom prst="rect">
                      <a:avLst/>
                    </a:prstGeom>
                  </pic:spPr>
                </pic:pic>
              </a:graphicData>
            </a:graphic>
          </wp:inline>
        </w:drawing>
      </w:r>
    </w:p>
    <w:p w14:paraId="589D1E1C" w14:textId="77777777" w:rsidR="00185390" w:rsidRPr="00EE7674" w:rsidRDefault="00185390" w:rsidP="00185390">
      <w:pPr>
        <w:spacing w:line="360" w:lineRule="auto"/>
        <w:rPr>
          <w:color w:val="000000" w:themeColor="text1"/>
        </w:rPr>
      </w:pPr>
      <w:r w:rsidRPr="00EE7674">
        <w:rPr>
          <w:b/>
          <w:bCs/>
          <w:color w:val="000000" w:themeColor="text1"/>
        </w:rPr>
        <w:t>Fi. S11</w:t>
      </w:r>
      <w:r w:rsidRPr="00EE7674">
        <w:rPr>
          <w:color w:val="000000" w:themeColor="text1"/>
        </w:rPr>
        <w:t>. The Influence of Polarization Angle and Incident Angle of Light Source on OD Response. (a-b) Schematic diagram of light source incidence conditions. (c-d) Origin OD spectrum of different incidence conditions. (e-f) the endpoint method results in different incidence conditions.</w:t>
      </w:r>
    </w:p>
    <w:p w14:paraId="1E9901C0" w14:textId="77777777" w:rsidR="00185390" w:rsidRPr="00EE7674" w:rsidRDefault="00185390" w:rsidP="00185390">
      <w:pPr>
        <w:rPr>
          <w:color w:val="000000" w:themeColor="text1"/>
          <w:szCs w:val="24"/>
        </w:rPr>
      </w:pPr>
      <w:r w:rsidRPr="00EE7674">
        <w:rPr>
          <w:color w:val="000000" w:themeColor="text1"/>
        </w:rPr>
        <w:br w:type="page"/>
      </w:r>
    </w:p>
    <w:p w14:paraId="6EE4D39A" w14:textId="1499B2FD" w:rsidR="00185390" w:rsidRPr="00EE7674" w:rsidRDefault="002A4A07" w:rsidP="00185390">
      <w:pPr>
        <w:spacing w:line="360" w:lineRule="auto"/>
        <w:rPr>
          <w:b/>
          <w:bCs/>
          <w:color w:val="000000" w:themeColor="text1"/>
        </w:rPr>
      </w:pPr>
      <w:r w:rsidRPr="00EE7674">
        <w:rPr>
          <w:b/>
          <w:bCs/>
          <w:noProof/>
          <w:color w:val="000000" w:themeColor="text1"/>
        </w:rPr>
        <w:lastRenderedPageBreak/>
        <w:drawing>
          <wp:inline distT="0" distB="0" distL="0" distR="0" wp14:anchorId="3663602D" wp14:editId="45D7ABE5">
            <wp:extent cx="5943600" cy="3196590"/>
            <wp:effectExtent l="0" t="0" r="0" b="3810"/>
            <wp:docPr id="21145700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570033" name="图片 211457003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196590"/>
                    </a:xfrm>
                    <a:prstGeom prst="rect">
                      <a:avLst/>
                    </a:prstGeom>
                  </pic:spPr>
                </pic:pic>
              </a:graphicData>
            </a:graphic>
          </wp:inline>
        </w:drawing>
      </w:r>
    </w:p>
    <w:p w14:paraId="5B96A544" w14:textId="77777777" w:rsidR="00185390" w:rsidRPr="00EE7674" w:rsidRDefault="00185390" w:rsidP="00185390">
      <w:pPr>
        <w:spacing w:line="360" w:lineRule="auto"/>
        <w:rPr>
          <w:color w:val="000000" w:themeColor="text1"/>
        </w:rPr>
      </w:pPr>
      <w:r w:rsidRPr="00EE7674">
        <w:rPr>
          <w:b/>
          <w:bCs/>
          <w:color w:val="000000" w:themeColor="text1"/>
        </w:rPr>
        <w:t>Fig. S12</w:t>
      </w:r>
      <w:r w:rsidRPr="00EE7674">
        <w:rPr>
          <w:color w:val="000000" w:themeColor="text1"/>
        </w:rPr>
        <w:t>. Manufacturing and processing of IDM-MetaSPR sensor. (a) Design of Metasurface Structure and Parameters. (b) Fabrication of Imprint Templates. (c) Nanoimprint Transfer of Structural Parameters. (d) Plasma Coating on Metasurface Structure. (e) Quality Inspection and Storage of Multilayer Metasurface Sensor. (f) Assembly with Standard Plates (e.g., 96-Well Plates)</w:t>
      </w:r>
    </w:p>
    <w:p w14:paraId="3D4F1851" w14:textId="77777777" w:rsidR="00185390" w:rsidRPr="00EE7674" w:rsidRDefault="00185390" w:rsidP="00185390">
      <w:pPr>
        <w:pStyle w:val="afff2"/>
        <w:rPr>
          <w:color w:val="000000" w:themeColor="text1"/>
        </w:rPr>
      </w:pPr>
    </w:p>
    <w:p w14:paraId="1E64A382" w14:textId="77777777" w:rsidR="00185390" w:rsidRPr="00EE7674" w:rsidRDefault="00185390" w:rsidP="00185390">
      <w:pPr>
        <w:rPr>
          <w:color w:val="000000" w:themeColor="text1"/>
        </w:rPr>
      </w:pPr>
      <w:r w:rsidRPr="00EE7674">
        <w:rPr>
          <w:color w:val="000000" w:themeColor="text1"/>
        </w:rPr>
        <w:br w:type="page"/>
      </w:r>
    </w:p>
    <w:p w14:paraId="15E18207" w14:textId="449BF08C" w:rsidR="00185390" w:rsidRPr="00EE7674" w:rsidRDefault="002A4A07" w:rsidP="00185390">
      <w:pPr>
        <w:spacing w:line="360" w:lineRule="auto"/>
        <w:rPr>
          <w:b/>
          <w:bCs/>
          <w:color w:val="000000" w:themeColor="text1"/>
        </w:rPr>
      </w:pPr>
      <w:r w:rsidRPr="00EE7674">
        <w:rPr>
          <w:b/>
          <w:bCs/>
          <w:noProof/>
          <w:color w:val="000000" w:themeColor="text1"/>
        </w:rPr>
        <w:lastRenderedPageBreak/>
        <w:drawing>
          <wp:inline distT="0" distB="0" distL="0" distR="0" wp14:anchorId="4ADF9286" wp14:editId="558E0EB9">
            <wp:extent cx="5943600" cy="6234430"/>
            <wp:effectExtent l="0" t="0" r="0" b="1270"/>
            <wp:docPr id="7973420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342010" name="图片 79734201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6234430"/>
                    </a:xfrm>
                    <a:prstGeom prst="rect">
                      <a:avLst/>
                    </a:prstGeom>
                  </pic:spPr>
                </pic:pic>
              </a:graphicData>
            </a:graphic>
          </wp:inline>
        </w:drawing>
      </w:r>
    </w:p>
    <w:p w14:paraId="07460B2E" w14:textId="77777777" w:rsidR="00185390" w:rsidRPr="00EE7674" w:rsidRDefault="00185390" w:rsidP="00185390">
      <w:pPr>
        <w:spacing w:line="360" w:lineRule="auto"/>
        <w:rPr>
          <w:color w:val="000000" w:themeColor="text1"/>
        </w:rPr>
      </w:pPr>
      <w:r w:rsidRPr="00EE7674">
        <w:rPr>
          <w:b/>
          <w:bCs/>
          <w:color w:val="000000" w:themeColor="text1"/>
        </w:rPr>
        <w:t>Fig. S13</w:t>
      </w:r>
      <w:r w:rsidRPr="00EE7674">
        <w:rPr>
          <w:color w:val="000000" w:themeColor="text1"/>
        </w:rPr>
        <w:t>. Electronic and magnetic field profiles of IDM-MetaSPR sensor. (a) The electric field distribution for these structures at 400 nm under different strucuteres. (b) The electric field distribution for these structures at resonance wavelength under different structures. (c) The magnetic field distribution of Wood’s anomalies for the structure of p=475 nm under 665 nm . (d) The magnetic field distribution of Wood’s anomalies for the structure of p=475 nm under 705 nm .</w:t>
      </w:r>
    </w:p>
    <w:p w14:paraId="2527A5E0" w14:textId="77777777" w:rsidR="00185390" w:rsidRPr="00EE7674" w:rsidRDefault="00185390" w:rsidP="00185390">
      <w:pPr>
        <w:rPr>
          <w:color w:val="000000" w:themeColor="text1"/>
        </w:rPr>
      </w:pPr>
      <w:r w:rsidRPr="00EE7674">
        <w:rPr>
          <w:color w:val="000000" w:themeColor="text1"/>
        </w:rPr>
        <w:br w:type="page"/>
      </w:r>
    </w:p>
    <w:p w14:paraId="7D1344C2" w14:textId="77777777" w:rsidR="00185390" w:rsidRPr="00EE7674" w:rsidRDefault="00185390" w:rsidP="00185390">
      <w:pPr>
        <w:rPr>
          <w:color w:val="000000" w:themeColor="text1"/>
        </w:rPr>
      </w:pPr>
    </w:p>
    <w:p w14:paraId="6741C421" w14:textId="30F9549C" w:rsidR="00185390" w:rsidRPr="00EE7674" w:rsidRDefault="00185390" w:rsidP="00185390">
      <w:pPr>
        <w:tabs>
          <w:tab w:val="left" w:pos="1122"/>
        </w:tabs>
        <w:rPr>
          <w:rFonts w:eastAsia="Times New Roman"/>
          <w:color w:val="000000" w:themeColor="text1"/>
        </w:rPr>
      </w:pPr>
      <w:r w:rsidRPr="00EE7674">
        <w:rPr>
          <w:color w:val="000000" w:themeColor="text1"/>
        </w:rPr>
        <w:tab/>
      </w:r>
      <w:r w:rsidR="002A4A07" w:rsidRPr="00EE7674">
        <w:rPr>
          <w:rFonts w:eastAsia="Times New Roman"/>
          <w:noProof/>
          <w:color w:val="000000" w:themeColor="text1"/>
        </w:rPr>
        <w:drawing>
          <wp:inline distT="0" distB="0" distL="0" distR="0" wp14:anchorId="12128F99" wp14:editId="7A060F83">
            <wp:extent cx="5943600" cy="4062730"/>
            <wp:effectExtent l="0" t="0" r="0" b="1270"/>
            <wp:docPr id="163425800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258006" name="图片 163425800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062730"/>
                    </a:xfrm>
                    <a:prstGeom prst="rect">
                      <a:avLst/>
                    </a:prstGeom>
                  </pic:spPr>
                </pic:pic>
              </a:graphicData>
            </a:graphic>
          </wp:inline>
        </w:drawing>
      </w:r>
    </w:p>
    <w:p w14:paraId="610E175A" w14:textId="77777777" w:rsidR="00185390" w:rsidRPr="00EE7674" w:rsidRDefault="00185390" w:rsidP="00185390">
      <w:pPr>
        <w:spacing w:line="360" w:lineRule="auto"/>
        <w:rPr>
          <w:color w:val="000000" w:themeColor="text1"/>
        </w:rPr>
      </w:pPr>
      <w:r w:rsidRPr="00EE7674">
        <w:rPr>
          <w:b/>
          <w:bCs/>
          <w:color w:val="000000" w:themeColor="text1"/>
        </w:rPr>
        <w:t>Fig. S14</w:t>
      </w:r>
      <w:r w:rsidRPr="00EE7674">
        <w:rPr>
          <w:color w:val="000000" w:themeColor="text1"/>
        </w:rPr>
        <w:t xml:space="preserve">. Differential OD response of IgG binding to protein A based on </w:t>
      </w:r>
      <w:r w:rsidRPr="00EE7674">
        <w:rPr>
          <w:color w:val="000000" w:themeColor="text1"/>
          <w:szCs w:val="32"/>
        </w:rPr>
        <w:t>IDM-MetaSPR</w:t>
      </w:r>
      <w:r w:rsidRPr="00EE7674">
        <w:rPr>
          <w:color w:val="000000" w:themeColor="text1"/>
        </w:rPr>
        <w:t xml:space="preserve"> sensor. </w:t>
      </w:r>
    </w:p>
    <w:p w14:paraId="74A2D114" w14:textId="77777777" w:rsidR="00185390" w:rsidRPr="00EE7674" w:rsidRDefault="00185390" w:rsidP="00185390">
      <w:pPr>
        <w:rPr>
          <w:color w:val="000000" w:themeColor="text1"/>
        </w:rPr>
      </w:pPr>
      <w:r w:rsidRPr="00EE7674">
        <w:rPr>
          <w:color w:val="000000" w:themeColor="text1"/>
        </w:rPr>
        <w:br w:type="page"/>
      </w:r>
    </w:p>
    <w:p w14:paraId="253BCFFF" w14:textId="77777777" w:rsidR="00185390" w:rsidRPr="00EE7674" w:rsidRDefault="00185390" w:rsidP="00185390">
      <w:pPr>
        <w:spacing w:line="360" w:lineRule="auto"/>
        <w:rPr>
          <w:color w:val="000000" w:themeColor="text1"/>
        </w:rPr>
      </w:pPr>
      <w:r w:rsidRPr="00EE7674">
        <w:rPr>
          <w:noProof/>
        </w:rPr>
        <w:lastRenderedPageBreak/>
        <w:t xml:space="preserve"> </w:t>
      </w:r>
    </w:p>
    <w:p w14:paraId="02A73A7D" w14:textId="1EB73624" w:rsidR="00185390" w:rsidRPr="00EE7674" w:rsidRDefault="002A4A07" w:rsidP="00185390">
      <w:pPr>
        <w:pStyle w:val="Addresses"/>
        <w:spacing w:line="360" w:lineRule="auto"/>
        <w:rPr>
          <w:rFonts w:eastAsia="Times New Roman"/>
          <w:color w:val="000000" w:themeColor="text1"/>
        </w:rPr>
      </w:pPr>
      <w:r w:rsidRPr="00EE7674">
        <w:rPr>
          <w:rFonts w:eastAsia="Times New Roman"/>
          <w:noProof/>
          <w:color w:val="000000" w:themeColor="text1"/>
        </w:rPr>
        <w:drawing>
          <wp:inline distT="0" distB="0" distL="0" distR="0" wp14:anchorId="73251EBC" wp14:editId="247A11B5">
            <wp:extent cx="5943600" cy="2442845"/>
            <wp:effectExtent l="0" t="0" r="0" b="0"/>
            <wp:docPr id="8001660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166066" name="图片 80016606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2442845"/>
                    </a:xfrm>
                    <a:prstGeom prst="rect">
                      <a:avLst/>
                    </a:prstGeom>
                  </pic:spPr>
                </pic:pic>
              </a:graphicData>
            </a:graphic>
          </wp:inline>
        </w:drawing>
      </w:r>
    </w:p>
    <w:p w14:paraId="647B8082" w14:textId="77777777" w:rsidR="00185390" w:rsidRPr="00EE7674" w:rsidRDefault="00185390" w:rsidP="00185390">
      <w:pPr>
        <w:spacing w:line="360" w:lineRule="auto"/>
        <w:rPr>
          <w:color w:val="000000" w:themeColor="text1"/>
        </w:rPr>
      </w:pPr>
      <w:r w:rsidRPr="00EE7674">
        <w:rPr>
          <w:b/>
          <w:bCs/>
          <w:color w:val="000000" w:themeColor="text1"/>
        </w:rPr>
        <w:t>Fig</w:t>
      </w:r>
      <w:r w:rsidRPr="00EE7674">
        <w:rPr>
          <w:b/>
          <w:bCs/>
          <w:color w:val="000000" w:themeColor="text1"/>
          <w:lang w:eastAsia="zh-CN"/>
        </w:rPr>
        <w:t>.</w:t>
      </w:r>
      <w:r w:rsidRPr="00EE7674">
        <w:rPr>
          <w:b/>
          <w:bCs/>
          <w:color w:val="000000" w:themeColor="text1"/>
        </w:rPr>
        <w:t xml:space="preserve"> S15</w:t>
      </w:r>
      <w:r w:rsidRPr="00EE7674">
        <w:rPr>
          <w:color w:val="000000" w:themeColor="text1"/>
        </w:rPr>
        <w:t>. Standard deviation and signal-to-noise ratio results of multilayer metasurface sensors with different parameters. (a) The standard deviation results of different period and thickness parameters at 4 μg/mL IgG differential OD (standard deviation data taken from three parallel experiments). (b) The signal-to-noise ratio results of 4 μg/mL IgG differential OD with different period and thickness parameters.</w:t>
      </w:r>
    </w:p>
    <w:p w14:paraId="70FDF6C8" w14:textId="77777777" w:rsidR="00185390" w:rsidRPr="00EE7674" w:rsidRDefault="00185390" w:rsidP="00185390">
      <w:pPr>
        <w:rPr>
          <w:color w:val="000000" w:themeColor="text1"/>
          <w:szCs w:val="24"/>
        </w:rPr>
      </w:pPr>
      <w:r w:rsidRPr="00EE7674">
        <w:rPr>
          <w:color w:val="000000" w:themeColor="text1"/>
          <w:szCs w:val="24"/>
        </w:rPr>
        <w:br w:type="page"/>
      </w:r>
    </w:p>
    <w:p w14:paraId="59F15BA7" w14:textId="36EDE90F" w:rsidR="00185390" w:rsidRPr="00EE7674" w:rsidRDefault="002A4A07" w:rsidP="00185390">
      <w:pPr>
        <w:pStyle w:val="Addresses"/>
        <w:spacing w:line="360" w:lineRule="auto"/>
        <w:rPr>
          <w:rFonts w:eastAsia="Times New Roman"/>
          <w:color w:val="000000" w:themeColor="text1"/>
        </w:rPr>
      </w:pPr>
      <w:r w:rsidRPr="00EE7674">
        <w:rPr>
          <w:rFonts w:eastAsia="Times New Roman"/>
          <w:noProof/>
          <w:color w:val="000000" w:themeColor="text1"/>
        </w:rPr>
        <w:lastRenderedPageBreak/>
        <w:drawing>
          <wp:inline distT="0" distB="0" distL="0" distR="0" wp14:anchorId="484EC147" wp14:editId="0D44D3B2">
            <wp:extent cx="5943600" cy="4472305"/>
            <wp:effectExtent l="0" t="0" r="0" b="0"/>
            <wp:docPr id="3254040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404083" name="图片 32540408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472305"/>
                    </a:xfrm>
                    <a:prstGeom prst="rect">
                      <a:avLst/>
                    </a:prstGeom>
                  </pic:spPr>
                </pic:pic>
              </a:graphicData>
            </a:graphic>
          </wp:inline>
        </w:drawing>
      </w:r>
    </w:p>
    <w:p w14:paraId="1B55FF65" w14:textId="77777777" w:rsidR="00185390" w:rsidRPr="00EE7674" w:rsidRDefault="00185390" w:rsidP="00185390">
      <w:pPr>
        <w:spacing w:line="360" w:lineRule="auto"/>
        <w:rPr>
          <w:color w:val="000000" w:themeColor="text1"/>
        </w:rPr>
      </w:pPr>
      <w:r w:rsidRPr="00EE7674">
        <w:rPr>
          <w:b/>
          <w:bCs/>
          <w:color w:val="000000" w:themeColor="text1"/>
        </w:rPr>
        <w:t>Fig. S16</w:t>
      </w:r>
      <w:r w:rsidRPr="00EE7674">
        <w:rPr>
          <w:color w:val="000000" w:themeColor="text1"/>
        </w:rPr>
        <w:t xml:space="preserve">. Transmission microscopy images of chips with different parameters in air. </w:t>
      </w:r>
    </w:p>
    <w:p w14:paraId="4D33847B" w14:textId="77777777" w:rsidR="00185390" w:rsidRPr="00EE7674" w:rsidRDefault="00185390" w:rsidP="00185390">
      <w:pPr>
        <w:rPr>
          <w:color w:val="000000" w:themeColor="text1"/>
          <w:szCs w:val="24"/>
        </w:rPr>
      </w:pPr>
    </w:p>
    <w:p w14:paraId="4C6E44C4" w14:textId="013DCCBD" w:rsidR="00185390" w:rsidRPr="00EE7674" w:rsidRDefault="00185390" w:rsidP="00185390">
      <w:pPr>
        <w:rPr>
          <w:color w:val="000000" w:themeColor="text1"/>
        </w:rPr>
      </w:pPr>
      <w:r w:rsidRPr="00EE7674">
        <w:rPr>
          <w:color w:val="000000" w:themeColor="text1"/>
        </w:rPr>
        <w:br w:type="page"/>
      </w:r>
      <w:r w:rsidR="002A4A07" w:rsidRPr="00EE7674">
        <w:rPr>
          <w:noProof/>
          <w:color w:val="000000" w:themeColor="text1"/>
        </w:rPr>
        <w:lastRenderedPageBreak/>
        <w:drawing>
          <wp:inline distT="0" distB="0" distL="0" distR="0" wp14:anchorId="76AE2F9D" wp14:editId="3FD29903">
            <wp:extent cx="5943600" cy="4170680"/>
            <wp:effectExtent l="0" t="0" r="0" b="0"/>
            <wp:docPr id="46219667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96674" name="图片 46219667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170680"/>
                    </a:xfrm>
                    <a:prstGeom prst="rect">
                      <a:avLst/>
                    </a:prstGeom>
                  </pic:spPr>
                </pic:pic>
              </a:graphicData>
            </a:graphic>
          </wp:inline>
        </w:drawing>
      </w:r>
    </w:p>
    <w:p w14:paraId="3D50E420" w14:textId="77777777" w:rsidR="00185390" w:rsidRPr="00EE7674" w:rsidRDefault="00185390" w:rsidP="00185390">
      <w:pPr>
        <w:spacing w:line="360" w:lineRule="auto"/>
        <w:rPr>
          <w:color w:val="000000" w:themeColor="text1"/>
        </w:rPr>
      </w:pPr>
      <w:r w:rsidRPr="00EE7674">
        <w:rPr>
          <w:b/>
          <w:bCs/>
          <w:color w:val="000000" w:themeColor="text1"/>
        </w:rPr>
        <w:t>Fig. S17</w:t>
      </w:r>
      <w:r w:rsidRPr="00EE7674">
        <w:rPr>
          <w:color w:val="000000" w:themeColor="text1"/>
        </w:rPr>
        <w:t>. The unprocessed</w:t>
      </w:r>
      <w:bookmarkStart w:id="106" w:name="OLE_LINK221"/>
      <w:bookmarkStart w:id="107" w:name="OLE_LINK222"/>
      <w:r w:rsidRPr="00EE7674">
        <w:rPr>
          <w:color w:val="000000" w:themeColor="text1"/>
        </w:rPr>
        <w:t xml:space="preserve"> OD spectrum of the sensors</w:t>
      </w:r>
      <w:bookmarkEnd w:id="106"/>
      <w:bookmarkEnd w:id="107"/>
      <w:r w:rsidRPr="00EE7674">
        <w:rPr>
          <w:color w:val="000000" w:themeColor="text1"/>
        </w:rPr>
        <w:t xml:space="preserve">. </w:t>
      </w:r>
    </w:p>
    <w:p w14:paraId="634C800E" w14:textId="77777777" w:rsidR="00185390" w:rsidRPr="00EE7674" w:rsidRDefault="00185390" w:rsidP="00185390">
      <w:pPr>
        <w:rPr>
          <w:color w:val="000000" w:themeColor="text1"/>
        </w:rPr>
      </w:pPr>
    </w:p>
    <w:p w14:paraId="08D99086" w14:textId="77777777" w:rsidR="00185390" w:rsidRPr="00EE7674" w:rsidRDefault="00185390" w:rsidP="00185390">
      <w:pPr>
        <w:rPr>
          <w:color w:val="000000" w:themeColor="text1"/>
        </w:rPr>
      </w:pPr>
    </w:p>
    <w:p w14:paraId="1D8A2CB0" w14:textId="156A81FD" w:rsidR="00185390" w:rsidRPr="00EE7674" w:rsidRDefault="0025031A" w:rsidP="00185390">
      <w:pPr>
        <w:rPr>
          <w:color w:val="000000" w:themeColor="text1"/>
        </w:rPr>
      </w:pPr>
      <w:r w:rsidRPr="00EE7674">
        <w:rPr>
          <w:noProof/>
          <w:color w:val="000000" w:themeColor="text1"/>
        </w:rPr>
        <w:lastRenderedPageBreak/>
        <w:drawing>
          <wp:inline distT="0" distB="0" distL="0" distR="0" wp14:anchorId="4B42D1E2" wp14:editId="3104F580">
            <wp:extent cx="5943600" cy="4928235"/>
            <wp:effectExtent l="0" t="0" r="0" b="0"/>
            <wp:docPr id="8036688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668888" name="图片 80366888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4928235"/>
                    </a:xfrm>
                    <a:prstGeom prst="rect">
                      <a:avLst/>
                    </a:prstGeom>
                  </pic:spPr>
                </pic:pic>
              </a:graphicData>
            </a:graphic>
          </wp:inline>
        </w:drawing>
      </w:r>
    </w:p>
    <w:p w14:paraId="58E124C4" w14:textId="67BB2C5B" w:rsidR="00185390" w:rsidRPr="00EE7674" w:rsidRDefault="00185390" w:rsidP="00185390">
      <w:pPr>
        <w:spacing w:line="360" w:lineRule="auto"/>
        <w:rPr>
          <w:color w:val="000000" w:themeColor="text1"/>
          <w:lang w:eastAsia="zh-CN"/>
        </w:rPr>
      </w:pPr>
      <w:bookmarkStart w:id="108" w:name="OLE_LINK223"/>
      <w:bookmarkStart w:id="109" w:name="OLE_LINK224"/>
      <w:r w:rsidRPr="00EE7674">
        <w:rPr>
          <w:b/>
          <w:bCs/>
          <w:color w:val="000000" w:themeColor="text1"/>
        </w:rPr>
        <w:t>Fig. S18</w:t>
      </w:r>
      <w:r w:rsidRPr="00EE7674">
        <w:rPr>
          <w:color w:val="000000" w:themeColor="text1"/>
        </w:rPr>
        <w:t>.</w:t>
      </w:r>
      <w:r w:rsidRPr="00EE7674">
        <w:rPr>
          <w:color w:val="000000" w:themeColor="text1"/>
          <w:lang w:eastAsia="zh-CN"/>
        </w:rPr>
        <w:t xml:space="preserve"> Application of Peak-Shift-Based Optimization in SPR Imaging Sensing. </w:t>
      </w:r>
      <w:r w:rsidR="00271D9D" w:rsidRPr="00EE7674">
        <w:rPr>
          <w:color w:val="000000" w:themeColor="text1"/>
          <w:lang w:eastAsia="zh-CN"/>
        </w:rPr>
        <w:t>(</w:t>
      </w:r>
      <w:r w:rsidRPr="00EE7674">
        <w:rPr>
          <w:color w:val="000000" w:themeColor="text1"/>
          <w:lang w:eastAsia="zh-CN"/>
        </w:rPr>
        <w:t xml:space="preserve">a) Color microscopic images of the metasurface sensor and the separated RGB channel images under different sucrose concentrations. </w:t>
      </w:r>
      <w:r w:rsidR="00271D9D" w:rsidRPr="00EE7674">
        <w:rPr>
          <w:color w:val="000000" w:themeColor="text1"/>
          <w:lang w:eastAsia="zh-CN"/>
        </w:rPr>
        <w:t>(</w:t>
      </w:r>
      <w:r w:rsidRPr="00EE7674">
        <w:rPr>
          <w:color w:val="000000" w:themeColor="text1"/>
          <w:lang w:eastAsia="zh-CN"/>
        </w:rPr>
        <w:t xml:space="preserve">b) Resonance peak shift results under different sucrose concentrations. </w:t>
      </w:r>
      <w:r w:rsidR="00271D9D" w:rsidRPr="00EE7674">
        <w:rPr>
          <w:color w:val="000000" w:themeColor="text1"/>
          <w:lang w:eastAsia="zh-CN"/>
        </w:rPr>
        <w:t>(</w:t>
      </w:r>
      <w:r w:rsidRPr="00EE7674">
        <w:rPr>
          <w:color w:val="000000" w:themeColor="text1"/>
          <w:lang w:eastAsia="zh-CN"/>
        </w:rPr>
        <w:t>c) Calibration curves of the mean values of the RGB channels against sucrose concentration under different sucrose concentrations (error bars represent data from three images taken at different times).</w:t>
      </w:r>
    </w:p>
    <w:bookmarkEnd w:id="108"/>
    <w:bookmarkEnd w:id="109"/>
    <w:p w14:paraId="504C6252" w14:textId="77777777" w:rsidR="00185390" w:rsidRPr="00EE7674" w:rsidRDefault="00185390" w:rsidP="00185390">
      <w:pPr>
        <w:rPr>
          <w:color w:val="000000" w:themeColor="text1"/>
          <w:szCs w:val="24"/>
        </w:rPr>
      </w:pPr>
    </w:p>
    <w:p w14:paraId="1D64CBF1" w14:textId="77777777" w:rsidR="00185390" w:rsidRPr="00EE7674" w:rsidRDefault="00185390" w:rsidP="00185390">
      <w:pPr>
        <w:rPr>
          <w:color w:val="000000" w:themeColor="text1"/>
          <w:szCs w:val="24"/>
        </w:rPr>
      </w:pPr>
      <w:r w:rsidRPr="00EE7674">
        <w:rPr>
          <w:color w:val="000000" w:themeColor="text1"/>
        </w:rPr>
        <w:br w:type="page"/>
      </w:r>
    </w:p>
    <w:p w14:paraId="3EF0A276" w14:textId="73F82D3C" w:rsidR="00185390" w:rsidRPr="00EE7674" w:rsidRDefault="002A4A07" w:rsidP="00185390">
      <w:pPr>
        <w:spacing w:line="360" w:lineRule="auto"/>
        <w:rPr>
          <w:b/>
          <w:bCs/>
          <w:color w:val="000000" w:themeColor="text1"/>
        </w:rPr>
      </w:pPr>
      <w:r w:rsidRPr="00EE7674">
        <w:rPr>
          <w:b/>
          <w:bCs/>
          <w:noProof/>
          <w:color w:val="000000" w:themeColor="text1"/>
        </w:rPr>
        <w:lastRenderedPageBreak/>
        <w:drawing>
          <wp:inline distT="0" distB="0" distL="0" distR="0" wp14:anchorId="2E0A6D56" wp14:editId="6D85C48F">
            <wp:extent cx="5943600" cy="2498090"/>
            <wp:effectExtent l="0" t="0" r="0" b="3810"/>
            <wp:docPr id="7473692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369253" name="图片 74736925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2498090"/>
                    </a:xfrm>
                    <a:prstGeom prst="rect">
                      <a:avLst/>
                    </a:prstGeom>
                  </pic:spPr>
                </pic:pic>
              </a:graphicData>
            </a:graphic>
          </wp:inline>
        </w:drawing>
      </w:r>
    </w:p>
    <w:p w14:paraId="30954E67" w14:textId="77777777" w:rsidR="00185390" w:rsidRPr="00EE7674" w:rsidRDefault="00185390" w:rsidP="00185390">
      <w:pPr>
        <w:spacing w:line="360" w:lineRule="auto"/>
        <w:rPr>
          <w:color w:val="000000" w:themeColor="text1"/>
        </w:rPr>
      </w:pPr>
      <w:r w:rsidRPr="00EE7674">
        <w:rPr>
          <w:b/>
          <w:bCs/>
          <w:color w:val="000000" w:themeColor="text1"/>
        </w:rPr>
        <w:t>Fig. S19</w:t>
      </w:r>
      <w:r w:rsidRPr="00EE7674">
        <w:rPr>
          <w:color w:val="000000" w:themeColor="text1"/>
        </w:rPr>
        <w:t>. Experimental study on the optimal parameter effect of blocking agent concentration. (a) The outcomes of detecting C-reactive protein (CRP) and immunoglobulin G (IgG) using bovine serum albumin (BSA) as a blocking agent at mass concentrations of 0% (Identifier 0,5), 0.1% (Identifier 1,6), 0.5% (Identifier 2,7), 1% (Identifier 3,8), and 5% (Identifier 4,9). (b) The outcomes of detecting C-reactive protein (CRP) and immunoglobulin G (IgG) using polyethylene glycol (PEG) 2000 as a blocking agent at mass concentrations of 0% (Identifier 0,5), 0.1% (Identifier 1,6), 0.5% (Identifier 2,7), 1% (Identifier 3,8), and 5% (Identifier 4,9).</w:t>
      </w:r>
    </w:p>
    <w:p w14:paraId="6AED8E79" w14:textId="77777777" w:rsidR="00185390" w:rsidRPr="00EE7674" w:rsidRDefault="00185390" w:rsidP="00185390"/>
    <w:p w14:paraId="367F959E" w14:textId="77777777" w:rsidR="00185390" w:rsidRPr="00EE7674" w:rsidRDefault="00185390" w:rsidP="00185390">
      <w:r w:rsidRPr="00EE7674">
        <w:br w:type="page"/>
      </w:r>
    </w:p>
    <w:p w14:paraId="579BAA2F" w14:textId="74953028" w:rsidR="00185390" w:rsidRPr="00EE7674" w:rsidRDefault="002A4A07" w:rsidP="00185390">
      <w:pPr>
        <w:spacing w:line="360" w:lineRule="auto"/>
        <w:rPr>
          <w:b/>
          <w:bCs/>
          <w:color w:val="000000" w:themeColor="text1"/>
        </w:rPr>
      </w:pPr>
      <w:r w:rsidRPr="00EE7674">
        <w:rPr>
          <w:b/>
          <w:bCs/>
          <w:noProof/>
          <w:color w:val="000000" w:themeColor="text1"/>
        </w:rPr>
        <w:lastRenderedPageBreak/>
        <w:drawing>
          <wp:inline distT="0" distB="0" distL="0" distR="0" wp14:anchorId="38D2A49F" wp14:editId="4ED21BEA">
            <wp:extent cx="5943600" cy="2562860"/>
            <wp:effectExtent l="0" t="0" r="0" b="2540"/>
            <wp:docPr id="2135085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08544" name="图片 21350854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2562860"/>
                    </a:xfrm>
                    <a:prstGeom prst="rect">
                      <a:avLst/>
                    </a:prstGeom>
                  </pic:spPr>
                </pic:pic>
              </a:graphicData>
            </a:graphic>
          </wp:inline>
        </w:drawing>
      </w:r>
    </w:p>
    <w:p w14:paraId="09DCBA79" w14:textId="77777777" w:rsidR="00185390" w:rsidRPr="00EE7674" w:rsidRDefault="00185390" w:rsidP="00185390">
      <w:pPr>
        <w:spacing w:line="360" w:lineRule="auto"/>
        <w:rPr>
          <w:color w:val="000000" w:themeColor="text1"/>
        </w:rPr>
      </w:pPr>
      <w:r w:rsidRPr="00EE7674">
        <w:rPr>
          <w:b/>
          <w:bCs/>
          <w:color w:val="000000" w:themeColor="text1"/>
        </w:rPr>
        <w:t>Fig. S20</w:t>
      </w:r>
      <w:r w:rsidRPr="00EE7674">
        <w:rPr>
          <w:color w:val="000000" w:themeColor="text1"/>
        </w:rPr>
        <w:t xml:space="preserve">. Experimental study on </w:t>
      </w:r>
      <w:r w:rsidRPr="00EE7674">
        <w:rPr>
          <w:color w:val="000000" w:themeColor="text1"/>
          <w:lang w:eastAsia="zh-CN"/>
        </w:rPr>
        <w:t>PEG and BSA</w:t>
      </w:r>
      <w:r w:rsidRPr="00EE7674">
        <w:rPr>
          <w:color w:val="000000" w:themeColor="text1"/>
        </w:rPr>
        <w:t xml:space="preserve"> as blocking agent. </w:t>
      </w:r>
    </w:p>
    <w:p w14:paraId="73EA6EEC" w14:textId="77777777" w:rsidR="00185390" w:rsidRPr="00EE7674" w:rsidRDefault="00185390" w:rsidP="00185390">
      <w:r w:rsidRPr="00EE7674">
        <w:br w:type="page"/>
      </w:r>
    </w:p>
    <w:p w14:paraId="03AE5211" w14:textId="5C69812D" w:rsidR="00185390" w:rsidRPr="00EE7674" w:rsidRDefault="002A4A07" w:rsidP="00185390">
      <w:pPr>
        <w:rPr>
          <w:color w:val="000000" w:themeColor="text1"/>
        </w:rPr>
      </w:pPr>
      <w:r w:rsidRPr="00EE7674">
        <w:rPr>
          <w:noProof/>
          <w:color w:val="000000" w:themeColor="text1"/>
        </w:rPr>
        <w:lastRenderedPageBreak/>
        <w:drawing>
          <wp:inline distT="0" distB="0" distL="0" distR="0" wp14:anchorId="227E4F92" wp14:editId="2ECECE6E">
            <wp:extent cx="5943600" cy="2564765"/>
            <wp:effectExtent l="0" t="0" r="0" b="635"/>
            <wp:docPr id="131721698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216985" name="图片 131721698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2564765"/>
                    </a:xfrm>
                    <a:prstGeom prst="rect">
                      <a:avLst/>
                    </a:prstGeom>
                  </pic:spPr>
                </pic:pic>
              </a:graphicData>
            </a:graphic>
          </wp:inline>
        </w:drawing>
      </w:r>
    </w:p>
    <w:p w14:paraId="518F1317" w14:textId="77777777" w:rsidR="00185390" w:rsidRPr="00EE7674" w:rsidRDefault="00185390" w:rsidP="00185390">
      <w:pPr>
        <w:spacing w:line="360" w:lineRule="auto"/>
        <w:rPr>
          <w:b/>
          <w:bCs/>
          <w:color w:val="000000" w:themeColor="text1"/>
        </w:rPr>
      </w:pPr>
      <w:r w:rsidRPr="00EE7674">
        <w:rPr>
          <w:b/>
          <w:bCs/>
          <w:color w:val="000000" w:themeColor="text1"/>
        </w:rPr>
        <w:t>Fig. S21</w:t>
      </w:r>
      <w:r w:rsidRPr="00EE7674">
        <w:rPr>
          <w:color w:val="000000" w:themeColor="text1"/>
        </w:rPr>
        <w:t xml:space="preserve">. Experimental study on the incubation buffer systems and detection buffer systems. (a) The results of CBS (Identifier 0,4), PBST (Identifier 1,5), HBS-ET (Identifier 2,6), and PBS (Identifier 3,7) as incubation buffer systems. (b) The results of CBS (Identifier 0,4), PBST (Identifier 1,5), </w:t>
      </w:r>
      <w:bookmarkStart w:id="110" w:name="OLE_LINK225"/>
      <w:bookmarkStart w:id="111" w:name="OLE_LINK226"/>
      <w:r w:rsidRPr="00EE7674">
        <w:rPr>
          <w:color w:val="000000" w:themeColor="text1"/>
        </w:rPr>
        <w:t>HBS-ET</w:t>
      </w:r>
      <w:bookmarkEnd w:id="110"/>
      <w:bookmarkEnd w:id="111"/>
      <w:r w:rsidRPr="00EE7674">
        <w:rPr>
          <w:color w:val="000000" w:themeColor="text1"/>
        </w:rPr>
        <w:t xml:space="preserve"> (Identifier 2,6), and PBS (Identifier 3,7) as detection buffer systems.</w:t>
      </w:r>
    </w:p>
    <w:p w14:paraId="78DC4D0B" w14:textId="233A1059" w:rsidR="00185390" w:rsidRPr="00EE7674" w:rsidRDefault="00185390" w:rsidP="00185390">
      <w:pPr>
        <w:spacing w:line="360" w:lineRule="auto"/>
        <w:rPr>
          <w:b/>
          <w:bCs/>
          <w:color w:val="000000" w:themeColor="text1"/>
        </w:rPr>
      </w:pPr>
      <w:r w:rsidRPr="00EE7674">
        <w:br w:type="page"/>
      </w:r>
      <w:r w:rsidR="002A4A07" w:rsidRPr="00EE7674">
        <w:rPr>
          <w:b/>
          <w:bCs/>
          <w:noProof/>
          <w:color w:val="000000" w:themeColor="text1"/>
        </w:rPr>
        <w:lastRenderedPageBreak/>
        <w:drawing>
          <wp:inline distT="0" distB="0" distL="0" distR="0" wp14:anchorId="22D910EF" wp14:editId="209C7F5D">
            <wp:extent cx="5943600" cy="2433955"/>
            <wp:effectExtent l="0" t="0" r="0" b="4445"/>
            <wp:docPr id="20323632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363232" name="图片 203236323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2433955"/>
                    </a:xfrm>
                    <a:prstGeom prst="rect">
                      <a:avLst/>
                    </a:prstGeom>
                  </pic:spPr>
                </pic:pic>
              </a:graphicData>
            </a:graphic>
          </wp:inline>
        </w:drawing>
      </w:r>
    </w:p>
    <w:p w14:paraId="36848A38" w14:textId="77777777" w:rsidR="00185390" w:rsidRPr="00EE7674" w:rsidRDefault="00185390" w:rsidP="00185390">
      <w:pPr>
        <w:spacing w:line="360" w:lineRule="auto"/>
        <w:rPr>
          <w:color w:val="000000" w:themeColor="text1"/>
        </w:rPr>
      </w:pPr>
      <w:r w:rsidRPr="00EE7674">
        <w:rPr>
          <w:b/>
          <w:bCs/>
          <w:color w:val="000000" w:themeColor="text1"/>
        </w:rPr>
        <w:t>Fig. S22</w:t>
      </w:r>
      <w:r w:rsidRPr="00EE7674">
        <w:rPr>
          <w:color w:val="000000" w:themeColor="text1"/>
        </w:rPr>
        <w:t xml:space="preserve">. Spectrum response for different detection steps. (a) Original OD spectrum of </w:t>
      </w:r>
      <w:bookmarkStart w:id="112" w:name="OLE_LINK182"/>
      <w:bookmarkStart w:id="113" w:name="OLE_LINK183"/>
      <w:r w:rsidRPr="00EE7674">
        <w:rPr>
          <w:color w:val="000000" w:themeColor="text1"/>
        </w:rPr>
        <w:t>each detection steps</w:t>
      </w:r>
      <w:bookmarkEnd w:id="112"/>
      <w:bookmarkEnd w:id="113"/>
      <w:r w:rsidRPr="00EE7674">
        <w:rPr>
          <w:color w:val="000000" w:themeColor="text1"/>
        </w:rPr>
        <w:t>. (b) The difOD results of each detection steps.</w:t>
      </w:r>
    </w:p>
    <w:p w14:paraId="15B75D7D" w14:textId="77777777" w:rsidR="00185390" w:rsidRPr="00EE7674" w:rsidRDefault="00185390" w:rsidP="00185390">
      <w:r w:rsidRPr="00EE7674">
        <w:br w:type="page"/>
      </w:r>
    </w:p>
    <w:p w14:paraId="368A4167" w14:textId="77777777" w:rsidR="00185390" w:rsidRPr="00EE7674" w:rsidRDefault="00185390" w:rsidP="00185390"/>
    <w:p w14:paraId="70FBE0B6" w14:textId="408A4473" w:rsidR="00185390" w:rsidRPr="00EE7674" w:rsidRDefault="002A4A07" w:rsidP="00185390">
      <w:pPr>
        <w:rPr>
          <w:color w:val="000000" w:themeColor="text1"/>
        </w:rPr>
      </w:pPr>
      <w:r w:rsidRPr="00EE7674">
        <w:rPr>
          <w:noProof/>
          <w:color w:val="000000" w:themeColor="text1"/>
        </w:rPr>
        <w:drawing>
          <wp:inline distT="0" distB="0" distL="0" distR="0" wp14:anchorId="4C435E10" wp14:editId="5EF964CA">
            <wp:extent cx="5943600" cy="5814060"/>
            <wp:effectExtent l="0" t="0" r="0" b="2540"/>
            <wp:docPr id="11250007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000742" name="图片 112500074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5814060"/>
                    </a:xfrm>
                    <a:prstGeom prst="rect">
                      <a:avLst/>
                    </a:prstGeom>
                  </pic:spPr>
                </pic:pic>
              </a:graphicData>
            </a:graphic>
          </wp:inline>
        </w:drawing>
      </w:r>
    </w:p>
    <w:p w14:paraId="09E88D39" w14:textId="77777777" w:rsidR="00185390" w:rsidRDefault="00185390" w:rsidP="00185390">
      <w:pPr>
        <w:spacing w:line="360" w:lineRule="auto"/>
        <w:rPr>
          <w:color w:val="000000" w:themeColor="text1"/>
        </w:rPr>
      </w:pPr>
      <w:r w:rsidRPr="00EE7674">
        <w:rPr>
          <w:b/>
          <w:bCs/>
          <w:color w:val="000000" w:themeColor="text1"/>
        </w:rPr>
        <w:t>Fig. S23</w:t>
      </w:r>
      <w:r w:rsidRPr="00EE7674">
        <w:rPr>
          <w:color w:val="000000" w:themeColor="text1"/>
        </w:rPr>
        <w:t xml:space="preserve">. Establishment of </w:t>
      </w:r>
      <w:r w:rsidRPr="00EE7674">
        <w:rPr>
          <w:color w:val="000000" w:themeColor="text1"/>
          <w:szCs w:val="32"/>
        </w:rPr>
        <w:t>IDM-MetaSPR</w:t>
      </w:r>
      <w:r w:rsidRPr="00EE7674">
        <w:rPr>
          <w:color w:val="000000" w:themeColor="text1"/>
        </w:rPr>
        <w:t xml:space="preserve"> molecular interaction platform. (a) The physical image of four parameters </w:t>
      </w:r>
      <w:r w:rsidRPr="00EE7674">
        <w:rPr>
          <w:color w:val="000000" w:themeColor="text1"/>
          <w:szCs w:val="32"/>
        </w:rPr>
        <w:t>IDM-MetaSPR</w:t>
      </w:r>
      <w:r w:rsidRPr="00EE7674">
        <w:rPr>
          <w:color w:val="000000" w:themeColor="text1"/>
        </w:rPr>
        <w:t xml:space="preserve"> chip and universal 96-well plate detection device. (b) Real-time detection schematic diagram based on a universal microplate reader. (c) Flowchart of high-throughput affinity detection based on </w:t>
      </w:r>
      <w:r w:rsidRPr="00EE7674">
        <w:rPr>
          <w:color w:val="000000" w:themeColor="text1"/>
          <w:szCs w:val="32"/>
        </w:rPr>
        <w:t>IDM-MetaSPR</w:t>
      </w:r>
      <w:r w:rsidRPr="00EE7674">
        <w:rPr>
          <w:color w:val="000000" w:themeColor="text1"/>
        </w:rPr>
        <w:t xml:space="preserve"> biosensors. (d) A typical affinity response curve of </w:t>
      </w:r>
      <w:proofErr w:type="gramStart"/>
      <w:r w:rsidRPr="00EE7674">
        <w:rPr>
          <w:color w:val="000000" w:themeColor="text1"/>
        </w:rPr>
        <w:t>a</w:t>
      </w:r>
      <w:proofErr w:type="gramEnd"/>
      <w:r w:rsidRPr="00EE7674">
        <w:rPr>
          <w:color w:val="000000" w:themeColor="text1"/>
        </w:rPr>
        <w:t xml:space="preserve"> </w:t>
      </w:r>
      <w:r w:rsidRPr="00EE7674">
        <w:rPr>
          <w:color w:val="000000" w:themeColor="text1"/>
          <w:szCs w:val="32"/>
        </w:rPr>
        <w:t>IDM-MetaSPR</w:t>
      </w:r>
      <w:r w:rsidRPr="00EE7674">
        <w:rPr>
          <w:color w:val="000000" w:themeColor="text1"/>
        </w:rPr>
        <w:t xml:space="preserve"> biosensor. (e-g) The association dissociation, and affinity fitting curves of protein A and IgG.</w:t>
      </w:r>
    </w:p>
    <w:p w14:paraId="79149A01" w14:textId="77777777" w:rsidR="004B5540" w:rsidRPr="00EE7674" w:rsidRDefault="004B5540" w:rsidP="00185390">
      <w:pPr>
        <w:spacing w:line="360" w:lineRule="auto"/>
        <w:rPr>
          <w:color w:val="000000" w:themeColor="text1"/>
        </w:rPr>
      </w:pPr>
    </w:p>
    <w:p w14:paraId="397E74C9" w14:textId="77777777" w:rsidR="00185390" w:rsidRPr="00EE7674" w:rsidRDefault="00185390" w:rsidP="00185390">
      <w:r w:rsidRPr="00EE7674">
        <w:br w:type="page"/>
      </w:r>
    </w:p>
    <w:p w14:paraId="43531BE2" w14:textId="1639BE4C" w:rsidR="00185390" w:rsidRPr="00EE7674" w:rsidRDefault="002A4A07" w:rsidP="002A4A07">
      <w:pPr>
        <w:jc w:val="center"/>
        <w:rPr>
          <w:color w:val="000000" w:themeColor="text1"/>
        </w:rPr>
      </w:pPr>
      <w:r w:rsidRPr="00EE7674">
        <w:rPr>
          <w:noProof/>
          <w:color w:val="000000" w:themeColor="text1"/>
        </w:rPr>
        <w:lastRenderedPageBreak/>
        <w:drawing>
          <wp:inline distT="0" distB="0" distL="0" distR="0" wp14:anchorId="450BB8E2" wp14:editId="574DCE8A">
            <wp:extent cx="4950640" cy="5860373"/>
            <wp:effectExtent l="0" t="0" r="2540" b="0"/>
            <wp:docPr id="46249148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491482" name="图片 46249148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974025" cy="5888056"/>
                    </a:xfrm>
                    <a:prstGeom prst="rect">
                      <a:avLst/>
                    </a:prstGeom>
                  </pic:spPr>
                </pic:pic>
              </a:graphicData>
            </a:graphic>
          </wp:inline>
        </w:drawing>
      </w:r>
    </w:p>
    <w:p w14:paraId="66619746" w14:textId="7BC7A5DE" w:rsidR="00185390" w:rsidRPr="00EE7674" w:rsidRDefault="00185390" w:rsidP="00185390">
      <w:pPr>
        <w:spacing w:line="360" w:lineRule="auto"/>
        <w:rPr>
          <w:color w:val="000000" w:themeColor="text1"/>
        </w:rPr>
      </w:pPr>
      <w:bookmarkStart w:id="114" w:name="OLE_LINK411"/>
      <w:bookmarkStart w:id="115" w:name="OLE_LINK410"/>
      <w:bookmarkStart w:id="116" w:name="OLE_LINK108"/>
      <w:bookmarkStart w:id="117" w:name="OLE_LINK107"/>
      <w:r w:rsidRPr="00EE7674">
        <w:rPr>
          <w:b/>
          <w:bCs/>
          <w:color w:val="000000" w:themeColor="text1"/>
        </w:rPr>
        <w:t>Fig. S2</w:t>
      </w:r>
      <w:r w:rsidR="0057790F">
        <w:rPr>
          <w:b/>
          <w:bCs/>
          <w:color w:val="000000" w:themeColor="text1"/>
        </w:rPr>
        <w:t>4</w:t>
      </w:r>
      <w:r w:rsidRPr="00EE7674">
        <w:rPr>
          <w:color w:val="000000" w:themeColor="text1"/>
        </w:rPr>
        <w:t xml:space="preserve">. Anti-non-specific adsorption and regeneration performance testing of </w:t>
      </w:r>
      <w:r w:rsidRPr="00EE7674">
        <w:rPr>
          <w:color w:val="000000" w:themeColor="text1"/>
          <w:szCs w:val="32"/>
        </w:rPr>
        <w:t>IDM-MetaSPR</w:t>
      </w:r>
      <w:r w:rsidRPr="00EE7674">
        <w:rPr>
          <w:color w:val="000000" w:themeColor="text1"/>
        </w:rPr>
        <w:t xml:space="preserve"> sensors. (a) </w:t>
      </w:r>
      <w:bookmarkEnd w:id="114"/>
      <w:bookmarkEnd w:id="115"/>
      <w:r w:rsidRPr="00EE7674">
        <w:rPr>
          <w:color w:val="000000" w:themeColor="text1"/>
        </w:rPr>
        <w:t>Schematic diagram of IgG detection with incubation of protein A (as a control group for anti-non-specific adsorption experiments). (b) Schematic diagram of IgG detection without incubation of protein A (as an experiment group for anti-non-specific adsorption experiments). (c-d) Real-time monitoring results of IgG binding process with and without incubation of protein A. (e) Schematic diagram of the main process of sensor regeneration experiment. (f) Real-time monitoring results of 65 regeneration experiments using protein A and IgG. (g) The maximum response value results of 65 regeneration experiments.</w:t>
      </w:r>
    </w:p>
    <w:bookmarkEnd w:id="116"/>
    <w:bookmarkEnd w:id="117"/>
    <w:p w14:paraId="48F54108" w14:textId="77777777" w:rsidR="00185390" w:rsidRDefault="00185390" w:rsidP="00185390">
      <w:r w:rsidRPr="00EE7674">
        <w:br w:type="page"/>
      </w:r>
    </w:p>
    <w:p w14:paraId="308809C4" w14:textId="77777777" w:rsidR="00C75CF3" w:rsidRPr="00EE7674" w:rsidRDefault="00C75CF3" w:rsidP="00185390"/>
    <w:p w14:paraId="03CC9944" w14:textId="22C597A9" w:rsidR="00185390" w:rsidRPr="00EE7674" w:rsidRDefault="002A4A07" w:rsidP="00185390">
      <w:pPr>
        <w:rPr>
          <w:rFonts w:eastAsia="Times New Roman"/>
          <w:b/>
          <w:color w:val="000000" w:themeColor="text1"/>
          <w:szCs w:val="32"/>
        </w:rPr>
      </w:pPr>
      <w:r w:rsidRPr="00EE7674">
        <w:rPr>
          <w:rFonts w:eastAsia="Times New Roman"/>
          <w:b/>
          <w:noProof/>
          <w:color w:val="000000" w:themeColor="text1"/>
          <w:szCs w:val="32"/>
        </w:rPr>
        <w:drawing>
          <wp:inline distT="0" distB="0" distL="0" distR="0" wp14:anchorId="01A28EE1" wp14:editId="507FF103">
            <wp:extent cx="5943600" cy="1793240"/>
            <wp:effectExtent l="0" t="0" r="0" b="0"/>
            <wp:docPr id="1503985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98579" name="图片 15039857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1793240"/>
                    </a:xfrm>
                    <a:prstGeom prst="rect">
                      <a:avLst/>
                    </a:prstGeom>
                  </pic:spPr>
                </pic:pic>
              </a:graphicData>
            </a:graphic>
          </wp:inline>
        </w:drawing>
      </w:r>
    </w:p>
    <w:p w14:paraId="5B207282" w14:textId="1A2F3BED" w:rsidR="00185390" w:rsidRPr="00EE7674" w:rsidRDefault="00185390" w:rsidP="00185390">
      <w:pPr>
        <w:pStyle w:val="SMcaption"/>
        <w:spacing w:line="360" w:lineRule="auto"/>
        <w:rPr>
          <w:color w:val="000000" w:themeColor="text1"/>
        </w:rPr>
      </w:pPr>
      <w:r w:rsidRPr="00EE7674">
        <w:rPr>
          <w:b/>
          <w:bCs/>
          <w:color w:val="000000" w:themeColor="text1"/>
        </w:rPr>
        <w:t>Fig. S2</w:t>
      </w:r>
      <w:r w:rsidR="009E546C">
        <w:rPr>
          <w:b/>
          <w:bCs/>
          <w:color w:val="000000" w:themeColor="text1"/>
        </w:rPr>
        <w:t>5</w:t>
      </w:r>
      <w:r w:rsidRPr="00EE7674">
        <w:rPr>
          <w:b/>
          <w:bCs/>
          <w:color w:val="000000" w:themeColor="text1"/>
        </w:rPr>
        <w:t xml:space="preserve">. </w:t>
      </w:r>
      <w:r w:rsidRPr="00EE7674">
        <w:rPr>
          <w:color w:val="000000" w:themeColor="text1"/>
        </w:rPr>
        <w:t>Quantification Curves of Antibody Drugs Based on Endpoint Data from Dynamic Association Segments. (a) Quantification curve for Polatuzumab binding to CD79B, comparing the unoptimized sensor (blue) with the optimized IDM-MetaSPR sensor (red). (b) Quantification curve for Adalimumab binding to TNF-α, comparing the unoptimized sensor (blue) with the optimized IDM-MetaSPR sensor (red). (c) Quantification curve for Sacituzumab govitecan binding to TROP2, comparing the unoptimized sensor (blue) with the optimized IDM-MetaSPR sensor (red).</w:t>
      </w:r>
    </w:p>
    <w:p w14:paraId="4A652D8A" w14:textId="5C6235F5" w:rsidR="009E546C" w:rsidRPr="0070024C" w:rsidRDefault="009E546C" w:rsidP="0070024C">
      <w:r>
        <w:rPr>
          <w:noProof/>
          <w:color w:val="000000" w:themeColor="text1"/>
        </w:rPr>
        <w:lastRenderedPageBreak/>
        <w:drawing>
          <wp:inline distT="0" distB="0" distL="0" distR="0" wp14:anchorId="1E34BC31" wp14:editId="682466C9">
            <wp:extent cx="5519037" cy="5638800"/>
            <wp:effectExtent l="0" t="0" r="5715" b="0"/>
            <wp:docPr id="4342568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256853" name="图片 43425685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520943" cy="5640747"/>
                    </a:xfrm>
                    <a:prstGeom prst="rect">
                      <a:avLst/>
                    </a:prstGeom>
                  </pic:spPr>
                </pic:pic>
              </a:graphicData>
            </a:graphic>
          </wp:inline>
        </w:drawing>
      </w:r>
    </w:p>
    <w:p w14:paraId="2690DB2B" w14:textId="170FD4BC" w:rsidR="009E546C" w:rsidRDefault="009E546C" w:rsidP="009E546C">
      <w:pPr>
        <w:spacing w:line="360" w:lineRule="auto"/>
        <w:jc w:val="both"/>
        <w:rPr>
          <w:color w:val="000000" w:themeColor="text1"/>
        </w:rPr>
      </w:pPr>
      <w:r w:rsidRPr="00457A35">
        <w:rPr>
          <w:b/>
          <w:bCs/>
          <w:color w:val="000000" w:themeColor="text1"/>
        </w:rPr>
        <w:t xml:space="preserve">Figure </w:t>
      </w:r>
      <w:r>
        <w:rPr>
          <w:b/>
          <w:bCs/>
          <w:color w:val="000000" w:themeColor="text1"/>
        </w:rPr>
        <w:t>S26</w:t>
      </w:r>
      <w:r w:rsidRPr="00457A35">
        <w:rPr>
          <w:color w:val="000000" w:themeColor="text1"/>
        </w:rPr>
        <w:t xml:space="preserve">. Small molecule affinity detection based on </w:t>
      </w:r>
      <w:r>
        <w:rPr>
          <w:rFonts w:ascii="Times New Roman Regular" w:hAnsi="Times New Roman Regular" w:cs="Times New Roman Regular"/>
          <w:color w:val="000000" w:themeColor="text1"/>
          <w:szCs w:val="32"/>
        </w:rPr>
        <w:t>IDMM-SPR</w:t>
      </w:r>
      <w:r w:rsidRPr="00457A35">
        <w:rPr>
          <w:color w:val="000000" w:themeColor="text1"/>
        </w:rPr>
        <w:t xml:space="preserve"> sensor. (a) Schematic diagram of the modification and detection process for small molecule affinity detection using the </w:t>
      </w:r>
      <w:r>
        <w:rPr>
          <w:color w:val="000000" w:themeColor="text1"/>
        </w:rPr>
        <w:t>IDMM-SPR</w:t>
      </w:r>
      <w:r w:rsidRPr="00457A35">
        <w:rPr>
          <w:color w:val="000000" w:themeColor="text1"/>
        </w:rPr>
        <w:t xml:space="preserve"> sensor.</w:t>
      </w:r>
      <w:r w:rsidRPr="00457A35">
        <w:rPr>
          <w:rFonts w:hint="eastAsia"/>
          <w:color w:val="000000" w:themeColor="text1"/>
        </w:rPr>
        <w:t xml:space="preserve"> </w:t>
      </w:r>
      <w:r w:rsidRPr="00457A35">
        <w:rPr>
          <w:color w:val="000000" w:themeColor="text1"/>
        </w:rPr>
        <w:t>(b) Response signals from the unoptimized and optimized chips after kinetic binding.</w:t>
      </w:r>
      <w:r w:rsidRPr="00457A35">
        <w:rPr>
          <w:rFonts w:hint="eastAsia"/>
          <w:color w:val="000000" w:themeColor="text1"/>
        </w:rPr>
        <w:t xml:space="preserve"> </w:t>
      </w:r>
      <w:r w:rsidRPr="00457A35">
        <w:rPr>
          <w:color w:val="000000" w:themeColor="text1"/>
        </w:rPr>
        <w:t>(c) The dynamic response curve of the Quercetin-modified sensor surface for detecting hTGFBR1 using the unoptimized sensor.</w:t>
      </w:r>
      <w:r w:rsidRPr="00457A35">
        <w:rPr>
          <w:rFonts w:hint="eastAsia"/>
          <w:color w:val="000000" w:themeColor="text1"/>
        </w:rPr>
        <w:t xml:space="preserve"> </w:t>
      </w:r>
      <w:r w:rsidRPr="00457A35">
        <w:rPr>
          <w:color w:val="000000" w:themeColor="text1"/>
        </w:rPr>
        <w:t xml:space="preserve">(d) The dynamic response curve of the Quercetin-modified sensor surface for detecting hTGFBR1 using the optimized </w:t>
      </w:r>
      <w:r>
        <w:rPr>
          <w:color w:val="000000" w:themeColor="text1"/>
        </w:rPr>
        <w:t>IDMM-SPR</w:t>
      </w:r>
      <w:r w:rsidRPr="00457A35">
        <w:rPr>
          <w:color w:val="000000" w:themeColor="text1"/>
        </w:rPr>
        <w:t xml:space="preserve"> sensor.</w:t>
      </w:r>
    </w:p>
    <w:p w14:paraId="1860889A" w14:textId="77777777" w:rsidR="00185390" w:rsidRPr="00EE7674" w:rsidRDefault="00185390">
      <w:pPr>
        <w:rPr>
          <w:b/>
          <w:bCs/>
          <w:kern w:val="32"/>
          <w:szCs w:val="24"/>
        </w:rPr>
      </w:pPr>
    </w:p>
    <w:p w14:paraId="143AB014" w14:textId="635EA941" w:rsidR="00185390" w:rsidRPr="00EE7674" w:rsidRDefault="00185390" w:rsidP="00185390">
      <w:pPr>
        <w:pStyle w:val="SMHeading"/>
      </w:pPr>
      <w:r w:rsidRPr="00EE7674">
        <w:t>Table S1.</w:t>
      </w:r>
    </w:p>
    <w:p w14:paraId="2A81B9D2" w14:textId="77777777" w:rsidR="00185390" w:rsidRPr="00EE7674" w:rsidRDefault="00185390" w:rsidP="00185390">
      <w:pPr>
        <w:spacing w:line="360" w:lineRule="auto"/>
        <w:ind w:firstLineChars="200" w:firstLine="480"/>
        <w:rPr>
          <w:color w:val="000000" w:themeColor="text1"/>
        </w:rPr>
      </w:pPr>
      <w:bookmarkStart w:id="118" w:name="OLE_LINK4"/>
      <w:bookmarkStart w:id="119" w:name="OLE_LINK3"/>
      <w:r w:rsidRPr="00EE7674">
        <w:rPr>
          <w:color w:val="000000" w:themeColor="text1"/>
        </w:rPr>
        <w:t xml:space="preserve">Comparison of the characteristics of the proposed </w:t>
      </w:r>
      <w:r w:rsidRPr="00EE7674">
        <w:rPr>
          <w:color w:val="000000" w:themeColor="text1"/>
          <w:szCs w:val="32"/>
        </w:rPr>
        <w:t>IDM-MetaSPR</w:t>
      </w:r>
      <w:r w:rsidRPr="00EE7674">
        <w:rPr>
          <w:color w:val="000000" w:themeColor="text1"/>
        </w:rPr>
        <w:t xml:space="preserve"> sensor with other structures reported in the literature.</w:t>
      </w:r>
    </w:p>
    <w:p w14:paraId="4DC27CDD" w14:textId="77777777" w:rsidR="00185390" w:rsidRPr="00EE7674" w:rsidRDefault="00185390" w:rsidP="00185390">
      <w:pPr>
        <w:rPr>
          <w:color w:val="000000" w:themeColor="text1"/>
        </w:rPr>
      </w:pPr>
    </w:p>
    <w:tbl>
      <w:tblPr>
        <w:tblStyle w:val="210"/>
        <w:tblW w:w="8289" w:type="dxa"/>
        <w:tblLayout w:type="fixed"/>
        <w:tblLook w:val="04A0" w:firstRow="1" w:lastRow="0" w:firstColumn="1" w:lastColumn="0" w:noHBand="0" w:noVBand="1"/>
      </w:tblPr>
      <w:tblGrid>
        <w:gridCol w:w="1037"/>
        <w:gridCol w:w="1036"/>
        <w:gridCol w:w="1036"/>
        <w:gridCol w:w="1036"/>
        <w:gridCol w:w="1036"/>
        <w:gridCol w:w="1036"/>
        <w:gridCol w:w="1036"/>
        <w:gridCol w:w="1036"/>
      </w:tblGrid>
      <w:tr w:rsidR="00185390" w:rsidRPr="00EE7674" w14:paraId="03496BAC" w14:textId="77777777" w:rsidTr="0075620E">
        <w:trPr>
          <w:cnfStyle w:val="100000000000" w:firstRow="1" w:lastRow="0" w:firstColumn="0" w:lastColumn="0" w:oddVBand="0" w:evenVBand="0" w:oddHBand="0"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0" w:type="dxa"/>
            <w:tcBorders>
              <w:top w:val="single" w:sz="12" w:space="0" w:color="000000"/>
              <w:bottom w:val="single" w:sz="4" w:space="0" w:color="000000"/>
              <w:tl2br w:val="nil"/>
            </w:tcBorders>
            <w:shd w:val="clear" w:color="auto" w:fill="FFFFFF"/>
            <w:vAlign w:val="center"/>
          </w:tcPr>
          <w:p w14:paraId="393D0061" w14:textId="77777777" w:rsidR="00185390" w:rsidRPr="00EE7674" w:rsidRDefault="00185390" w:rsidP="0075620E">
            <w:pPr>
              <w:jc w:val="center"/>
              <w:rPr>
                <w:color w:val="000000" w:themeColor="text1"/>
                <w:sz w:val="20"/>
                <w:szCs w:val="21"/>
              </w:rPr>
            </w:pPr>
            <w:r w:rsidRPr="00EE7674">
              <w:rPr>
                <w:color w:val="000000" w:themeColor="text1"/>
                <w:sz w:val="20"/>
                <w:szCs w:val="21"/>
              </w:rPr>
              <w:t>NO.</w:t>
            </w:r>
          </w:p>
        </w:tc>
        <w:tc>
          <w:tcPr>
            <w:tcW w:w="0" w:type="dxa"/>
            <w:tcBorders>
              <w:top w:val="single" w:sz="12" w:space="0" w:color="000000"/>
              <w:bottom w:val="single" w:sz="4" w:space="0" w:color="000000"/>
            </w:tcBorders>
            <w:shd w:val="clear" w:color="auto" w:fill="FFFFFF"/>
            <w:vAlign w:val="center"/>
          </w:tcPr>
          <w:p w14:paraId="744457C3" w14:textId="77777777" w:rsidR="00185390" w:rsidRPr="00EE7674" w:rsidRDefault="00185390" w:rsidP="0075620E">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year</w:t>
            </w:r>
          </w:p>
        </w:tc>
        <w:tc>
          <w:tcPr>
            <w:tcW w:w="0" w:type="dxa"/>
            <w:tcBorders>
              <w:top w:val="single" w:sz="12" w:space="0" w:color="000000"/>
              <w:bottom w:val="single" w:sz="4" w:space="0" w:color="000000"/>
            </w:tcBorders>
            <w:shd w:val="clear" w:color="auto" w:fill="FFFFFF"/>
            <w:vAlign w:val="center"/>
          </w:tcPr>
          <w:p w14:paraId="7CE7BB76" w14:textId="77777777" w:rsidR="00185390" w:rsidRPr="00EE7674" w:rsidRDefault="00185390" w:rsidP="0075620E">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Structure</w:t>
            </w:r>
          </w:p>
        </w:tc>
        <w:tc>
          <w:tcPr>
            <w:tcW w:w="0" w:type="dxa"/>
            <w:tcBorders>
              <w:top w:val="single" w:sz="12" w:space="0" w:color="000000"/>
              <w:bottom w:val="single" w:sz="4" w:space="0" w:color="000000"/>
            </w:tcBorders>
            <w:shd w:val="clear" w:color="auto" w:fill="FFFFFF"/>
            <w:vAlign w:val="center"/>
          </w:tcPr>
          <w:p w14:paraId="610FA629" w14:textId="77777777" w:rsidR="00185390" w:rsidRPr="00EE7674" w:rsidRDefault="00185390" w:rsidP="0075620E">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Materials</w:t>
            </w:r>
          </w:p>
        </w:tc>
        <w:tc>
          <w:tcPr>
            <w:tcW w:w="0" w:type="dxa"/>
            <w:tcBorders>
              <w:top w:val="single" w:sz="12" w:space="0" w:color="000000"/>
              <w:bottom w:val="single" w:sz="4" w:space="0" w:color="000000"/>
            </w:tcBorders>
            <w:shd w:val="clear" w:color="auto" w:fill="FFFFFF"/>
            <w:vAlign w:val="center"/>
          </w:tcPr>
          <w:p w14:paraId="30665C52" w14:textId="77777777" w:rsidR="00185390" w:rsidRPr="00EE7674" w:rsidRDefault="00185390" w:rsidP="0075620E">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Wavelength (nm)</w:t>
            </w:r>
          </w:p>
        </w:tc>
        <w:tc>
          <w:tcPr>
            <w:tcW w:w="0" w:type="dxa"/>
            <w:tcBorders>
              <w:top w:val="single" w:sz="12" w:space="0" w:color="000000"/>
              <w:bottom w:val="single" w:sz="4" w:space="0" w:color="000000"/>
            </w:tcBorders>
            <w:shd w:val="clear" w:color="auto" w:fill="FFFFFF"/>
            <w:vAlign w:val="center"/>
          </w:tcPr>
          <w:p w14:paraId="61F07F11" w14:textId="77777777" w:rsidR="00185390" w:rsidRPr="00EE7674" w:rsidRDefault="00185390" w:rsidP="0075620E">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1"/>
              </w:rPr>
            </w:pPr>
            <w:r w:rsidRPr="00EE7674">
              <w:rPr>
                <w:color w:val="000000" w:themeColor="text1"/>
                <w:sz w:val="20"/>
                <w:szCs w:val="21"/>
              </w:rPr>
              <w:t>Sensitivity</w:t>
            </w:r>
          </w:p>
          <w:p w14:paraId="6247A1BD" w14:textId="77777777" w:rsidR="00185390" w:rsidRPr="00EE7674" w:rsidRDefault="00185390" w:rsidP="0075620E">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(nm/RIU)</w:t>
            </w:r>
          </w:p>
        </w:tc>
        <w:tc>
          <w:tcPr>
            <w:tcW w:w="0" w:type="dxa"/>
            <w:tcBorders>
              <w:top w:val="single" w:sz="12" w:space="0" w:color="000000"/>
              <w:bottom w:val="single" w:sz="4" w:space="0" w:color="000000"/>
            </w:tcBorders>
            <w:shd w:val="clear" w:color="auto" w:fill="FFFFFF"/>
            <w:vAlign w:val="center"/>
          </w:tcPr>
          <w:p w14:paraId="7114C572" w14:textId="77777777" w:rsidR="00185390" w:rsidRPr="00EE7674" w:rsidRDefault="00185390" w:rsidP="0075620E">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FoM</w:t>
            </w:r>
          </w:p>
        </w:tc>
        <w:tc>
          <w:tcPr>
            <w:tcW w:w="0" w:type="dxa"/>
            <w:tcBorders>
              <w:top w:val="single" w:sz="12" w:space="0" w:color="000000"/>
              <w:bottom w:val="single" w:sz="4" w:space="0" w:color="000000"/>
            </w:tcBorders>
            <w:shd w:val="clear" w:color="auto" w:fill="FFFFFF"/>
            <w:vAlign w:val="center"/>
          </w:tcPr>
          <w:p w14:paraId="44E794EF" w14:textId="77777777" w:rsidR="00185390" w:rsidRPr="00EE7674" w:rsidRDefault="00185390" w:rsidP="0075620E">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Ref.</w:t>
            </w:r>
          </w:p>
        </w:tc>
      </w:tr>
      <w:tr w:rsidR="00185390" w:rsidRPr="00EE7674" w14:paraId="00531A4B" w14:textId="77777777" w:rsidTr="0075620E">
        <w:trPr>
          <w:trHeight w:val="23"/>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000000"/>
              <w:bottom w:val="nil"/>
            </w:tcBorders>
            <w:shd w:val="clear" w:color="auto" w:fill="FFFFFF"/>
            <w:vAlign w:val="center"/>
          </w:tcPr>
          <w:p w14:paraId="32B4469B" w14:textId="77777777" w:rsidR="00185390" w:rsidRPr="00EE7674" w:rsidRDefault="00185390" w:rsidP="0075620E">
            <w:pPr>
              <w:jc w:val="center"/>
              <w:rPr>
                <w:color w:val="000000" w:themeColor="text1"/>
                <w:sz w:val="20"/>
                <w:szCs w:val="21"/>
              </w:rPr>
            </w:pPr>
            <w:r w:rsidRPr="00EE7674">
              <w:rPr>
                <w:color w:val="000000" w:themeColor="text1"/>
                <w:sz w:val="20"/>
                <w:szCs w:val="21"/>
              </w:rPr>
              <w:t>1</w:t>
            </w:r>
          </w:p>
        </w:tc>
        <w:tc>
          <w:tcPr>
            <w:tcW w:w="0" w:type="dxa"/>
            <w:tcBorders>
              <w:top w:val="single" w:sz="4" w:space="0" w:color="000000"/>
              <w:bottom w:val="nil"/>
            </w:tcBorders>
            <w:shd w:val="clear" w:color="auto" w:fill="FFFFFF"/>
            <w:vAlign w:val="center"/>
          </w:tcPr>
          <w:p w14:paraId="490566BA"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shd w:val="clear" w:color="auto" w:fill="FFFFFF"/>
              </w:rPr>
            </w:pPr>
            <w:r w:rsidRPr="00EE7674">
              <w:rPr>
                <w:color w:val="000000" w:themeColor="text1"/>
                <w:sz w:val="20"/>
                <w:szCs w:val="21"/>
                <w:shd w:val="clear" w:color="auto" w:fill="FFFFFF"/>
              </w:rPr>
              <w:t>2018</w:t>
            </w:r>
          </w:p>
        </w:tc>
        <w:tc>
          <w:tcPr>
            <w:tcW w:w="0" w:type="dxa"/>
            <w:tcBorders>
              <w:top w:val="single" w:sz="4" w:space="0" w:color="000000"/>
              <w:bottom w:val="nil"/>
            </w:tcBorders>
            <w:shd w:val="clear" w:color="auto" w:fill="FFFFFF"/>
            <w:vAlign w:val="center"/>
          </w:tcPr>
          <w:p w14:paraId="6F42C3CF"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shd w:val="clear" w:color="auto" w:fill="FFFFFF"/>
              </w:rPr>
              <w:t>Nanodisk arrays</w:t>
            </w:r>
          </w:p>
        </w:tc>
        <w:tc>
          <w:tcPr>
            <w:tcW w:w="0" w:type="dxa"/>
            <w:tcBorders>
              <w:top w:val="single" w:sz="4" w:space="0" w:color="000000"/>
              <w:bottom w:val="nil"/>
            </w:tcBorders>
            <w:shd w:val="clear" w:color="auto" w:fill="FFFFFF"/>
            <w:vAlign w:val="center"/>
          </w:tcPr>
          <w:p w14:paraId="6F5EDF05"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Au</w:t>
            </w:r>
          </w:p>
        </w:tc>
        <w:tc>
          <w:tcPr>
            <w:tcW w:w="0" w:type="dxa"/>
            <w:tcBorders>
              <w:top w:val="single" w:sz="4" w:space="0" w:color="000000"/>
              <w:bottom w:val="nil"/>
            </w:tcBorders>
            <w:shd w:val="clear" w:color="auto" w:fill="FFFFFF"/>
            <w:vAlign w:val="center"/>
          </w:tcPr>
          <w:p w14:paraId="259EC891"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550-800</w:t>
            </w:r>
          </w:p>
        </w:tc>
        <w:tc>
          <w:tcPr>
            <w:tcW w:w="0" w:type="dxa"/>
            <w:tcBorders>
              <w:top w:val="single" w:sz="4" w:space="0" w:color="000000"/>
              <w:bottom w:val="nil"/>
            </w:tcBorders>
            <w:shd w:val="clear" w:color="auto" w:fill="FFFFFF"/>
            <w:vAlign w:val="center"/>
          </w:tcPr>
          <w:p w14:paraId="57811EFE"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shd w:val="clear" w:color="auto" w:fill="FFFFFF"/>
              </w:rPr>
              <w:t xml:space="preserve">113 </w:t>
            </w:r>
          </w:p>
        </w:tc>
        <w:tc>
          <w:tcPr>
            <w:tcW w:w="0" w:type="dxa"/>
            <w:tcBorders>
              <w:top w:val="single" w:sz="4" w:space="0" w:color="000000"/>
              <w:bottom w:val="nil"/>
            </w:tcBorders>
            <w:shd w:val="clear" w:color="auto" w:fill="FFFFFF"/>
            <w:vAlign w:val="center"/>
          </w:tcPr>
          <w:p w14:paraId="0F8ED895"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w:t>
            </w:r>
          </w:p>
        </w:tc>
        <w:tc>
          <w:tcPr>
            <w:tcW w:w="0" w:type="dxa"/>
            <w:tcBorders>
              <w:top w:val="single" w:sz="4" w:space="0" w:color="000000"/>
              <w:bottom w:val="nil"/>
            </w:tcBorders>
            <w:shd w:val="clear" w:color="auto" w:fill="FFFFFF"/>
            <w:vAlign w:val="center"/>
          </w:tcPr>
          <w:p w14:paraId="76178B97" w14:textId="59A53064"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fldChar w:fldCharType="begin"/>
            </w:r>
            <w:r w:rsidR="00C9505E">
              <w:rPr>
                <w:color w:val="000000" w:themeColor="text1"/>
                <w:sz w:val="20"/>
                <w:szCs w:val="21"/>
              </w:rPr>
              <w:instrText xml:space="preserve"> ADDIN ZOTERO_ITEM CSL_CITATION {"citationID":"Rfg1IAZd","properties":{"formattedCitation":"[22]","plainCitation":"[22]","noteIndex":0},"citationItems":[{"id":737,"uris":["http://zotero.org/users/local/389ubzLc/items/5CJ5M7I8"],"itemData":{"id":737,"type":"article-journal","container-title":"Sensors and Actuators B: Chemical","DOI":"10.1016/j.snb.2017.08.118","ISSN":"09254005","journalAbbreviation":"Sensors and Actuators B: Chemical","language":"en","page":"1298-1307","source":"DOI.org (Crossref)","title":"Gold nano disks arrays for localized surface plasmon resonance based detection of PSA cancer marker","volume":"255","author":[{"family":"Khan","given":"Younas"},{"family":"Li","given":"Anran"},{"family":"Chang","given":"Lin"},{"family":"Li","given":"Lidong"},{"family":"Guo","given":"Lin"}],"issued":{"date-parts":[["2018",2]]}}}],"schema":"https://github.com/citation-style-language/schema/raw/master/csl-citation.json"} </w:instrText>
            </w:r>
            <w:r w:rsidRPr="00EE7674">
              <w:rPr>
                <w:color w:val="000000" w:themeColor="text1"/>
                <w:sz w:val="20"/>
                <w:szCs w:val="21"/>
              </w:rPr>
              <w:fldChar w:fldCharType="separate"/>
            </w:r>
            <w:r w:rsidR="00C9505E">
              <w:rPr>
                <w:color w:val="000000"/>
                <w:sz w:val="20"/>
                <w:szCs w:val="24"/>
              </w:rPr>
              <w:t>[22]</w:t>
            </w:r>
            <w:r w:rsidRPr="00EE7674">
              <w:rPr>
                <w:color w:val="000000" w:themeColor="text1"/>
                <w:sz w:val="20"/>
                <w:szCs w:val="21"/>
              </w:rPr>
              <w:fldChar w:fldCharType="end"/>
            </w:r>
          </w:p>
        </w:tc>
      </w:tr>
      <w:tr w:rsidR="00185390" w:rsidRPr="00EE7674" w14:paraId="1ABB15AE" w14:textId="77777777" w:rsidTr="0075620E">
        <w:trPr>
          <w:trHeight w:val="23"/>
        </w:trPr>
        <w:tc>
          <w:tcPr>
            <w:cnfStyle w:val="001000000000" w:firstRow="0" w:lastRow="0" w:firstColumn="1" w:lastColumn="0" w:oddVBand="0" w:evenVBand="0" w:oddHBand="0" w:evenHBand="0" w:firstRowFirstColumn="0" w:firstRowLastColumn="0" w:lastRowFirstColumn="0" w:lastRowLastColumn="0"/>
            <w:tcW w:w="0" w:type="dxa"/>
            <w:tcBorders>
              <w:top w:val="nil"/>
              <w:bottom w:val="nil"/>
            </w:tcBorders>
            <w:shd w:val="clear" w:color="auto" w:fill="FFFFFF"/>
            <w:vAlign w:val="center"/>
          </w:tcPr>
          <w:p w14:paraId="0F245B15" w14:textId="77777777" w:rsidR="00185390" w:rsidRPr="00EE7674" w:rsidRDefault="00185390" w:rsidP="0075620E">
            <w:pPr>
              <w:jc w:val="center"/>
              <w:rPr>
                <w:color w:val="000000" w:themeColor="text1"/>
                <w:sz w:val="20"/>
                <w:szCs w:val="21"/>
              </w:rPr>
            </w:pPr>
            <w:r w:rsidRPr="00EE7674">
              <w:rPr>
                <w:color w:val="000000" w:themeColor="text1"/>
                <w:sz w:val="20"/>
                <w:szCs w:val="21"/>
              </w:rPr>
              <w:t>2</w:t>
            </w:r>
          </w:p>
        </w:tc>
        <w:tc>
          <w:tcPr>
            <w:tcW w:w="0" w:type="dxa"/>
            <w:tcBorders>
              <w:top w:val="nil"/>
              <w:bottom w:val="nil"/>
            </w:tcBorders>
            <w:shd w:val="clear" w:color="auto" w:fill="FFFFFF"/>
            <w:vAlign w:val="center"/>
          </w:tcPr>
          <w:p w14:paraId="00C6F213"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shd w:val="clear" w:color="auto" w:fill="FFFFFF"/>
              </w:rPr>
            </w:pPr>
            <w:r w:rsidRPr="00EE7674">
              <w:rPr>
                <w:color w:val="000000" w:themeColor="text1"/>
                <w:sz w:val="20"/>
                <w:szCs w:val="21"/>
              </w:rPr>
              <w:t>2018</w:t>
            </w:r>
          </w:p>
        </w:tc>
        <w:tc>
          <w:tcPr>
            <w:tcW w:w="0" w:type="dxa"/>
            <w:tcBorders>
              <w:top w:val="nil"/>
              <w:bottom w:val="nil"/>
            </w:tcBorders>
            <w:shd w:val="clear" w:color="auto" w:fill="FFFFFF"/>
            <w:vAlign w:val="center"/>
          </w:tcPr>
          <w:p w14:paraId="6B4182A5"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shd w:val="clear" w:color="auto" w:fill="FFFFFF"/>
              </w:rPr>
            </w:pPr>
            <w:r w:rsidRPr="00EE7674">
              <w:rPr>
                <w:color w:val="000000" w:themeColor="text1"/>
                <w:sz w:val="20"/>
                <w:szCs w:val="21"/>
              </w:rPr>
              <w:t>Cross-shaped nanocup arrays</w:t>
            </w:r>
          </w:p>
        </w:tc>
        <w:tc>
          <w:tcPr>
            <w:tcW w:w="0" w:type="dxa"/>
            <w:tcBorders>
              <w:top w:val="nil"/>
              <w:bottom w:val="nil"/>
            </w:tcBorders>
            <w:shd w:val="clear" w:color="auto" w:fill="FFFFFF"/>
            <w:vAlign w:val="center"/>
          </w:tcPr>
          <w:p w14:paraId="4B3DEBBC"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shd w:val="clear" w:color="auto" w:fill="FFFFFF"/>
              </w:rPr>
            </w:pPr>
            <w:r w:rsidRPr="00EE7674">
              <w:rPr>
                <w:color w:val="000000" w:themeColor="text1"/>
                <w:sz w:val="20"/>
                <w:szCs w:val="21"/>
              </w:rPr>
              <w:t>Ag</w:t>
            </w:r>
          </w:p>
        </w:tc>
        <w:tc>
          <w:tcPr>
            <w:tcW w:w="0" w:type="dxa"/>
            <w:tcBorders>
              <w:top w:val="nil"/>
              <w:bottom w:val="nil"/>
            </w:tcBorders>
            <w:shd w:val="clear" w:color="auto" w:fill="FFFFFF"/>
            <w:vAlign w:val="center"/>
          </w:tcPr>
          <w:p w14:paraId="21896331"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400–800</w:t>
            </w:r>
          </w:p>
        </w:tc>
        <w:tc>
          <w:tcPr>
            <w:tcW w:w="0" w:type="dxa"/>
            <w:tcBorders>
              <w:top w:val="nil"/>
              <w:bottom w:val="nil"/>
            </w:tcBorders>
            <w:shd w:val="clear" w:color="auto" w:fill="FFFFFF"/>
            <w:vAlign w:val="center"/>
          </w:tcPr>
          <w:p w14:paraId="2EAF04C0"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477</w:t>
            </w:r>
          </w:p>
        </w:tc>
        <w:tc>
          <w:tcPr>
            <w:tcW w:w="0" w:type="dxa"/>
            <w:tcBorders>
              <w:top w:val="nil"/>
              <w:bottom w:val="nil"/>
            </w:tcBorders>
            <w:shd w:val="clear" w:color="auto" w:fill="FFFFFF"/>
            <w:vAlign w:val="center"/>
          </w:tcPr>
          <w:p w14:paraId="0B560B33"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12.9</w:t>
            </w:r>
          </w:p>
        </w:tc>
        <w:tc>
          <w:tcPr>
            <w:tcW w:w="0" w:type="dxa"/>
            <w:tcBorders>
              <w:top w:val="nil"/>
              <w:bottom w:val="nil"/>
            </w:tcBorders>
            <w:shd w:val="clear" w:color="auto" w:fill="FFFFFF"/>
            <w:vAlign w:val="center"/>
          </w:tcPr>
          <w:p w14:paraId="7EF86802" w14:textId="74B9FFB3"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fldChar w:fldCharType="begin"/>
            </w:r>
            <w:r w:rsidR="00C9505E">
              <w:rPr>
                <w:color w:val="000000" w:themeColor="text1"/>
                <w:sz w:val="20"/>
                <w:szCs w:val="21"/>
              </w:rPr>
              <w:instrText xml:space="preserve"> ADDIN ZOTERO_ITEM CSL_CITATION {"citationID":"YSEdIsQU","properties":{"formattedCitation":"[23]","plainCitation":"[23]","noteIndex":0},"citationItems":[{"id":750,"uris":["http://zotero.org/users/local/389ubzLc/items/HWWV4Y32"],"itemData":{"id":750,"type":"article-journal","abstract":"Abstract\n            Plasmonic devices offer the possibility of passively detecting changes in local chemistry that opens up a wide range of applications from molecular sensing to monitoring water quality. Conventional plasmonics have previously shown great promise as nanoscale chemical sensors through detection of small variations in the local refractive index (RI). The motivation behind using plasmonics for these applications includes the fact that detection is entirely passive and the devices themselves can be readily miniaturized. Previously, a lack of any control over the output of these devices, has fundamentally limited their application to chemicals which produce clearly identifiable resonances within the range of d</w:instrText>
            </w:r>
            <w:r w:rsidR="00C9505E">
              <w:rPr>
                <w:rFonts w:hint="eastAsia"/>
                <w:color w:val="000000" w:themeColor="text1"/>
                <w:sz w:val="20"/>
                <w:szCs w:val="21"/>
              </w:rPr>
              <w:instrText>etection. Here it is demonstrated that microfluidic devices, incorporating polarization</w:instrText>
            </w:r>
            <w:r w:rsidR="00C9505E">
              <w:rPr>
                <w:rFonts w:hint="eastAsia"/>
                <w:color w:val="000000" w:themeColor="text1"/>
                <w:sz w:val="20"/>
                <w:szCs w:val="21"/>
              </w:rPr>
              <w:instrText>‐</w:instrText>
            </w:r>
            <w:r w:rsidR="00C9505E">
              <w:rPr>
                <w:rFonts w:hint="eastAsia"/>
                <w:color w:val="000000" w:themeColor="text1"/>
                <w:sz w:val="20"/>
                <w:szCs w:val="21"/>
              </w:rPr>
              <w:instrText>controlled plasmonic nanopixels, allow the device response to be tuned to the particular analyte of interest, anywhere within the visible spectrum. This dramatically i</w:instrText>
            </w:r>
            <w:r w:rsidR="00C9505E">
              <w:rPr>
                <w:color w:val="000000" w:themeColor="text1"/>
                <w:sz w:val="20"/>
                <w:szCs w:val="21"/>
              </w:rPr>
              <w:instrText>ncreases the effective dynamic range and allows local variations in RI to be perceived directly as color changes by the human eye. Active control over the output of the device also enables clear differentiation between a number of different analytes, pavi</w:instrText>
            </w:r>
            <w:r w:rsidR="00C9505E">
              <w:rPr>
                <w:rFonts w:hint="eastAsia"/>
                <w:color w:val="000000" w:themeColor="text1"/>
                <w:sz w:val="20"/>
                <w:szCs w:val="21"/>
              </w:rPr>
              <w:instrText>ng the way for plasmonics to be used for a wide range of real</w:instrText>
            </w:r>
            <w:r w:rsidR="00C9505E">
              <w:rPr>
                <w:rFonts w:hint="eastAsia"/>
                <w:color w:val="000000" w:themeColor="text1"/>
                <w:sz w:val="20"/>
                <w:szCs w:val="21"/>
              </w:rPr>
              <w:instrText>‐</w:instrText>
            </w:r>
            <w:r w:rsidR="00C9505E">
              <w:rPr>
                <w:rFonts w:hint="eastAsia"/>
                <w:color w:val="000000" w:themeColor="text1"/>
                <w:sz w:val="20"/>
                <w:szCs w:val="21"/>
              </w:rPr>
              <w:instrText>world chemical sensing applications.","container-title":"Advanced Functional Materials","DOI":"10.1002/adfm.201704842","ISSN":"1616-301X, 1616-3028","issue":"4","journalAbbreviation":"Adv Funct</w:instrText>
            </w:r>
            <w:r w:rsidR="00C9505E">
              <w:rPr>
                <w:color w:val="000000" w:themeColor="text1"/>
                <w:sz w:val="20"/>
                <w:szCs w:val="21"/>
              </w:rPr>
              <w:instrText xml:space="preserve"> Materials","language":"en","license":"http://creativecommons.org/licenses/by/4.0/","page":"1704842","source":"DOI.org (Crossref)","title":"Optical Chemical Barcoding Based on Polarization Controlled Plasmonic Nanopixels","volume":"28","author":[{"family":"Langley","given":"Daniel Peter"},{"family":"Balaur","given":"Eugeniu"},{"family":"Hwang","given":"Yongsop"},{"family":"Sadatnajafi","given":"Catherine"},{"family":"Abbey","given":"Brian"}],"issued":{"date-parts":[["2018",1]]}}}],"schema":"https://github.com/citation-style-language/schema/raw/master/csl-citation.json"} </w:instrText>
            </w:r>
            <w:r w:rsidRPr="00EE7674">
              <w:rPr>
                <w:color w:val="000000" w:themeColor="text1"/>
                <w:sz w:val="20"/>
                <w:szCs w:val="21"/>
              </w:rPr>
              <w:fldChar w:fldCharType="separate"/>
            </w:r>
            <w:r w:rsidR="00C9505E">
              <w:rPr>
                <w:color w:val="000000"/>
                <w:sz w:val="20"/>
                <w:szCs w:val="24"/>
              </w:rPr>
              <w:t>[23]</w:t>
            </w:r>
            <w:r w:rsidRPr="00EE7674">
              <w:rPr>
                <w:color w:val="000000" w:themeColor="text1"/>
                <w:sz w:val="20"/>
                <w:szCs w:val="21"/>
              </w:rPr>
              <w:fldChar w:fldCharType="end"/>
            </w:r>
          </w:p>
        </w:tc>
      </w:tr>
      <w:bookmarkEnd w:id="118"/>
      <w:bookmarkEnd w:id="119"/>
      <w:tr w:rsidR="00185390" w:rsidRPr="00EE7674" w14:paraId="690437BC" w14:textId="77777777" w:rsidTr="0075620E">
        <w:trPr>
          <w:trHeight w:val="23"/>
        </w:trPr>
        <w:tc>
          <w:tcPr>
            <w:cnfStyle w:val="001000000000" w:firstRow="0" w:lastRow="0" w:firstColumn="1" w:lastColumn="0" w:oddVBand="0" w:evenVBand="0" w:oddHBand="0" w:evenHBand="0" w:firstRowFirstColumn="0" w:firstRowLastColumn="0" w:lastRowFirstColumn="0" w:lastRowLastColumn="0"/>
            <w:tcW w:w="0" w:type="dxa"/>
            <w:tcBorders>
              <w:top w:val="nil"/>
              <w:bottom w:val="nil"/>
            </w:tcBorders>
            <w:shd w:val="clear" w:color="auto" w:fill="FFFFFF"/>
            <w:vAlign w:val="center"/>
          </w:tcPr>
          <w:p w14:paraId="163B7EEB" w14:textId="77777777" w:rsidR="00185390" w:rsidRPr="00EE7674" w:rsidRDefault="00185390" w:rsidP="0075620E">
            <w:pPr>
              <w:jc w:val="center"/>
              <w:rPr>
                <w:color w:val="000000" w:themeColor="text1"/>
                <w:sz w:val="20"/>
                <w:szCs w:val="21"/>
              </w:rPr>
            </w:pPr>
            <w:r w:rsidRPr="00EE7674">
              <w:rPr>
                <w:color w:val="000000" w:themeColor="text1"/>
                <w:sz w:val="20"/>
                <w:szCs w:val="21"/>
              </w:rPr>
              <w:t>3</w:t>
            </w:r>
          </w:p>
        </w:tc>
        <w:tc>
          <w:tcPr>
            <w:tcW w:w="0" w:type="dxa"/>
            <w:tcBorders>
              <w:top w:val="nil"/>
              <w:bottom w:val="nil"/>
            </w:tcBorders>
            <w:shd w:val="clear" w:color="auto" w:fill="FFFFFF"/>
            <w:vAlign w:val="center"/>
          </w:tcPr>
          <w:p w14:paraId="0380B486"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2019</w:t>
            </w:r>
          </w:p>
        </w:tc>
        <w:tc>
          <w:tcPr>
            <w:tcW w:w="0" w:type="dxa"/>
            <w:tcBorders>
              <w:top w:val="nil"/>
              <w:bottom w:val="nil"/>
            </w:tcBorders>
            <w:shd w:val="clear" w:color="auto" w:fill="FFFFFF"/>
            <w:vAlign w:val="center"/>
          </w:tcPr>
          <w:p w14:paraId="7B9A202A"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Nanocomposite arrays</w:t>
            </w:r>
          </w:p>
        </w:tc>
        <w:tc>
          <w:tcPr>
            <w:tcW w:w="0" w:type="dxa"/>
            <w:tcBorders>
              <w:top w:val="nil"/>
              <w:bottom w:val="nil"/>
            </w:tcBorders>
            <w:shd w:val="clear" w:color="auto" w:fill="FFFFFF"/>
            <w:vAlign w:val="center"/>
          </w:tcPr>
          <w:p w14:paraId="62D0E0E5"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Au, Ag</w:t>
            </w:r>
          </w:p>
        </w:tc>
        <w:tc>
          <w:tcPr>
            <w:tcW w:w="0" w:type="dxa"/>
            <w:tcBorders>
              <w:top w:val="nil"/>
              <w:bottom w:val="nil"/>
            </w:tcBorders>
            <w:shd w:val="clear" w:color="auto" w:fill="FFFFFF"/>
            <w:vAlign w:val="center"/>
          </w:tcPr>
          <w:p w14:paraId="025091C7"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674</w:t>
            </w:r>
          </w:p>
        </w:tc>
        <w:tc>
          <w:tcPr>
            <w:tcW w:w="0" w:type="dxa"/>
            <w:tcBorders>
              <w:top w:val="nil"/>
              <w:bottom w:val="nil"/>
            </w:tcBorders>
            <w:shd w:val="clear" w:color="auto" w:fill="FFFFFF"/>
            <w:vAlign w:val="center"/>
          </w:tcPr>
          <w:p w14:paraId="67F537F0"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322</w:t>
            </w:r>
          </w:p>
        </w:tc>
        <w:tc>
          <w:tcPr>
            <w:tcW w:w="0" w:type="dxa"/>
            <w:tcBorders>
              <w:top w:val="nil"/>
              <w:bottom w:val="nil"/>
            </w:tcBorders>
            <w:shd w:val="clear" w:color="auto" w:fill="FFFFFF"/>
            <w:vAlign w:val="center"/>
          </w:tcPr>
          <w:p w14:paraId="456FD851"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10.07</w:t>
            </w:r>
          </w:p>
        </w:tc>
        <w:tc>
          <w:tcPr>
            <w:tcW w:w="0" w:type="dxa"/>
            <w:tcBorders>
              <w:top w:val="nil"/>
              <w:bottom w:val="nil"/>
            </w:tcBorders>
            <w:shd w:val="clear" w:color="auto" w:fill="FFFFFF"/>
            <w:vAlign w:val="center"/>
          </w:tcPr>
          <w:p w14:paraId="6ECA7C01" w14:textId="005B79A5"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fldChar w:fldCharType="begin"/>
            </w:r>
            <w:r w:rsidR="00C9505E">
              <w:rPr>
                <w:color w:val="000000" w:themeColor="text1"/>
                <w:sz w:val="20"/>
                <w:szCs w:val="21"/>
              </w:rPr>
              <w:instrText xml:space="preserve"> ADDIN ZOTERO_ITEM CSL_CITATION {"citationID":"CwOGgdTN","properties":{"formattedCitation":"[24]","plainCitation":"[24]","noteIndex":0},"citationItems":[{"id":752,"uris":["http://zotero.org/users/local/389ubzLc/items/3L2AX6PQ"],"itemData":{"id":752,"type":"article-journal","container-title":"Plasmonics","DOI":"10.1007/s11468-019-01046-0","ISSN":"1557-1955, 1557-1963","issue":"2","journalAbbreviation":"Plasmonics","language":"en","page":"441-447","source":"DOI.org (Crossref)","title":"Hybrid Dielectric-Plasmonic Nanocomposite Arrays for Bulk and Local Refractive Index Sensing","volume":"15","author":[{"family":"Pinapati","given":"Praveenkumar"},{"family":"Cherukulappurath","given":"Sudhir"}],"issued":{"date-parts":[["2020",4]]}}}],"schema":"https://github.com/citation-style-language/schema/raw/master/csl-citation.json"} </w:instrText>
            </w:r>
            <w:r w:rsidRPr="00EE7674">
              <w:rPr>
                <w:color w:val="000000" w:themeColor="text1"/>
                <w:sz w:val="20"/>
                <w:szCs w:val="21"/>
              </w:rPr>
              <w:fldChar w:fldCharType="separate"/>
            </w:r>
            <w:r w:rsidR="00C9505E">
              <w:rPr>
                <w:color w:val="000000"/>
                <w:sz w:val="20"/>
                <w:szCs w:val="24"/>
              </w:rPr>
              <w:t>[24]</w:t>
            </w:r>
            <w:r w:rsidRPr="00EE7674">
              <w:rPr>
                <w:color w:val="000000" w:themeColor="text1"/>
                <w:sz w:val="20"/>
                <w:szCs w:val="21"/>
              </w:rPr>
              <w:fldChar w:fldCharType="end"/>
            </w:r>
          </w:p>
        </w:tc>
      </w:tr>
      <w:tr w:rsidR="00185390" w:rsidRPr="00EE7674" w14:paraId="7F6A3A47" w14:textId="77777777" w:rsidTr="0075620E">
        <w:trPr>
          <w:trHeight w:val="23"/>
        </w:trPr>
        <w:tc>
          <w:tcPr>
            <w:cnfStyle w:val="001000000000" w:firstRow="0" w:lastRow="0" w:firstColumn="1" w:lastColumn="0" w:oddVBand="0" w:evenVBand="0" w:oddHBand="0" w:evenHBand="0" w:firstRowFirstColumn="0" w:firstRowLastColumn="0" w:lastRowFirstColumn="0" w:lastRowLastColumn="0"/>
            <w:tcW w:w="0" w:type="dxa"/>
            <w:tcBorders>
              <w:top w:val="nil"/>
              <w:bottom w:val="nil"/>
            </w:tcBorders>
            <w:shd w:val="clear" w:color="auto" w:fill="FFFFFF"/>
            <w:vAlign w:val="center"/>
          </w:tcPr>
          <w:p w14:paraId="61DB0D6C" w14:textId="77777777" w:rsidR="00185390" w:rsidRPr="00EE7674" w:rsidRDefault="00185390" w:rsidP="0075620E">
            <w:pPr>
              <w:jc w:val="center"/>
              <w:rPr>
                <w:color w:val="000000" w:themeColor="text1"/>
                <w:sz w:val="20"/>
                <w:szCs w:val="21"/>
                <w:shd w:val="clear" w:color="auto" w:fill="FFFFFF"/>
              </w:rPr>
            </w:pPr>
            <w:r w:rsidRPr="00EE7674">
              <w:rPr>
                <w:color w:val="000000" w:themeColor="text1"/>
                <w:sz w:val="20"/>
                <w:szCs w:val="21"/>
                <w:shd w:val="clear" w:color="auto" w:fill="FFFFFF"/>
              </w:rPr>
              <w:t>4</w:t>
            </w:r>
          </w:p>
        </w:tc>
        <w:tc>
          <w:tcPr>
            <w:tcW w:w="0" w:type="dxa"/>
            <w:tcBorders>
              <w:top w:val="nil"/>
              <w:bottom w:val="nil"/>
            </w:tcBorders>
            <w:shd w:val="clear" w:color="auto" w:fill="FFFFFF"/>
            <w:vAlign w:val="center"/>
          </w:tcPr>
          <w:p w14:paraId="2B9ED82E"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shd w:val="clear" w:color="auto" w:fill="FFFFFF"/>
              </w:rPr>
              <w:t>2021</w:t>
            </w:r>
          </w:p>
        </w:tc>
        <w:tc>
          <w:tcPr>
            <w:tcW w:w="0" w:type="dxa"/>
            <w:tcBorders>
              <w:top w:val="nil"/>
              <w:bottom w:val="nil"/>
            </w:tcBorders>
            <w:shd w:val="clear" w:color="auto" w:fill="FFFFFF"/>
            <w:vAlign w:val="center"/>
          </w:tcPr>
          <w:p w14:paraId="07D81E6D"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shd w:val="clear" w:color="auto" w:fill="FFFFFF"/>
              </w:rPr>
              <w:t>Periodic iso-Y NPs</w:t>
            </w:r>
          </w:p>
        </w:tc>
        <w:tc>
          <w:tcPr>
            <w:tcW w:w="0" w:type="dxa"/>
            <w:tcBorders>
              <w:top w:val="nil"/>
              <w:bottom w:val="nil"/>
            </w:tcBorders>
            <w:shd w:val="clear" w:color="auto" w:fill="FFFFFF"/>
            <w:vAlign w:val="center"/>
          </w:tcPr>
          <w:p w14:paraId="0913FA8B"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Au</w:t>
            </w:r>
          </w:p>
        </w:tc>
        <w:tc>
          <w:tcPr>
            <w:tcW w:w="0" w:type="dxa"/>
            <w:tcBorders>
              <w:top w:val="nil"/>
              <w:bottom w:val="nil"/>
            </w:tcBorders>
            <w:shd w:val="clear" w:color="auto" w:fill="FFFFFF"/>
            <w:vAlign w:val="center"/>
          </w:tcPr>
          <w:p w14:paraId="5E7F49C9"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825-975</w:t>
            </w:r>
          </w:p>
        </w:tc>
        <w:tc>
          <w:tcPr>
            <w:tcW w:w="0" w:type="dxa"/>
            <w:tcBorders>
              <w:top w:val="nil"/>
              <w:bottom w:val="nil"/>
            </w:tcBorders>
            <w:shd w:val="clear" w:color="auto" w:fill="FFFFFF"/>
            <w:vAlign w:val="center"/>
          </w:tcPr>
          <w:p w14:paraId="543E9310"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shd w:val="clear" w:color="auto" w:fill="FFFFFF"/>
              </w:rPr>
              <w:t xml:space="preserve">428 </w:t>
            </w:r>
          </w:p>
        </w:tc>
        <w:tc>
          <w:tcPr>
            <w:tcW w:w="0" w:type="dxa"/>
            <w:tcBorders>
              <w:top w:val="nil"/>
              <w:bottom w:val="nil"/>
            </w:tcBorders>
            <w:shd w:val="clear" w:color="auto" w:fill="FFFFFF"/>
            <w:vAlign w:val="center"/>
          </w:tcPr>
          <w:p w14:paraId="7F9CADFE"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1.90</w:t>
            </w:r>
          </w:p>
        </w:tc>
        <w:tc>
          <w:tcPr>
            <w:tcW w:w="0" w:type="dxa"/>
            <w:tcBorders>
              <w:top w:val="nil"/>
              <w:bottom w:val="nil"/>
            </w:tcBorders>
            <w:shd w:val="clear" w:color="auto" w:fill="FFFFFF"/>
            <w:vAlign w:val="center"/>
          </w:tcPr>
          <w:p w14:paraId="38CBD9AB" w14:textId="0A55910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fldChar w:fldCharType="begin"/>
            </w:r>
            <w:r w:rsidR="00C9505E">
              <w:rPr>
                <w:color w:val="000000" w:themeColor="text1"/>
                <w:sz w:val="20"/>
                <w:szCs w:val="21"/>
              </w:rPr>
              <w:instrText xml:space="preserve"> ADDIN ZOTERO_ITEM CSL_CITATION {"citationID":"oULvOPVP","properties":{"formattedCitation":"[25]","plainCitation":"[25]","noteIndex":0},"citationItems":[{"id":735,"uris":["http://zotero.org/users/local/389ubzLc/items/IRXJKW6P"],"itemData":{"id":735,"type":"article-journal","abstract":"A label-free sensitive and specific LSPR immunosensor for imidacloprid detection based on a 2D nanostructured metasurface.\n          , \n            \n              Imidacloprid is the most widely used insecticide in agriculture and its intensive use over the last 30 years has caused a global concern due to its potentially toxic effects on the ecosystem. Considering the recent scientific interest in novel simple methods for imidacloprid analysis, we propose a label-free sensitive and specific localised surface plasmon resonance system for the detection of the insecticide based on 2D nanostructured metasurfaces with highly performing plasmonic properties. The specificity of the sensor proposed was achieved by covalent bio-functionalization of the metasurface using a smart and easy one-step procedure mediated by carbon disulphide. The biosensor produced was tested using a set of imidacloprid standard solutions showing a competitive limit of detection, lower than 1 ng mL\n              −1\n              . Our novel nanosensing configuration represents a valid and reliable solution to realize low-cost portable POC tests as an alternative to the laborious and expensive methods traditionally used for insecticide detection.","container-title":"Journal of Materials Chemistry B","DOI":"10.1039/D1TB01344K","ISSN":"2050-750X, 2050-7518","issue":"44","journalAbbreviation":"J. Mater. Chem. B","language":"en","page":"9153-9161","source":"DOI.org (Crossref)","title":"LSPR immuno-sensing based on iso-Y nanopillars for highly sensitive and specific imidacloprid detection","volume":"9","author":[{"family":"Vestri","given":"Ambra"},{"family":"Rippa","given":"Massimo"},{"family":"Marchesano","given":"Valentina"},{"family":"Sagnelli","given":"Domenico"},{"family":"Margheri","given":"Giancarlo"},{"family":"Zhou","given":"Jun"},{"family":"Petti","given":"Lucia"}],"issued":{"date-parts":[["2021"]]}}}],"schema":"https://github.com/citation-style-language/schema/raw/master/csl-citation.json"} </w:instrText>
            </w:r>
            <w:r w:rsidRPr="00EE7674">
              <w:rPr>
                <w:color w:val="000000" w:themeColor="text1"/>
                <w:sz w:val="20"/>
                <w:szCs w:val="21"/>
              </w:rPr>
              <w:fldChar w:fldCharType="separate"/>
            </w:r>
            <w:r w:rsidR="00C9505E">
              <w:rPr>
                <w:color w:val="000000"/>
                <w:sz w:val="20"/>
                <w:szCs w:val="24"/>
              </w:rPr>
              <w:t>[25]</w:t>
            </w:r>
            <w:r w:rsidRPr="00EE7674">
              <w:rPr>
                <w:color w:val="000000" w:themeColor="text1"/>
                <w:sz w:val="20"/>
                <w:szCs w:val="21"/>
              </w:rPr>
              <w:fldChar w:fldCharType="end"/>
            </w:r>
          </w:p>
        </w:tc>
      </w:tr>
      <w:tr w:rsidR="00185390" w:rsidRPr="00EE7674" w14:paraId="44A356F3" w14:textId="77777777" w:rsidTr="0075620E">
        <w:trPr>
          <w:trHeight w:val="23"/>
        </w:trPr>
        <w:tc>
          <w:tcPr>
            <w:cnfStyle w:val="001000000000" w:firstRow="0" w:lastRow="0" w:firstColumn="1" w:lastColumn="0" w:oddVBand="0" w:evenVBand="0" w:oddHBand="0" w:evenHBand="0" w:firstRowFirstColumn="0" w:firstRowLastColumn="0" w:lastRowFirstColumn="0" w:lastRowLastColumn="0"/>
            <w:tcW w:w="0" w:type="dxa"/>
            <w:tcBorders>
              <w:top w:val="nil"/>
              <w:bottom w:val="nil"/>
            </w:tcBorders>
            <w:shd w:val="clear" w:color="auto" w:fill="FFFFFF"/>
            <w:vAlign w:val="center"/>
          </w:tcPr>
          <w:p w14:paraId="294AA8BC" w14:textId="77777777" w:rsidR="00185390" w:rsidRPr="00EE7674" w:rsidRDefault="00185390" w:rsidP="0075620E">
            <w:pPr>
              <w:jc w:val="center"/>
              <w:rPr>
                <w:color w:val="000000" w:themeColor="text1"/>
                <w:sz w:val="20"/>
                <w:szCs w:val="21"/>
                <w:shd w:val="clear" w:color="auto" w:fill="FFFFFF"/>
              </w:rPr>
            </w:pPr>
            <w:r w:rsidRPr="00EE7674">
              <w:rPr>
                <w:color w:val="000000" w:themeColor="text1"/>
                <w:sz w:val="20"/>
                <w:szCs w:val="21"/>
                <w:shd w:val="clear" w:color="auto" w:fill="FFFFFF"/>
              </w:rPr>
              <w:t>5</w:t>
            </w:r>
          </w:p>
        </w:tc>
        <w:tc>
          <w:tcPr>
            <w:tcW w:w="0" w:type="dxa"/>
            <w:tcBorders>
              <w:top w:val="nil"/>
              <w:bottom w:val="nil"/>
            </w:tcBorders>
            <w:shd w:val="clear" w:color="auto" w:fill="FFFFFF"/>
            <w:vAlign w:val="center"/>
          </w:tcPr>
          <w:p w14:paraId="30380033"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2021</w:t>
            </w:r>
          </w:p>
        </w:tc>
        <w:tc>
          <w:tcPr>
            <w:tcW w:w="0" w:type="dxa"/>
            <w:tcBorders>
              <w:top w:val="nil"/>
              <w:bottom w:val="nil"/>
            </w:tcBorders>
            <w:shd w:val="clear" w:color="auto" w:fill="FFFFFF"/>
            <w:vAlign w:val="center"/>
          </w:tcPr>
          <w:p w14:paraId="6F6C7E70"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Mono-metallic nanocup arrays</w:t>
            </w:r>
          </w:p>
        </w:tc>
        <w:tc>
          <w:tcPr>
            <w:tcW w:w="0" w:type="dxa"/>
            <w:tcBorders>
              <w:top w:val="nil"/>
              <w:bottom w:val="nil"/>
            </w:tcBorders>
            <w:shd w:val="clear" w:color="auto" w:fill="FFFFFF"/>
            <w:vAlign w:val="center"/>
          </w:tcPr>
          <w:p w14:paraId="303B8DB1"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Au, Ag</w:t>
            </w:r>
          </w:p>
        </w:tc>
        <w:tc>
          <w:tcPr>
            <w:tcW w:w="0" w:type="dxa"/>
            <w:tcBorders>
              <w:top w:val="nil"/>
              <w:bottom w:val="nil"/>
            </w:tcBorders>
            <w:shd w:val="clear" w:color="auto" w:fill="FFFFFF"/>
            <w:vAlign w:val="center"/>
          </w:tcPr>
          <w:p w14:paraId="77B794A4"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691</w:t>
            </w:r>
          </w:p>
        </w:tc>
        <w:tc>
          <w:tcPr>
            <w:tcW w:w="0" w:type="dxa"/>
            <w:tcBorders>
              <w:top w:val="nil"/>
              <w:bottom w:val="nil"/>
            </w:tcBorders>
            <w:shd w:val="clear" w:color="auto" w:fill="FFFFFF"/>
            <w:vAlign w:val="center"/>
          </w:tcPr>
          <w:p w14:paraId="58CE5382"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387</w:t>
            </w:r>
          </w:p>
        </w:tc>
        <w:tc>
          <w:tcPr>
            <w:tcW w:w="0" w:type="dxa"/>
            <w:tcBorders>
              <w:top w:val="nil"/>
              <w:bottom w:val="nil"/>
            </w:tcBorders>
            <w:shd w:val="clear" w:color="auto" w:fill="FFFFFF"/>
            <w:vAlign w:val="center"/>
          </w:tcPr>
          <w:p w14:paraId="7E668CB2"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w:t>
            </w:r>
          </w:p>
        </w:tc>
        <w:tc>
          <w:tcPr>
            <w:tcW w:w="0" w:type="dxa"/>
            <w:tcBorders>
              <w:top w:val="nil"/>
              <w:bottom w:val="nil"/>
            </w:tcBorders>
            <w:shd w:val="clear" w:color="auto" w:fill="FFFFFF"/>
            <w:vAlign w:val="center"/>
          </w:tcPr>
          <w:p w14:paraId="3F308D23" w14:textId="5AE449D8"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fldChar w:fldCharType="begin"/>
            </w:r>
            <w:r w:rsidR="00C9505E">
              <w:rPr>
                <w:color w:val="000000" w:themeColor="text1"/>
                <w:sz w:val="20"/>
                <w:szCs w:val="21"/>
              </w:rPr>
              <w:instrText xml:space="preserve"> ADDIN ZOTERO_ITEM CSL_CITATION {"citationID":"KVf2cJSP","properties":{"formattedCitation":"[26]","plainCitation":"[26]","noteIndex":0},"citationItems":[{"id":753,"uris":["http://zotero.org/users/local/389ubzLc/items/UF4DD43X"],"itemData":{"id":753,"type":"article-journal","abstract":"Alloy nanostructures unveil extraordinary plasmonic phenomena that supersede the mono-metallic counterparts. Here we report silver-gold (Ag-Au) alloy nanohole arrays (α-NHA) for ultra-sensitive plasmonic label-free detection of\n              Escherichia Coli\n              (\n              E. coli\n              ). Large-area α-NHA were fabricated by using nanoimprint lithography and concurrent thermal evaporation of Ag and Au. The completely miscible Ag-Au alloy exhibits an entirely different dielectric function in the near infra-red wavelength range compared to mono-metallic Ag or Au. The α-NHA demonstrate substantially enhanced refractive index sensitivity of 387 nm/RIU, surpassing those of Ag or Au mono-metallic nanohole arrays by approximately 40%. Moreover, the α-NHA provide highly durable material stability to corrosion and oxidation during over one-month observation. The ultra-sensitive α-NHA allow the label-free detection of\n              E. coli\n              in various concentration levels ranging from 10\n              3\n              to 10\n              8\n              cfu/\n              ml\n              with a calculated limit of detection of 59 cfu/\n              ml\n              . This novel alloy plasmonic material provides a new outlook for widely applicable biosensing and bio-medical applications.","container-title":"Biomedical Optics Express","DOI":"10.1364/BOE.420828","ISSN":"2156-7085, 2156-7085","issue":"5","journalAbbreviation":"Biomed. Opt. Express","language":"en","page":"2734","source":"DOI.org (Crossref)","title":"Extraordinary sensitivity enhancement of Ag-Au alloy nanohole arrays for label-free detection of Escherichia Coli","volume":"12","author":[{"family":"Hwang","given":"Charles Soon Hong"},{"family":"Ahn","given":"Myeong-su"},{"family":"Jeong","given":"Ki-Hun"}],"issued":{"date-parts":[["2021",5,1]]}}}],"schema":"https://github.com/citation-style-language/schema/raw/master/csl-citation.json"} </w:instrText>
            </w:r>
            <w:r w:rsidRPr="00EE7674">
              <w:rPr>
                <w:color w:val="000000" w:themeColor="text1"/>
                <w:sz w:val="20"/>
                <w:szCs w:val="21"/>
              </w:rPr>
              <w:fldChar w:fldCharType="separate"/>
            </w:r>
            <w:r w:rsidR="00C9505E">
              <w:rPr>
                <w:color w:val="000000"/>
                <w:sz w:val="20"/>
                <w:szCs w:val="24"/>
              </w:rPr>
              <w:t>[26]</w:t>
            </w:r>
            <w:r w:rsidRPr="00EE7674">
              <w:rPr>
                <w:color w:val="000000" w:themeColor="text1"/>
                <w:sz w:val="20"/>
                <w:szCs w:val="21"/>
              </w:rPr>
              <w:fldChar w:fldCharType="end"/>
            </w:r>
          </w:p>
        </w:tc>
      </w:tr>
      <w:tr w:rsidR="00185390" w:rsidRPr="00EE7674" w14:paraId="09B4F93F" w14:textId="77777777" w:rsidTr="0075620E">
        <w:trPr>
          <w:trHeight w:val="23"/>
        </w:trPr>
        <w:tc>
          <w:tcPr>
            <w:cnfStyle w:val="001000000000" w:firstRow="0" w:lastRow="0" w:firstColumn="1" w:lastColumn="0" w:oddVBand="0" w:evenVBand="0" w:oddHBand="0" w:evenHBand="0" w:firstRowFirstColumn="0" w:firstRowLastColumn="0" w:lastRowFirstColumn="0" w:lastRowLastColumn="0"/>
            <w:tcW w:w="0" w:type="dxa"/>
            <w:tcBorders>
              <w:top w:val="nil"/>
              <w:bottom w:val="nil"/>
            </w:tcBorders>
            <w:shd w:val="clear" w:color="auto" w:fill="FFFFFF"/>
            <w:vAlign w:val="center"/>
          </w:tcPr>
          <w:p w14:paraId="494B7CF2" w14:textId="77777777" w:rsidR="00185390" w:rsidRPr="00EE7674" w:rsidRDefault="00185390" w:rsidP="0075620E">
            <w:pPr>
              <w:jc w:val="center"/>
              <w:rPr>
                <w:color w:val="000000" w:themeColor="text1"/>
                <w:sz w:val="20"/>
                <w:szCs w:val="21"/>
              </w:rPr>
            </w:pPr>
            <w:r w:rsidRPr="00EE7674">
              <w:rPr>
                <w:color w:val="000000" w:themeColor="text1"/>
                <w:sz w:val="20"/>
                <w:szCs w:val="21"/>
              </w:rPr>
              <w:t>6</w:t>
            </w:r>
          </w:p>
        </w:tc>
        <w:tc>
          <w:tcPr>
            <w:tcW w:w="0" w:type="dxa"/>
            <w:tcBorders>
              <w:top w:val="nil"/>
              <w:bottom w:val="nil"/>
            </w:tcBorders>
            <w:shd w:val="clear" w:color="auto" w:fill="FFFFFF"/>
            <w:vAlign w:val="center"/>
          </w:tcPr>
          <w:p w14:paraId="7005337E"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2023</w:t>
            </w:r>
          </w:p>
        </w:tc>
        <w:tc>
          <w:tcPr>
            <w:tcW w:w="0" w:type="dxa"/>
            <w:tcBorders>
              <w:top w:val="nil"/>
              <w:bottom w:val="nil"/>
            </w:tcBorders>
            <w:shd w:val="clear" w:color="auto" w:fill="FFFFFF"/>
            <w:vAlign w:val="center"/>
          </w:tcPr>
          <w:p w14:paraId="129551FA"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Nanocup arrays</w:t>
            </w:r>
          </w:p>
        </w:tc>
        <w:tc>
          <w:tcPr>
            <w:tcW w:w="0" w:type="dxa"/>
            <w:tcBorders>
              <w:top w:val="nil"/>
              <w:bottom w:val="nil"/>
            </w:tcBorders>
            <w:shd w:val="clear" w:color="auto" w:fill="FFFFFF"/>
            <w:vAlign w:val="center"/>
          </w:tcPr>
          <w:p w14:paraId="05769833"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Ti,Au,Ag</w:t>
            </w:r>
          </w:p>
        </w:tc>
        <w:tc>
          <w:tcPr>
            <w:tcW w:w="0" w:type="dxa"/>
            <w:tcBorders>
              <w:top w:val="nil"/>
              <w:bottom w:val="nil"/>
            </w:tcBorders>
            <w:shd w:val="clear" w:color="auto" w:fill="FFFFFF"/>
            <w:vAlign w:val="center"/>
          </w:tcPr>
          <w:p w14:paraId="31B98EBB"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400-800</w:t>
            </w:r>
          </w:p>
        </w:tc>
        <w:tc>
          <w:tcPr>
            <w:tcW w:w="0" w:type="dxa"/>
            <w:tcBorders>
              <w:top w:val="nil"/>
              <w:bottom w:val="nil"/>
            </w:tcBorders>
            <w:shd w:val="clear" w:color="auto" w:fill="FFFFFF"/>
            <w:vAlign w:val="center"/>
          </w:tcPr>
          <w:p w14:paraId="36A56A3C"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759.5</w:t>
            </w:r>
          </w:p>
        </w:tc>
        <w:tc>
          <w:tcPr>
            <w:tcW w:w="0" w:type="dxa"/>
            <w:tcBorders>
              <w:top w:val="nil"/>
              <w:bottom w:val="nil"/>
            </w:tcBorders>
            <w:shd w:val="clear" w:color="auto" w:fill="FFFFFF"/>
            <w:vAlign w:val="center"/>
          </w:tcPr>
          <w:p w14:paraId="02E95286"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22.01</w:t>
            </w:r>
          </w:p>
        </w:tc>
        <w:tc>
          <w:tcPr>
            <w:tcW w:w="0" w:type="dxa"/>
            <w:tcBorders>
              <w:top w:val="nil"/>
              <w:bottom w:val="nil"/>
            </w:tcBorders>
            <w:shd w:val="clear" w:color="auto" w:fill="FFFFFF"/>
            <w:vAlign w:val="center"/>
          </w:tcPr>
          <w:p w14:paraId="4C0F802C" w14:textId="75CB1055"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fldChar w:fldCharType="begin"/>
            </w:r>
            <w:r w:rsidR="00C9505E">
              <w:rPr>
                <w:color w:val="000000" w:themeColor="text1"/>
                <w:sz w:val="20"/>
                <w:szCs w:val="21"/>
              </w:rPr>
              <w:instrText xml:space="preserve"> ADDIN ZOTERO_ITEM CSL_CITATION {"citationID":"dT0vPbPP","properties":{"formattedCitation":"[27]","plainCitation":"[27]","noteIndex":0},"citationItems":[{"id":1031,"uris":["http://zotero.org/users/local/389ubzLc/items/2PPBVNBX"],"itemData":{"id":1031,"typ</w:instrText>
            </w:r>
            <w:r w:rsidR="00C9505E">
              <w:rPr>
                <w:rFonts w:hint="eastAsia"/>
                <w:color w:val="000000" w:themeColor="text1"/>
                <w:sz w:val="20"/>
                <w:szCs w:val="21"/>
              </w:rPr>
              <w:instrText>e":"article-journal","abstract":"Abstract\n            A robust serological test is required to detect neutralizing antibodies (NAbs) against severe acute respiratory syndrome coronavirus 2 (SARS</w:instrText>
            </w:r>
            <w:r w:rsidR="00C9505E">
              <w:rPr>
                <w:rFonts w:hint="eastAsia"/>
                <w:color w:val="000000" w:themeColor="text1"/>
                <w:sz w:val="20"/>
                <w:szCs w:val="21"/>
              </w:rPr>
              <w:instrText>‐</w:instrText>
            </w:r>
            <w:r w:rsidR="00C9505E">
              <w:rPr>
                <w:rFonts w:hint="eastAsia"/>
                <w:color w:val="000000" w:themeColor="text1"/>
                <w:sz w:val="20"/>
                <w:szCs w:val="21"/>
              </w:rPr>
              <w:instrText>CoV</w:instrText>
            </w:r>
            <w:r w:rsidR="00C9505E">
              <w:rPr>
                <w:rFonts w:hint="eastAsia"/>
                <w:color w:val="000000" w:themeColor="text1"/>
                <w:sz w:val="20"/>
                <w:szCs w:val="21"/>
              </w:rPr>
              <w:instrText>‐</w:instrText>
            </w:r>
            <w:r w:rsidR="00C9505E">
              <w:rPr>
                <w:rFonts w:hint="eastAsia"/>
                <w:color w:val="000000" w:themeColor="text1"/>
                <w:sz w:val="20"/>
                <w:szCs w:val="21"/>
              </w:rPr>
              <w:instrText>2). A nanomaterial</w:instrText>
            </w:r>
            <w:r w:rsidR="00C9505E">
              <w:rPr>
                <w:rFonts w:hint="eastAsia"/>
                <w:color w:val="000000" w:themeColor="text1"/>
                <w:sz w:val="20"/>
                <w:szCs w:val="21"/>
              </w:rPr>
              <w:instrText>‐</w:instrText>
            </w:r>
            <w:r w:rsidR="00C9505E">
              <w:rPr>
                <w:rFonts w:hint="eastAsia"/>
                <w:color w:val="000000" w:themeColor="text1"/>
                <w:sz w:val="20"/>
                <w:szCs w:val="21"/>
              </w:rPr>
              <w:instrText>coupled metasurface plasmon resonance (MetaSPR) biosensor is developed for rapid multiplexing quantitative tests of the half maximal inhibitory concentration (IC50) value of SARS</w:instrText>
            </w:r>
            <w:r w:rsidR="00C9505E">
              <w:rPr>
                <w:rFonts w:hint="eastAsia"/>
                <w:color w:val="000000" w:themeColor="text1"/>
                <w:sz w:val="20"/>
                <w:szCs w:val="21"/>
              </w:rPr>
              <w:instrText>‐</w:instrText>
            </w:r>
            <w:r w:rsidR="00C9505E">
              <w:rPr>
                <w:rFonts w:hint="eastAsia"/>
                <w:color w:val="000000" w:themeColor="text1"/>
                <w:sz w:val="20"/>
                <w:szCs w:val="21"/>
              </w:rPr>
              <w:instrText>CoV</w:instrText>
            </w:r>
            <w:r w:rsidR="00C9505E">
              <w:rPr>
                <w:rFonts w:hint="eastAsia"/>
                <w:color w:val="000000" w:themeColor="text1"/>
                <w:sz w:val="20"/>
                <w:szCs w:val="21"/>
              </w:rPr>
              <w:instrText>‐</w:instrText>
            </w:r>
            <w:r w:rsidR="00C9505E">
              <w:rPr>
                <w:rFonts w:hint="eastAsia"/>
                <w:color w:val="000000" w:themeColor="text1"/>
                <w:sz w:val="20"/>
                <w:szCs w:val="21"/>
              </w:rPr>
              <w:instrText>2 NAbs in human sera. This biosensor is applied to a MetaSPR competitive or surrogate virus neutralization test (MSPR VNT) used for quantifying NAb</w:instrText>
            </w:r>
            <w:r w:rsidR="00C9505E">
              <w:rPr>
                <w:rFonts w:hint="eastAsia"/>
                <w:color w:val="000000" w:themeColor="text1"/>
                <w:sz w:val="20"/>
                <w:szCs w:val="21"/>
              </w:rPr>
              <w:instrText>‐</w:instrText>
            </w:r>
            <w:r w:rsidR="00C9505E">
              <w:rPr>
                <w:rFonts w:hint="eastAsia"/>
                <w:color w:val="000000" w:themeColor="text1"/>
                <w:sz w:val="20"/>
                <w:szCs w:val="21"/>
              </w:rPr>
              <w:instrText>mediated blockage of the interaction between the human angiotensin</w:instrText>
            </w:r>
            <w:r w:rsidR="00C9505E">
              <w:rPr>
                <w:rFonts w:hint="eastAsia"/>
                <w:color w:val="000000" w:themeColor="text1"/>
                <w:sz w:val="20"/>
                <w:szCs w:val="21"/>
              </w:rPr>
              <w:instrText>‐</w:instrText>
            </w:r>
            <w:r w:rsidR="00C9505E">
              <w:rPr>
                <w:rFonts w:hint="eastAsia"/>
                <w:color w:val="000000" w:themeColor="text1"/>
                <w:sz w:val="20"/>
                <w:szCs w:val="21"/>
              </w:rPr>
              <w:instrText>converting enzyme 2 (hACE2) receptor and the receptor</w:instrText>
            </w:r>
            <w:r w:rsidR="00C9505E">
              <w:rPr>
                <w:rFonts w:hint="eastAsia"/>
                <w:color w:val="000000" w:themeColor="text1"/>
                <w:sz w:val="20"/>
                <w:szCs w:val="21"/>
              </w:rPr>
              <w:instrText>‐</w:instrText>
            </w:r>
            <w:r w:rsidR="00C9505E">
              <w:rPr>
                <w:rFonts w:hint="eastAsia"/>
                <w:color w:val="000000" w:themeColor="text1"/>
                <w:sz w:val="20"/>
                <w:szCs w:val="21"/>
              </w:rPr>
              <w:instrText>binding domain (RBD) of the SARS</w:instrText>
            </w:r>
            <w:r w:rsidR="00C9505E">
              <w:rPr>
                <w:rFonts w:hint="eastAsia"/>
                <w:color w:val="000000" w:themeColor="text1"/>
                <w:sz w:val="20"/>
                <w:szCs w:val="21"/>
              </w:rPr>
              <w:instrText>‐</w:instrText>
            </w:r>
            <w:r w:rsidR="00C9505E">
              <w:rPr>
                <w:rFonts w:hint="eastAsia"/>
                <w:color w:val="000000" w:themeColor="text1"/>
                <w:sz w:val="20"/>
                <w:szCs w:val="21"/>
              </w:rPr>
              <w:instrText>CoV</w:instrText>
            </w:r>
            <w:r w:rsidR="00C9505E">
              <w:rPr>
                <w:rFonts w:hint="eastAsia"/>
                <w:color w:val="000000" w:themeColor="text1"/>
                <w:sz w:val="20"/>
                <w:szCs w:val="21"/>
              </w:rPr>
              <w:instrText>‐</w:instrText>
            </w:r>
            <w:r w:rsidR="00C9505E">
              <w:rPr>
                <w:rFonts w:hint="eastAsia"/>
                <w:color w:val="000000" w:themeColor="text1"/>
                <w:sz w:val="20"/>
                <w:szCs w:val="21"/>
              </w:rPr>
              <w:instrText>2 spike protein. Novel nanomaterial, gold platinum nanofl</w:instrText>
            </w:r>
            <w:r w:rsidR="00C9505E">
              <w:rPr>
                <w:color w:val="000000" w:themeColor="text1"/>
                <w:sz w:val="20"/>
                <w:szCs w:val="21"/>
              </w:rPr>
              <w:instrText>owers (Au@Pt NFs), is combined with the optimized MetaSPR chip for dual signal amplification. The clinical utility of this biosensor is validated in 40 participants, and the results are confirmed with the IC50 values calculated using the pseudovirus neutr</w:instrText>
            </w:r>
            <w:r w:rsidR="00C9505E">
              <w:rPr>
                <w:rFonts w:hint="eastAsia"/>
                <w:color w:val="000000" w:themeColor="text1"/>
                <w:sz w:val="20"/>
                <w:szCs w:val="21"/>
              </w:rPr>
              <w:instrText>alization test. Similarly, the neutralization titer of Omicron and Delta variants and the ability of NAbs to resist these variants are monitored. The MSPR VNT miniaturized optical biosensor instrument has a high throughput and enables one</w:instrText>
            </w:r>
            <w:r w:rsidR="00C9505E">
              <w:rPr>
                <w:rFonts w:hint="eastAsia"/>
                <w:color w:val="000000" w:themeColor="text1"/>
                <w:sz w:val="20"/>
                <w:szCs w:val="21"/>
              </w:rPr>
              <w:instrText>‐</w:instrText>
            </w:r>
            <w:r w:rsidR="00C9505E">
              <w:rPr>
                <w:rFonts w:hint="eastAsia"/>
                <w:color w:val="000000" w:themeColor="text1"/>
                <w:sz w:val="20"/>
                <w:szCs w:val="21"/>
              </w:rPr>
              <w:instrText>step, rapid, and accurate quantification of SARS</w:instrText>
            </w:r>
            <w:r w:rsidR="00C9505E">
              <w:rPr>
                <w:rFonts w:hint="eastAsia"/>
                <w:color w:val="000000" w:themeColor="text1"/>
                <w:sz w:val="20"/>
                <w:szCs w:val="21"/>
              </w:rPr>
              <w:instrText>‐</w:instrText>
            </w:r>
            <w:r w:rsidR="00C9505E">
              <w:rPr>
                <w:rFonts w:hint="eastAsia"/>
                <w:color w:val="000000" w:themeColor="text1"/>
                <w:sz w:val="20"/>
                <w:szCs w:val="21"/>
              </w:rPr>
              <w:instrText>CoV</w:instrText>
            </w:r>
            <w:r w:rsidR="00C9505E">
              <w:rPr>
                <w:rFonts w:hint="eastAsia"/>
                <w:color w:val="000000" w:themeColor="text1"/>
                <w:sz w:val="20"/>
                <w:szCs w:val="21"/>
              </w:rPr>
              <w:instrText>‐</w:instrText>
            </w:r>
            <w:r w:rsidR="00C9505E">
              <w:rPr>
                <w:rFonts w:hint="eastAsia"/>
                <w:color w:val="000000" w:themeColor="text1"/>
                <w:sz w:val="20"/>
                <w:szCs w:val="21"/>
              </w:rPr>
              <w:instrText>2 variants or viruses causing other infectious diseases, which is applicable in vaccine trials, immune response studies, and epidemiological studies.","container-title":"Advanced Functional Materials","DOI":"10.1002/adfm.202306145","ISSN":"1616-301X, 1616-3028","issue":"50","journalAbbreviation":"Adv Funct Materials","language":"en","page":"2306145","source":"DOI.org (Crossref)","title":"Metasurface</w:instrText>
            </w:r>
            <w:r w:rsidR="00C9505E">
              <w:rPr>
                <w:rFonts w:hint="eastAsia"/>
                <w:color w:val="000000" w:themeColor="text1"/>
                <w:sz w:val="20"/>
                <w:szCs w:val="21"/>
              </w:rPr>
              <w:instrText>‐</w:instrText>
            </w:r>
            <w:r w:rsidR="00C9505E">
              <w:rPr>
                <w:rFonts w:hint="eastAsia"/>
                <w:color w:val="000000" w:themeColor="text1"/>
                <w:sz w:val="20"/>
                <w:szCs w:val="21"/>
              </w:rPr>
              <w:instrText>Driven and Nanomaterial</w:instrText>
            </w:r>
            <w:r w:rsidR="00C9505E">
              <w:rPr>
                <w:rFonts w:hint="eastAsia"/>
                <w:color w:val="000000" w:themeColor="text1"/>
                <w:sz w:val="20"/>
                <w:szCs w:val="21"/>
              </w:rPr>
              <w:instrText>‐</w:instrText>
            </w:r>
            <w:r w:rsidR="00C9505E">
              <w:rPr>
                <w:rFonts w:hint="eastAsia"/>
                <w:color w:val="000000" w:themeColor="text1"/>
                <w:sz w:val="20"/>
                <w:szCs w:val="21"/>
              </w:rPr>
              <w:instrText>Coupled Plasmonic Biosensor for the Rapid and Quantitative Clinical Identification of Neutralizing Antibodies against SARS</w:instrText>
            </w:r>
            <w:r w:rsidR="00C9505E">
              <w:rPr>
                <w:rFonts w:hint="eastAsia"/>
                <w:color w:val="000000" w:themeColor="text1"/>
                <w:sz w:val="20"/>
                <w:szCs w:val="21"/>
              </w:rPr>
              <w:instrText>‐</w:instrText>
            </w:r>
            <w:r w:rsidR="00C9505E">
              <w:rPr>
                <w:rFonts w:hint="eastAsia"/>
                <w:color w:val="000000" w:themeColor="text1"/>
                <w:sz w:val="20"/>
                <w:szCs w:val="21"/>
              </w:rPr>
              <w:instrText>CoV</w:instrText>
            </w:r>
            <w:r w:rsidR="00C9505E">
              <w:rPr>
                <w:rFonts w:hint="eastAsia"/>
                <w:color w:val="000000" w:themeColor="text1"/>
                <w:sz w:val="20"/>
                <w:szCs w:val="21"/>
              </w:rPr>
              <w:instrText>‐</w:instrText>
            </w:r>
            <w:r w:rsidR="00C9505E">
              <w:rPr>
                <w:rFonts w:hint="eastAsia"/>
                <w:color w:val="000000" w:themeColor="text1"/>
                <w:sz w:val="20"/>
                <w:szCs w:val="21"/>
              </w:rPr>
              <w:instrText>2 Variants","volume":"33","author":[{"family":"Li","given":"Rui"},{"family":"Zhao","given":"Ya"},{"family":"Fan","given":"Hongli"},{"family":"Zhou","given":"Hanlin"},{"family</w:instrText>
            </w:r>
            <w:r w:rsidR="00C9505E">
              <w:rPr>
                <w:color w:val="000000" w:themeColor="text1"/>
                <w:sz w:val="20"/>
                <w:szCs w:val="21"/>
              </w:rPr>
              <w:instrText xml:space="preserve">":"Yin","given":"Shaoping"},{"family":"Zhang","given":"Qiang"},{"family":"Jin","given":"Meilin"},{"family":"Liu","given":"Gang L."},{"family":"Huang","given":"Liping"}],"issued":{"date-parts":[["2023",12]]}}}],"schema":"https://github.com/citation-style-language/schema/raw/master/csl-citation.json"} </w:instrText>
            </w:r>
            <w:r w:rsidRPr="00EE7674">
              <w:rPr>
                <w:color w:val="000000" w:themeColor="text1"/>
                <w:sz w:val="20"/>
                <w:szCs w:val="21"/>
              </w:rPr>
              <w:fldChar w:fldCharType="separate"/>
            </w:r>
            <w:r w:rsidR="00C9505E">
              <w:rPr>
                <w:color w:val="000000"/>
                <w:sz w:val="20"/>
                <w:szCs w:val="24"/>
              </w:rPr>
              <w:t>[27]</w:t>
            </w:r>
            <w:r w:rsidRPr="00EE7674">
              <w:rPr>
                <w:color w:val="000000" w:themeColor="text1"/>
                <w:sz w:val="20"/>
                <w:szCs w:val="21"/>
              </w:rPr>
              <w:fldChar w:fldCharType="end"/>
            </w:r>
          </w:p>
        </w:tc>
      </w:tr>
      <w:tr w:rsidR="00185390" w:rsidRPr="00EE7674" w14:paraId="28DB17DC" w14:textId="77777777" w:rsidTr="0075620E">
        <w:trPr>
          <w:trHeight w:val="23"/>
        </w:trPr>
        <w:tc>
          <w:tcPr>
            <w:cnfStyle w:val="001000000000" w:firstRow="0" w:lastRow="0" w:firstColumn="1" w:lastColumn="0" w:oddVBand="0" w:evenVBand="0" w:oddHBand="0" w:evenHBand="0" w:firstRowFirstColumn="0" w:firstRowLastColumn="0" w:lastRowFirstColumn="0" w:lastRowLastColumn="0"/>
            <w:tcW w:w="0" w:type="dxa"/>
            <w:tcBorders>
              <w:top w:val="nil"/>
              <w:bottom w:val="single" w:sz="12" w:space="0" w:color="000000"/>
            </w:tcBorders>
            <w:shd w:val="clear" w:color="auto" w:fill="FFFFFF"/>
            <w:vAlign w:val="center"/>
          </w:tcPr>
          <w:p w14:paraId="7ECAA785" w14:textId="77777777" w:rsidR="00185390" w:rsidRPr="00EE7674" w:rsidRDefault="00185390" w:rsidP="0075620E">
            <w:pPr>
              <w:jc w:val="center"/>
              <w:rPr>
                <w:color w:val="000000" w:themeColor="text1"/>
                <w:sz w:val="20"/>
                <w:szCs w:val="21"/>
              </w:rPr>
            </w:pPr>
            <w:r w:rsidRPr="00EE7674">
              <w:rPr>
                <w:color w:val="000000" w:themeColor="text1"/>
                <w:sz w:val="20"/>
                <w:szCs w:val="21"/>
              </w:rPr>
              <w:t>7</w:t>
            </w:r>
          </w:p>
        </w:tc>
        <w:tc>
          <w:tcPr>
            <w:tcW w:w="0" w:type="dxa"/>
            <w:tcBorders>
              <w:top w:val="nil"/>
              <w:bottom w:val="single" w:sz="12" w:space="0" w:color="000000"/>
            </w:tcBorders>
            <w:shd w:val="clear" w:color="auto" w:fill="FFFFFF"/>
            <w:vAlign w:val="center"/>
          </w:tcPr>
          <w:p w14:paraId="3F899E04"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2024</w:t>
            </w:r>
          </w:p>
        </w:tc>
        <w:tc>
          <w:tcPr>
            <w:tcW w:w="0" w:type="dxa"/>
            <w:tcBorders>
              <w:top w:val="nil"/>
              <w:bottom w:val="single" w:sz="12" w:space="0" w:color="000000"/>
            </w:tcBorders>
            <w:shd w:val="clear" w:color="auto" w:fill="FFFFFF"/>
            <w:vAlign w:val="center"/>
          </w:tcPr>
          <w:p w14:paraId="1D7FCD4E"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rPr>
              <w:t>IDM-MetaSPR</w:t>
            </w:r>
            <w:r w:rsidRPr="00EE7674">
              <w:rPr>
                <w:color w:val="000000" w:themeColor="text1"/>
                <w:sz w:val="20"/>
                <w:szCs w:val="21"/>
              </w:rPr>
              <w:t xml:space="preserve"> sensor</w:t>
            </w:r>
          </w:p>
        </w:tc>
        <w:tc>
          <w:tcPr>
            <w:tcW w:w="0" w:type="dxa"/>
            <w:tcBorders>
              <w:top w:val="nil"/>
              <w:bottom w:val="single" w:sz="12" w:space="0" w:color="000000"/>
            </w:tcBorders>
            <w:shd w:val="clear" w:color="auto" w:fill="FFFFFF"/>
            <w:vAlign w:val="center"/>
          </w:tcPr>
          <w:p w14:paraId="4AF3F89C"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Cr,Ag,Au</w:t>
            </w:r>
          </w:p>
        </w:tc>
        <w:tc>
          <w:tcPr>
            <w:tcW w:w="0" w:type="dxa"/>
            <w:tcBorders>
              <w:top w:val="nil"/>
              <w:bottom w:val="single" w:sz="12" w:space="0" w:color="000000"/>
            </w:tcBorders>
            <w:shd w:val="clear" w:color="auto" w:fill="FFFFFF"/>
            <w:vAlign w:val="center"/>
          </w:tcPr>
          <w:p w14:paraId="0C955942"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400-800</w:t>
            </w:r>
          </w:p>
        </w:tc>
        <w:tc>
          <w:tcPr>
            <w:tcW w:w="0" w:type="dxa"/>
            <w:tcBorders>
              <w:top w:val="nil"/>
              <w:bottom w:val="single" w:sz="12" w:space="0" w:color="000000"/>
            </w:tcBorders>
            <w:shd w:val="clear" w:color="auto" w:fill="FFFFFF"/>
            <w:vAlign w:val="center"/>
          </w:tcPr>
          <w:p w14:paraId="588DF19F"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812</w:t>
            </w:r>
          </w:p>
        </w:tc>
        <w:tc>
          <w:tcPr>
            <w:tcW w:w="0" w:type="dxa"/>
            <w:tcBorders>
              <w:top w:val="nil"/>
              <w:bottom w:val="single" w:sz="12" w:space="0" w:color="000000"/>
            </w:tcBorders>
            <w:shd w:val="clear" w:color="auto" w:fill="FFFFFF"/>
            <w:vAlign w:val="center"/>
          </w:tcPr>
          <w:p w14:paraId="587B46E3"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26.3</w:t>
            </w:r>
          </w:p>
        </w:tc>
        <w:tc>
          <w:tcPr>
            <w:tcW w:w="0" w:type="dxa"/>
            <w:tcBorders>
              <w:top w:val="nil"/>
              <w:bottom w:val="single" w:sz="12" w:space="0" w:color="000000"/>
            </w:tcBorders>
            <w:shd w:val="clear" w:color="auto" w:fill="FFFFFF"/>
            <w:vAlign w:val="center"/>
          </w:tcPr>
          <w:p w14:paraId="0C5B6269"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bCs/>
                <w:color w:val="000000" w:themeColor="text1"/>
                <w:sz w:val="20"/>
                <w:szCs w:val="21"/>
              </w:rPr>
            </w:pPr>
            <w:r w:rsidRPr="00EE7674">
              <w:rPr>
                <w:bCs/>
                <w:color w:val="000000" w:themeColor="text1"/>
                <w:sz w:val="20"/>
                <w:szCs w:val="21"/>
              </w:rPr>
              <w:t>This work</w:t>
            </w:r>
          </w:p>
        </w:tc>
      </w:tr>
    </w:tbl>
    <w:p w14:paraId="40CD14F1" w14:textId="77777777" w:rsidR="00185390" w:rsidRPr="00EE7674" w:rsidRDefault="00185390" w:rsidP="00185390">
      <w:pPr>
        <w:pStyle w:val="SMHeading"/>
      </w:pPr>
    </w:p>
    <w:p w14:paraId="16A92A4F" w14:textId="77777777" w:rsidR="00185390" w:rsidRPr="00EE7674" w:rsidRDefault="00185390" w:rsidP="00185390">
      <w:pPr>
        <w:pStyle w:val="SMHeading"/>
      </w:pPr>
      <w:r w:rsidRPr="00EE7674">
        <w:t>Table S2.</w:t>
      </w:r>
    </w:p>
    <w:p w14:paraId="72C8DA7C" w14:textId="77777777" w:rsidR="00185390" w:rsidRPr="00EE7674" w:rsidRDefault="00185390" w:rsidP="00185390">
      <w:pPr>
        <w:spacing w:line="360" w:lineRule="auto"/>
        <w:ind w:firstLineChars="200" w:firstLine="480"/>
        <w:rPr>
          <w:color w:val="000000" w:themeColor="text1"/>
        </w:rPr>
      </w:pPr>
      <w:r w:rsidRPr="00EE7674">
        <w:rPr>
          <w:color w:val="000000" w:themeColor="text1"/>
        </w:rPr>
        <w:t>Comparison of LOD for Antibody Drugs Using Unoptimized and Optimized IDM-MetaSPR Sensors.</w:t>
      </w:r>
    </w:p>
    <w:p w14:paraId="1E72B352" w14:textId="77777777" w:rsidR="00185390" w:rsidRPr="00EE7674" w:rsidRDefault="00185390" w:rsidP="00185390">
      <w:pPr>
        <w:spacing w:line="360" w:lineRule="auto"/>
        <w:ind w:firstLineChars="200" w:firstLine="480"/>
        <w:rPr>
          <w:color w:val="000000" w:themeColor="text1"/>
        </w:rPr>
      </w:pPr>
    </w:p>
    <w:tbl>
      <w:tblPr>
        <w:tblStyle w:val="210"/>
        <w:tblW w:w="7913" w:type="dxa"/>
        <w:tblLayout w:type="fixed"/>
        <w:tblLook w:val="04A0" w:firstRow="1" w:lastRow="0" w:firstColumn="1" w:lastColumn="0" w:noHBand="0" w:noVBand="1"/>
      </w:tblPr>
      <w:tblGrid>
        <w:gridCol w:w="1163"/>
        <w:gridCol w:w="2806"/>
        <w:gridCol w:w="2127"/>
        <w:gridCol w:w="1817"/>
      </w:tblGrid>
      <w:tr w:rsidR="00185390" w:rsidRPr="00EE7674" w14:paraId="21A25844" w14:textId="77777777" w:rsidTr="0075620E">
        <w:trPr>
          <w:cnfStyle w:val="100000000000" w:firstRow="1" w:lastRow="0" w:firstColumn="0" w:lastColumn="0" w:oddVBand="0" w:evenVBand="0" w:oddHBand="0" w:evenHBand="0" w:firstRowFirstColumn="0" w:firstRowLastColumn="0" w:lastRowFirstColumn="0" w:lastRowLastColumn="0"/>
          <w:trHeight w:val="881"/>
        </w:trPr>
        <w:tc>
          <w:tcPr>
            <w:cnfStyle w:val="001000000000" w:firstRow="0" w:lastRow="0" w:firstColumn="1" w:lastColumn="0" w:oddVBand="0" w:evenVBand="0" w:oddHBand="0" w:evenHBand="0" w:firstRowFirstColumn="0" w:firstRowLastColumn="0" w:lastRowFirstColumn="0" w:lastRowLastColumn="0"/>
            <w:tcW w:w="1163" w:type="dxa"/>
            <w:tcBorders>
              <w:top w:val="single" w:sz="4" w:space="0" w:color="7F7F7F" w:themeColor="text1" w:themeTint="80"/>
              <w:bottom w:val="single" w:sz="4" w:space="0" w:color="auto"/>
            </w:tcBorders>
            <w:vAlign w:val="center"/>
          </w:tcPr>
          <w:p w14:paraId="31561666" w14:textId="77777777" w:rsidR="00185390" w:rsidRPr="00EE7674" w:rsidRDefault="00185390" w:rsidP="0075620E">
            <w:pPr>
              <w:jc w:val="center"/>
              <w:rPr>
                <w:b w:val="0"/>
                <w:bCs w:val="0"/>
                <w:color w:val="000000" w:themeColor="text1"/>
                <w:sz w:val="20"/>
                <w:szCs w:val="21"/>
              </w:rPr>
            </w:pPr>
            <w:r w:rsidRPr="00EE7674">
              <w:rPr>
                <w:color w:val="000000" w:themeColor="text1"/>
                <w:sz w:val="20"/>
                <w:szCs w:val="21"/>
              </w:rPr>
              <w:t>NO.</w:t>
            </w:r>
          </w:p>
        </w:tc>
        <w:tc>
          <w:tcPr>
            <w:tcW w:w="2806" w:type="dxa"/>
            <w:tcBorders>
              <w:top w:val="single" w:sz="4" w:space="0" w:color="7F7F7F" w:themeColor="text1" w:themeTint="80"/>
              <w:bottom w:val="single" w:sz="4" w:space="0" w:color="auto"/>
            </w:tcBorders>
            <w:vAlign w:val="center"/>
          </w:tcPr>
          <w:p w14:paraId="4EA61714" w14:textId="77777777" w:rsidR="00185390" w:rsidRPr="00EE7674" w:rsidRDefault="00185390" w:rsidP="0075620E">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1"/>
              </w:rPr>
            </w:pPr>
            <w:r w:rsidRPr="00EE7674">
              <w:rPr>
                <w:color w:val="000000" w:themeColor="text1"/>
                <w:sz w:val="20"/>
                <w:szCs w:val="21"/>
              </w:rPr>
              <w:t>Name</w:t>
            </w:r>
          </w:p>
        </w:tc>
        <w:tc>
          <w:tcPr>
            <w:tcW w:w="2127" w:type="dxa"/>
            <w:tcBorders>
              <w:top w:val="single" w:sz="4" w:space="0" w:color="7F7F7F" w:themeColor="text1" w:themeTint="80"/>
              <w:bottom w:val="single" w:sz="4" w:space="0" w:color="auto"/>
            </w:tcBorders>
            <w:vAlign w:val="center"/>
          </w:tcPr>
          <w:p w14:paraId="54D033CE" w14:textId="77777777" w:rsidR="00185390" w:rsidRPr="00EE7674" w:rsidRDefault="00185390" w:rsidP="0075620E">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1"/>
                <w:highlight w:val="yellow"/>
              </w:rPr>
            </w:pPr>
            <w:r w:rsidRPr="00EE7674">
              <w:rPr>
                <w:color w:val="000000" w:themeColor="text1"/>
              </w:rPr>
              <w:t>LOD-unopt</w:t>
            </w:r>
          </w:p>
          <w:p w14:paraId="526041FF" w14:textId="77777777" w:rsidR="00185390" w:rsidRPr="00EE7674" w:rsidRDefault="00185390" w:rsidP="0075620E">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1"/>
              </w:rPr>
            </w:pPr>
            <w:r w:rsidRPr="00EE7674">
              <w:rPr>
                <w:rFonts w:eastAsia="Times New Roman"/>
                <w:b w:val="0"/>
                <w:color w:val="000000" w:themeColor="text1"/>
                <w:sz w:val="18"/>
                <w:szCs w:val="18"/>
              </w:rPr>
              <w:t>(ng/mL)</w:t>
            </w:r>
          </w:p>
        </w:tc>
        <w:tc>
          <w:tcPr>
            <w:tcW w:w="1817" w:type="dxa"/>
            <w:tcBorders>
              <w:top w:val="single" w:sz="4" w:space="0" w:color="7F7F7F" w:themeColor="text1" w:themeTint="80"/>
              <w:bottom w:val="single" w:sz="4" w:space="0" w:color="auto"/>
            </w:tcBorders>
            <w:vAlign w:val="center"/>
          </w:tcPr>
          <w:p w14:paraId="51D0BD82" w14:textId="77777777" w:rsidR="00185390" w:rsidRPr="00EE7674" w:rsidRDefault="00185390" w:rsidP="0075620E">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1"/>
                <w:highlight w:val="yellow"/>
              </w:rPr>
            </w:pPr>
            <m:oMath>
              <m:r>
                <m:rPr>
                  <m:sty m:val="bi"/>
                </m:rPr>
                <w:rPr>
                  <w:rFonts w:ascii="Cambria Math" w:hAnsi="Cambria Math"/>
                  <w:color w:val="000000" w:themeColor="text1"/>
                </w:rPr>
                <m:t>LOD</m:t>
              </m:r>
            </m:oMath>
            <w:r w:rsidRPr="00EE7674">
              <w:rPr>
                <w:color w:val="000000" w:themeColor="text1"/>
              </w:rPr>
              <w:t>-opt</w:t>
            </w:r>
          </w:p>
          <w:p w14:paraId="50031751" w14:textId="77777777" w:rsidR="00185390" w:rsidRPr="00EE7674" w:rsidRDefault="00185390" w:rsidP="0075620E">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1"/>
              </w:rPr>
            </w:pPr>
            <w:r w:rsidRPr="00EE7674">
              <w:rPr>
                <w:rFonts w:eastAsia="Times New Roman"/>
                <w:b w:val="0"/>
                <w:color w:val="000000" w:themeColor="text1"/>
                <w:sz w:val="18"/>
                <w:szCs w:val="18"/>
              </w:rPr>
              <w:t>(ng/mL)</w:t>
            </w:r>
          </w:p>
        </w:tc>
      </w:tr>
      <w:tr w:rsidR="00185390" w:rsidRPr="00EE7674" w14:paraId="69F805D9" w14:textId="77777777" w:rsidTr="0075620E">
        <w:trPr>
          <w:trHeight w:val="724"/>
        </w:trPr>
        <w:tc>
          <w:tcPr>
            <w:cnfStyle w:val="001000000000" w:firstRow="0" w:lastRow="0" w:firstColumn="1" w:lastColumn="0" w:oddVBand="0" w:evenVBand="0" w:oddHBand="0" w:evenHBand="0" w:firstRowFirstColumn="0" w:firstRowLastColumn="0" w:lastRowFirstColumn="0" w:lastRowLastColumn="0"/>
            <w:tcW w:w="1163" w:type="dxa"/>
            <w:tcBorders>
              <w:top w:val="single" w:sz="4" w:space="0" w:color="auto"/>
              <w:bottom w:val="single" w:sz="4" w:space="0" w:color="7F7F7F" w:themeColor="text1" w:themeTint="80"/>
            </w:tcBorders>
            <w:vAlign w:val="center"/>
          </w:tcPr>
          <w:p w14:paraId="6C20FA5F" w14:textId="77777777" w:rsidR="00185390" w:rsidRPr="00EE7674" w:rsidRDefault="00185390" w:rsidP="0075620E">
            <w:pPr>
              <w:jc w:val="center"/>
              <w:rPr>
                <w:b w:val="0"/>
                <w:bCs w:val="0"/>
                <w:color w:val="000000" w:themeColor="text1"/>
                <w:sz w:val="20"/>
                <w:szCs w:val="21"/>
              </w:rPr>
            </w:pPr>
            <w:r w:rsidRPr="00EE7674">
              <w:rPr>
                <w:color w:val="000000" w:themeColor="text1"/>
                <w:sz w:val="20"/>
                <w:szCs w:val="21"/>
              </w:rPr>
              <w:t>1</w:t>
            </w:r>
          </w:p>
        </w:tc>
        <w:tc>
          <w:tcPr>
            <w:tcW w:w="2806" w:type="dxa"/>
            <w:tcBorders>
              <w:top w:val="single" w:sz="4" w:space="0" w:color="auto"/>
              <w:bottom w:val="single" w:sz="4" w:space="0" w:color="7F7F7F" w:themeColor="text1" w:themeTint="80"/>
            </w:tcBorders>
            <w:vAlign w:val="center"/>
          </w:tcPr>
          <w:p w14:paraId="48320E44"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bookmarkStart w:id="120" w:name="OLE_LINK55"/>
            <w:bookmarkStart w:id="121" w:name="OLE_LINK52"/>
            <w:bookmarkStart w:id="122" w:name="OLE_LINK54"/>
            <w:r w:rsidRPr="00EE7674">
              <w:rPr>
                <w:color w:val="000000" w:themeColor="text1"/>
                <w:sz w:val="20"/>
                <w:szCs w:val="21"/>
                <w:shd w:val="clear" w:color="auto" w:fill="FFFFFF"/>
              </w:rPr>
              <w:t>Polatuzumab</w:t>
            </w:r>
            <w:bookmarkEnd w:id="120"/>
            <w:bookmarkEnd w:id="121"/>
            <w:bookmarkEnd w:id="122"/>
          </w:p>
        </w:tc>
        <w:tc>
          <w:tcPr>
            <w:tcW w:w="2127" w:type="dxa"/>
            <w:tcBorders>
              <w:top w:val="single" w:sz="4" w:space="0" w:color="auto"/>
              <w:bottom w:val="single" w:sz="4" w:space="0" w:color="7F7F7F" w:themeColor="text1" w:themeTint="80"/>
            </w:tcBorders>
            <w:vAlign w:val="center"/>
          </w:tcPr>
          <w:p w14:paraId="435A1501"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476.6</w:t>
            </w:r>
          </w:p>
        </w:tc>
        <w:tc>
          <w:tcPr>
            <w:tcW w:w="1817" w:type="dxa"/>
            <w:tcBorders>
              <w:top w:val="single" w:sz="4" w:space="0" w:color="auto"/>
              <w:bottom w:val="single" w:sz="4" w:space="0" w:color="7F7F7F" w:themeColor="text1" w:themeTint="80"/>
            </w:tcBorders>
            <w:vAlign w:val="center"/>
          </w:tcPr>
          <w:p w14:paraId="71E49A15"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31.3</w:t>
            </w:r>
          </w:p>
        </w:tc>
      </w:tr>
      <w:tr w:rsidR="00185390" w:rsidRPr="00EE7674" w14:paraId="18128F06" w14:textId="77777777" w:rsidTr="0075620E">
        <w:trPr>
          <w:trHeight w:val="724"/>
        </w:trPr>
        <w:tc>
          <w:tcPr>
            <w:cnfStyle w:val="001000000000" w:firstRow="0" w:lastRow="0" w:firstColumn="1" w:lastColumn="0" w:oddVBand="0" w:evenVBand="0" w:oddHBand="0" w:evenHBand="0" w:firstRowFirstColumn="0" w:firstRowLastColumn="0" w:lastRowFirstColumn="0" w:lastRowLastColumn="0"/>
            <w:tcW w:w="1163" w:type="dxa"/>
            <w:vAlign w:val="center"/>
          </w:tcPr>
          <w:p w14:paraId="6B053729" w14:textId="77777777" w:rsidR="00185390" w:rsidRPr="00EE7674" w:rsidRDefault="00185390" w:rsidP="0075620E">
            <w:pPr>
              <w:jc w:val="center"/>
              <w:rPr>
                <w:b w:val="0"/>
                <w:bCs w:val="0"/>
                <w:color w:val="000000" w:themeColor="text1"/>
                <w:sz w:val="20"/>
                <w:szCs w:val="21"/>
              </w:rPr>
            </w:pPr>
            <w:r w:rsidRPr="00EE7674">
              <w:rPr>
                <w:color w:val="000000" w:themeColor="text1"/>
                <w:sz w:val="20"/>
                <w:szCs w:val="21"/>
              </w:rPr>
              <w:t>2</w:t>
            </w:r>
          </w:p>
        </w:tc>
        <w:tc>
          <w:tcPr>
            <w:tcW w:w="2806" w:type="dxa"/>
            <w:vAlign w:val="center"/>
          </w:tcPr>
          <w:p w14:paraId="42221E39"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bookmarkStart w:id="123" w:name="OLE_LINK61"/>
            <w:bookmarkStart w:id="124" w:name="OLE_LINK60"/>
            <w:r w:rsidRPr="00EE7674">
              <w:rPr>
                <w:color w:val="000000" w:themeColor="text1"/>
                <w:sz w:val="20"/>
                <w:szCs w:val="21"/>
                <w:shd w:val="clear" w:color="auto" w:fill="FFFFFF"/>
              </w:rPr>
              <w:t>Adalimumab</w:t>
            </w:r>
            <w:bookmarkEnd w:id="123"/>
            <w:bookmarkEnd w:id="124"/>
          </w:p>
        </w:tc>
        <w:tc>
          <w:tcPr>
            <w:tcW w:w="2127" w:type="dxa"/>
            <w:vAlign w:val="center"/>
          </w:tcPr>
          <w:p w14:paraId="31EE53FD"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193.4</w:t>
            </w:r>
          </w:p>
        </w:tc>
        <w:tc>
          <w:tcPr>
            <w:tcW w:w="1817" w:type="dxa"/>
            <w:vAlign w:val="center"/>
          </w:tcPr>
          <w:p w14:paraId="1F18DE3D"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18.4</w:t>
            </w:r>
          </w:p>
        </w:tc>
      </w:tr>
      <w:tr w:rsidR="00185390" w:rsidRPr="00EE7674" w14:paraId="1F349B47" w14:textId="77777777" w:rsidTr="0075620E">
        <w:trPr>
          <w:trHeight w:val="724"/>
        </w:trPr>
        <w:tc>
          <w:tcPr>
            <w:cnfStyle w:val="001000000000" w:firstRow="0" w:lastRow="0" w:firstColumn="1" w:lastColumn="0" w:oddVBand="0" w:evenVBand="0" w:oddHBand="0" w:evenHBand="0" w:firstRowFirstColumn="0" w:firstRowLastColumn="0" w:lastRowFirstColumn="0" w:lastRowLastColumn="0"/>
            <w:tcW w:w="1163" w:type="dxa"/>
            <w:tcBorders>
              <w:top w:val="single" w:sz="4" w:space="0" w:color="7F7F7F" w:themeColor="text1" w:themeTint="80"/>
              <w:bottom w:val="single" w:sz="4" w:space="0" w:color="7F7F7F" w:themeColor="text1" w:themeTint="80"/>
            </w:tcBorders>
            <w:vAlign w:val="center"/>
          </w:tcPr>
          <w:p w14:paraId="1B0589E3" w14:textId="77777777" w:rsidR="00185390" w:rsidRPr="00EE7674" w:rsidRDefault="00185390" w:rsidP="0075620E">
            <w:pPr>
              <w:jc w:val="center"/>
              <w:rPr>
                <w:b w:val="0"/>
                <w:bCs w:val="0"/>
                <w:color w:val="000000" w:themeColor="text1"/>
                <w:sz w:val="20"/>
                <w:szCs w:val="21"/>
              </w:rPr>
            </w:pPr>
            <w:r w:rsidRPr="00EE7674">
              <w:rPr>
                <w:color w:val="000000" w:themeColor="text1"/>
                <w:sz w:val="20"/>
                <w:szCs w:val="21"/>
              </w:rPr>
              <w:t>3</w:t>
            </w:r>
          </w:p>
        </w:tc>
        <w:tc>
          <w:tcPr>
            <w:tcW w:w="2806" w:type="dxa"/>
            <w:tcBorders>
              <w:top w:val="single" w:sz="4" w:space="0" w:color="7F7F7F" w:themeColor="text1" w:themeTint="80"/>
              <w:bottom w:val="single" w:sz="4" w:space="0" w:color="7F7F7F" w:themeColor="text1" w:themeTint="80"/>
            </w:tcBorders>
            <w:vAlign w:val="center"/>
          </w:tcPr>
          <w:p w14:paraId="3E877F7D"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Sacituzumab govitecan</w:t>
            </w:r>
          </w:p>
        </w:tc>
        <w:tc>
          <w:tcPr>
            <w:tcW w:w="2127" w:type="dxa"/>
            <w:tcBorders>
              <w:top w:val="single" w:sz="4" w:space="0" w:color="7F7F7F" w:themeColor="text1" w:themeTint="80"/>
              <w:bottom w:val="single" w:sz="4" w:space="0" w:color="7F7F7F" w:themeColor="text1" w:themeTint="80"/>
            </w:tcBorders>
            <w:vAlign w:val="center"/>
          </w:tcPr>
          <w:p w14:paraId="6F32B6D3"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332.5</w:t>
            </w:r>
          </w:p>
        </w:tc>
        <w:tc>
          <w:tcPr>
            <w:tcW w:w="1817" w:type="dxa"/>
            <w:tcBorders>
              <w:top w:val="single" w:sz="4" w:space="0" w:color="7F7F7F" w:themeColor="text1" w:themeTint="80"/>
              <w:bottom w:val="single" w:sz="4" w:space="0" w:color="7F7F7F" w:themeColor="text1" w:themeTint="80"/>
            </w:tcBorders>
            <w:vAlign w:val="center"/>
          </w:tcPr>
          <w:p w14:paraId="079CA362" w14:textId="77777777" w:rsidR="00185390" w:rsidRPr="00EE7674" w:rsidRDefault="00185390" w:rsidP="0075620E">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1"/>
              </w:rPr>
            </w:pPr>
            <w:r w:rsidRPr="00EE7674">
              <w:rPr>
                <w:color w:val="000000" w:themeColor="text1"/>
                <w:sz w:val="20"/>
                <w:szCs w:val="21"/>
              </w:rPr>
              <w:t>23.2</w:t>
            </w:r>
          </w:p>
        </w:tc>
      </w:tr>
    </w:tbl>
    <w:p w14:paraId="3B296283" w14:textId="77777777" w:rsidR="00141399" w:rsidRDefault="00141399" w:rsidP="0046486F">
      <w:pPr>
        <w:spacing w:line="480" w:lineRule="auto"/>
        <w:rPr>
          <w:rFonts w:eastAsia="Times New Roman"/>
          <w:b/>
          <w:color w:val="000000" w:themeColor="text1"/>
          <w:szCs w:val="32"/>
        </w:rPr>
      </w:pPr>
    </w:p>
    <w:p w14:paraId="64E1C734" w14:textId="77777777" w:rsidR="00141399" w:rsidRDefault="00141399">
      <w:pPr>
        <w:rPr>
          <w:rFonts w:eastAsia="Times New Roman"/>
          <w:b/>
          <w:color w:val="000000" w:themeColor="text1"/>
          <w:szCs w:val="32"/>
        </w:rPr>
      </w:pPr>
      <w:r>
        <w:rPr>
          <w:rFonts w:eastAsia="Times New Roman"/>
          <w:b/>
          <w:color w:val="000000" w:themeColor="text1"/>
          <w:szCs w:val="32"/>
        </w:rPr>
        <w:br w:type="page"/>
      </w:r>
    </w:p>
    <w:p w14:paraId="438A1C6C" w14:textId="3DB50731" w:rsidR="0046486F" w:rsidRPr="00EE7674" w:rsidRDefault="0046486F" w:rsidP="0046486F">
      <w:pPr>
        <w:spacing w:line="480" w:lineRule="auto"/>
        <w:rPr>
          <w:rFonts w:eastAsia="Times New Roman"/>
          <w:b/>
          <w:color w:val="000000" w:themeColor="text1"/>
        </w:rPr>
      </w:pPr>
      <w:r w:rsidRPr="00EE7674">
        <w:rPr>
          <w:rFonts w:eastAsia="Times New Roman"/>
          <w:b/>
          <w:color w:val="000000" w:themeColor="text1"/>
          <w:szCs w:val="32"/>
        </w:rPr>
        <w:lastRenderedPageBreak/>
        <w:t>References</w:t>
      </w:r>
    </w:p>
    <w:p w14:paraId="11EA7FC3" w14:textId="77777777" w:rsidR="00C9505E" w:rsidRPr="00C9505E" w:rsidRDefault="00C317F2" w:rsidP="00C9505E">
      <w:pPr>
        <w:pStyle w:val="a8"/>
      </w:pPr>
      <w:r w:rsidRPr="00EE7674">
        <w:fldChar w:fldCharType="begin"/>
      </w:r>
      <w:r w:rsidR="00C9505E">
        <w:instrText xml:space="preserve"> ADDIN ZOTERO_BIBL {"uncited":[],"omitted":[],"custom":[]} CSL_BIBLIOGRAPHY </w:instrText>
      </w:r>
      <w:r w:rsidRPr="00EE7674">
        <w:fldChar w:fldCharType="separate"/>
      </w:r>
      <w:r w:rsidR="00C9505E" w:rsidRPr="00C9505E">
        <w:t>1. A. Sohi P, Kahrizi M. Principles and Applications of Nanoplasmonics in Biological and Chemical Sensing: A Review. In: Kahrizi M, A. Sohi P, editors. Recent Advances in Nanophotonics - Fundamentals and Applications [Internet]. IntechOpen; 2020 [cited 2025 Jan 2]. Available from: https://www.intechopen.com/books/recent-advances-in-nanophotonics-fundamentals-and-applications/principles-and-applications-of-nanoplasmonics-in-biological-and-chemical-sensing-a-review</w:t>
      </w:r>
    </w:p>
    <w:p w14:paraId="6C342677" w14:textId="77777777" w:rsidR="00C9505E" w:rsidRPr="00C9505E" w:rsidRDefault="00C9505E" w:rsidP="00C9505E">
      <w:pPr>
        <w:pStyle w:val="a8"/>
      </w:pPr>
      <w:r w:rsidRPr="00C9505E">
        <w:t>2. Raether H. Surface Plasmons on Smooth and Rough Surfaces and on Gratings [Internet]. Berlin, Heidelberg: Springer Berlin Heidelberg; 1988 [cited 2025 Jan 2]. Available from: http://link.springer.com/10.1007/BFb0048317</w:t>
      </w:r>
    </w:p>
    <w:p w14:paraId="27B4A023" w14:textId="77777777" w:rsidR="00C9505E" w:rsidRPr="00C9505E" w:rsidRDefault="00C9505E" w:rsidP="00C9505E">
      <w:pPr>
        <w:pStyle w:val="a8"/>
      </w:pPr>
      <w:r w:rsidRPr="00C9505E">
        <w:t xml:space="preserve">3. Ghaemi HF, Thio T, Grupp DE, Ebbesen TW, Lezec HJ. Surface plasmons enhance optical transmission through subwavelength holes. Phys Rev B. 1998;58:6779–82. </w:t>
      </w:r>
    </w:p>
    <w:p w14:paraId="577030C3" w14:textId="77777777" w:rsidR="00C9505E" w:rsidRPr="00C9505E" w:rsidRDefault="00C9505E" w:rsidP="00C9505E">
      <w:pPr>
        <w:pStyle w:val="a8"/>
      </w:pPr>
      <w:r w:rsidRPr="00C9505E">
        <w:t xml:space="preserve">4. Thio T, Ghaemi HF, Lezec HJ, Wolff PA, Ebbesen TW. Surface-plasmon-enhanced transmission through hole arrays in Cr films. J Opt Soc Am B. 1999;16:1743. </w:t>
      </w:r>
    </w:p>
    <w:p w14:paraId="060B7EB6" w14:textId="77777777" w:rsidR="00C9505E" w:rsidRPr="00C9505E" w:rsidRDefault="00C9505E" w:rsidP="00C9505E">
      <w:pPr>
        <w:pStyle w:val="a8"/>
      </w:pPr>
      <w:r w:rsidRPr="00C9505E">
        <w:t xml:space="preserve">5. Darmanyan SA, Zayats AV. Light tunneling via resonant surface plasmon polariton states and the enhanced transmission of periodically nanostructured metal films: An analytical study. Phys Rev B. 2003;67:035424. </w:t>
      </w:r>
    </w:p>
    <w:p w14:paraId="0208C5BE" w14:textId="77777777" w:rsidR="00C9505E" w:rsidRPr="00C9505E" w:rsidRDefault="00C9505E" w:rsidP="00C9505E">
      <w:pPr>
        <w:pStyle w:val="a8"/>
      </w:pPr>
      <w:r w:rsidRPr="00C9505E">
        <w:t xml:space="preserve">6. Cao Q, Lalanne P. Negative Role of Surface Plasmons in the Transmission of Metallic Gratings with Very Narrow Slits. Phys Rev Lett. 2002;88:057403. </w:t>
      </w:r>
    </w:p>
    <w:p w14:paraId="2596B14A" w14:textId="77777777" w:rsidR="00C9505E" w:rsidRPr="00C9505E" w:rsidRDefault="00C9505E" w:rsidP="00C9505E">
      <w:pPr>
        <w:pStyle w:val="a8"/>
      </w:pPr>
      <w:r w:rsidRPr="00C9505E">
        <w:t xml:space="preserve">7. Treacy MMJ. Dynamical diffraction in metallic optical gratings. Applied Physics Letters. 1999;75:606–8. </w:t>
      </w:r>
    </w:p>
    <w:p w14:paraId="211C1E42" w14:textId="77777777" w:rsidR="00C9505E" w:rsidRPr="00C9505E" w:rsidRDefault="00C9505E" w:rsidP="00C9505E">
      <w:pPr>
        <w:pStyle w:val="a8"/>
      </w:pPr>
      <w:r w:rsidRPr="00C9505E">
        <w:t xml:space="preserve">8. Lezec HJ, Thio T. Diffracted evanescent wave model for enhanced and suppressed optical transmission through subwavelength hole arrays. Opt Express. 2004;12:3629. </w:t>
      </w:r>
    </w:p>
    <w:p w14:paraId="4EC18133" w14:textId="77777777" w:rsidR="00C9505E" w:rsidRPr="00C9505E" w:rsidRDefault="00C9505E" w:rsidP="00C9505E">
      <w:pPr>
        <w:pStyle w:val="a8"/>
      </w:pPr>
      <w:r w:rsidRPr="00C9505E">
        <w:t xml:space="preserve">9. Yanik AA, Cetin AE, Huang M, Artar A, Mousavi SH, Khanikaev A, et al. Seeing protein monolayers with naked eye through plasmonic Fano resonances. Proc Natl Acad Sci USA. 2011;108:11784–9. </w:t>
      </w:r>
    </w:p>
    <w:p w14:paraId="70865658" w14:textId="77777777" w:rsidR="00C9505E" w:rsidRPr="00C9505E" w:rsidRDefault="00C9505E" w:rsidP="00C9505E">
      <w:pPr>
        <w:pStyle w:val="a8"/>
      </w:pPr>
      <w:r w:rsidRPr="00C9505E">
        <w:t xml:space="preserve">10. Palani S, Kenison JP, Sabuncu S, Huang T, Civitci F, Esener S, et al. Multispectral Localized Surface Plasmon Resonance (msLSPR) Reveals and Overcomes Spectral and Sensing Heterogeneities of Single Gold Nanoparticles. ACS Nano. 2023;17:2266–78. </w:t>
      </w:r>
    </w:p>
    <w:p w14:paraId="6CAB5F7C" w14:textId="77777777" w:rsidR="00C9505E" w:rsidRPr="00C9505E" w:rsidRDefault="00C9505E" w:rsidP="00C9505E">
      <w:pPr>
        <w:pStyle w:val="a8"/>
      </w:pPr>
      <w:r w:rsidRPr="00C9505E">
        <w:t xml:space="preserve">11. Hinman SS, McKeating KS, Cheng Q. Surface Plasmon Resonance: Material and Interface Design for Universal Accessibility. Anal Chem. 2018;90:19–39. </w:t>
      </w:r>
    </w:p>
    <w:p w14:paraId="057AF915" w14:textId="77777777" w:rsidR="00C9505E" w:rsidRPr="00C9505E" w:rsidRDefault="00C9505E" w:rsidP="00C9505E">
      <w:pPr>
        <w:pStyle w:val="a8"/>
      </w:pPr>
      <w:r w:rsidRPr="00C9505E">
        <w:t xml:space="preserve">12. West PR, Ishii S, Naik GV, Emani NK, Shalaev VM, Boltasseva A. Searching for better plasmonic materials. Laser &amp; Photon Rev. 2010;4:795–808. </w:t>
      </w:r>
    </w:p>
    <w:p w14:paraId="59B256CC" w14:textId="77777777" w:rsidR="00C9505E" w:rsidRPr="00C9505E" w:rsidRDefault="00C9505E" w:rsidP="00C9505E">
      <w:pPr>
        <w:pStyle w:val="a8"/>
      </w:pPr>
      <w:r w:rsidRPr="00C9505E">
        <w:t xml:space="preserve">13. Kim S, Kim J, Park J, Nam J. Nonnoble‐Metal‐Based Plasmonic Nanomaterials: Recent Advances and Future Perspectives. Advanced Materials. 2018;30:1704528. </w:t>
      </w:r>
    </w:p>
    <w:p w14:paraId="29B8A47B" w14:textId="77777777" w:rsidR="00C9505E" w:rsidRPr="00C9505E" w:rsidRDefault="00C9505E" w:rsidP="00C9505E">
      <w:pPr>
        <w:pStyle w:val="a8"/>
      </w:pPr>
      <w:r w:rsidRPr="00C9505E">
        <w:lastRenderedPageBreak/>
        <w:t xml:space="preserve">14. Todeschini M, Bastos Da Silva Fanta A, Jensen F, Wagner JB, Han A. Influence of Ti and Cr Adhesion Layers on Ultrathin Au Films. ACS Appl Mater Interfaces. 2017;9:37374–85. </w:t>
      </w:r>
    </w:p>
    <w:p w14:paraId="2B8ACA64" w14:textId="77777777" w:rsidR="00C9505E" w:rsidRPr="00C9505E" w:rsidRDefault="00C9505E" w:rsidP="00C9505E">
      <w:pPr>
        <w:pStyle w:val="a8"/>
      </w:pPr>
      <w:r w:rsidRPr="00C9505E">
        <w:t>15. Kennedy J, Eberhart R. Particle swarm optimization. Proceedings of ICNN’95 - International Conference on Neural Networks [Internet]. Perth, WA, Australia: IEEE; 1995 [cited 2025 Jan 9]. p. 1942–8. Available from: http://ieeexplore.ieee.org/document/488968/</w:t>
      </w:r>
    </w:p>
    <w:p w14:paraId="068331A7" w14:textId="77777777" w:rsidR="00C9505E" w:rsidRPr="00C9505E" w:rsidRDefault="00C9505E" w:rsidP="00C9505E">
      <w:pPr>
        <w:pStyle w:val="a8"/>
      </w:pPr>
      <w:r w:rsidRPr="00C9505E">
        <w:t>16. Vidarsson G, Dekkers G, Rispens T. IgG Subclasses and Allotypes: From Structure to Effector Functions. Front Immunol [Internet]. 2014 [cited 2024 Jul 23];5. Available from: http://www.frontiersin.org/Immunotherapies_and_Vaccines/10.3389/fimmu.2014.00520/abstract</w:t>
      </w:r>
    </w:p>
    <w:p w14:paraId="7214868B" w14:textId="77777777" w:rsidR="00C9505E" w:rsidRPr="00C9505E" w:rsidRDefault="00C9505E" w:rsidP="00C9505E">
      <w:pPr>
        <w:pStyle w:val="a8"/>
      </w:pPr>
      <w:r w:rsidRPr="00C9505E">
        <w:t xml:space="preserve">17. Wilson JL, Scott IM, McMurry JL. Optical biosensing: Kinetics of protein A‐IGG binding using biolayer interferometry. Biochem Molecular Bio Educ. 2010;38:400–7. </w:t>
      </w:r>
    </w:p>
    <w:p w14:paraId="187A6927" w14:textId="77777777" w:rsidR="00C9505E" w:rsidRPr="00C9505E" w:rsidRDefault="00C9505E" w:rsidP="00C9505E">
      <w:pPr>
        <w:pStyle w:val="a8"/>
      </w:pPr>
      <w:r w:rsidRPr="00C9505E">
        <w:t xml:space="preserve">18. Peltomaa R, Glahn-Martínez B, Benito-Peña E, Moreno-Bondi MC. Optical Biosensors for Label-Free Detection of Small Molecules. Sensors. 2018;18:4126. </w:t>
      </w:r>
    </w:p>
    <w:p w14:paraId="2B20AACD" w14:textId="77777777" w:rsidR="00C9505E" w:rsidRPr="00C9505E" w:rsidRDefault="00C9505E" w:rsidP="00C9505E">
      <w:pPr>
        <w:pStyle w:val="a8"/>
      </w:pPr>
      <w:r w:rsidRPr="00C9505E">
        <w:t xml:space="preserve">19. Mofidifar S, Sohraby F, Bagheri M, Aryapour H. Repurposing existing drugs for new AMPK activators as a strategy to extend lifespan: a computer-aided drug discovery study. Biogerontology. 2018;19:133–43. </w:t>
      </w:r>
    </w:p>
    <w:p w14:paraId="1F4545B4" w14:textId="77777777" w:rsidR="00C9505E" w:rsidRPr="00C9505E" w:rsidRDefault="00C9505E" w:rsidP="00C9505E">
      <w:pPr>
        <w:pStyle w:val="a8"/>
      </w:pPr>
      <w:r w:rsidRPr="00C9505E">
        <w:t xml:space="preserve">20. Anand David A, Arulmoli R, Parasuraman S. Overviews of biological importance of quercetin: A bioactive flavonoid. Phcog Rev. 2016;10:84. </w:t>
      </w:r>
    </w:p>
    <w:p w14:paraId="3F8FCBF4" w14:textId="77777777" w:rsidR="00C9505E" w:rsidRPr="00C9505E" w:rsidRDefault="00C9505E" w:rsidP="00C9505E">
      <w:pPr>
        <w:pStyle w:val="a8"/>
      </w:pPr>
      <w:r w:rsidRPr="00C9505E">
        <w:t xml:space="preserve">21. Xu J, Zhang S, Wu T, Fang X, Zhao L. Discovery of TGFBR1 (ALK5) as a potential drug target of quercetin glycoside derivatives (QGDs) by reverse molecular docking and molecular dynamics simulation. Biophysical Chemistry. 2022;281:106731. </w:t>
      </w:r>
    </w:p>
    <w:p w14:paraId="0A902703" w14:textId="77777777" w:rsidR="00C9505E" w:rsidRPr="00C9505E" w:rsidRDefault="00C9505E" w:rsidP="00C9505E">
      <w:pPr>
        <w:pStyle w:val="a8"/>
      </w:pPr>
      <w:r w:rsidRPr="00C9505E">
        <w:t xml:space="preserve">22. Khan Y, Li A, Chang L, Li L, Guo L. Gold nano disks arrays for localized surface plasmon resonance based detection of PSA cancer marker. Sensors and Actuators B: Chemical. 2018;255:1298–307. </w:t>
      </w:r>
    </w:p>
    <w:p w14:paraId="5735499F" w14:textId="77777777" w:rsidR="00C9505E" w:rsidRPr="00C9505E" w:rsidRDefault="00C9505E" w:rsidP="00C9505E">
      <w:pPr>
        <w:pStyle w:val="a8"/>
      </w:pPr>
      <w:r w:rsidRPr="00C9505E">
        <w:t xml:space="preserve">23. Langley DP, Balaur E, Hwang Y, Sadatnajafi C, Abbey B. Optical Chemical Barcoding Based on Polarization Controlled Plasmonic Nanopixels. Adv Funct Materials. 2018;28:1704842. </w:t>
      </w:r>
    </w:p>
    <w:p w14:paraId="3256470F" w14:textId="77777777" w:rsidR="00C9505E" w:rsidRPr="00C9505E" w:rsidRDefault="00C9505E" w:rsidP="00C9505E">
      <w:pPr>
        <w:pStyle w:val="a8"/>
      </w:pPr>
      <w:r w:rsidRPr="00C9505E">
        <w:t xml:space="preserve">24. Pinapati P, Cherukulappurath S. Hybrid Dielectric-Plasmonic Nanocomposite Arrays for Bulk and Local Refractive Index Sensing. Plasmonics. 2020;15:441–7. </w:t>
      </w:r>
    </w:p>
    <w:p w14:paraId="32F0CC50" w14:textId="77777777" w:rsidR="00C9505E" w:rsidRPr="00C9505E" w:rsidRDefault="00C9505E" w:rsidP="00C9505E">
      <w:pPr>
        <w:pStyle w:val="a8"/>
      </w:pPr>
      <w:r w:rsidRPr="00C9505E">
        <w:t xml:space="preserve">25. Vestri A, Rippa M, Marchesano V, Sagnelli D, Margheri G, Zhou J, et al. LSPR immuno-sensing based on iso-Y nanopillars for highly sensitive and specific imidacloprid detection. J Mater Chem B. 2021;9:9153–61. </w:t>
      </w:r>
    </w:p>
    <w:p w14:paraId="5ADAE5F0" w14:textId="77777777" w:rsidR="00C9505E" w:rsidRPr="00C9505E" w:rsidRDefault="00C9505E" w:rsidP="00C9505E">
      <w:pPr>
        <w:pStyle w:val="a8"/>
      </w:pPr>
      <w:r w:rsidRPr="00C9505E">
        <w:t xml:space="preserve">26. Hwang CSH, Ahn M, Jeong K-H. Extraordinary sensitivity enhancement of Ag-Au alloy nanohole arrays for label-free detection of Escherichia Coli. Biomed Opt Express. 2021;12:2734. </w:t>
      </w:r>
    </w:p>
    <w:p w14:paraId="1AB40FF7" w14:textId="77777777" w:rsidR="00C9505E" w:rsidRPr="00C9505E" w:rsidRDefault="00C9505E" w:rsidP="00C9505E">
      <w:pPr>
        <w:pStyle w:val="a8"/>
      </w:pPr>
      <w:r w:rsidRPr="00C9505E">
        <w:lastRenderedPageBreak/>
        <w:t xml:space="preserve">27. Li R, Zhao Y, Fan H, Zhou H, Yin S, Zhang Q, et al. Metasurface‐Driven and Nanomaterial‐Coupled Plasmonic Biosensor for the Rapid and Quantitative Clinical Identification of Neutralizing Antibodies against SARS‐CoV‐2 Variants. Adv Funct Materials. 2023;33:2306145. </w:t>
      </w:r>
    </w:p>
    <w:p w14:paraId="3D56BA4E" w14:textId="08D5402A" w:rsidR="00B9440A" w:rsidRPr="00EE7674" w:rsidRDefault="00C317F2" w:rsidP="00C9505E">
      <w:pPr>
        <w:pStyle w:val="a8"/>
      </w:pPr>
      <w:r w:rsidRPr="00EE7674">
        <w:fldChar w:fldCharType="end"/>
      </w:r>
      <w:bookmarkEnd w:id="0"/>
    </w:p>
    <w:sectPr w:rsidR="00B9440A" w:rsidRPr="00EE7674" w:rsidSect="00E853D5">
      <w:headerReference w:type="default" r:id="rId37"/>
      <w:footerReference w:type="default" r:id="rId38"/>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39ECD9" w14:textId="77777777" w:rsidR="00E011FC" w:rsidRDefault="00E011FC">
      <w:r>
        <w:separator/>
      </w:r>
    </w:p>
  </w:endnote>
  <w:endnote w:type="continuationSeparator" w:id="0">
    <w:p w14:paraId="66B9F348" w14:textId="77777777" w:rsidR="00E011FC" w:rsidRDefault="00E011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7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 w:name="Times New Roman Regular">
    <w:altName w:val="Times New Roman"/>
    <w:panose1 w:val="020B0604020202020204"/>
    <w:charset w:val="00"/>
    <w:family w:val="auto"/>
    <w:pitch w:val="default"/>
    <w:sig w:usb0="E0002AEF" w:usb1="C0007841" w:usb2="00000009" w:usb3="00000000" w:csb0="400001FF" w:csb1="FFFF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8EA3E" w14:textId="32DFF1A6" w:rsidR="00F125EE" w:rsidRDefault="00114193">
    <w:pPr>
      <w:pStyle w:val="aff1"/>
      <w:jc w:val="right"/>
    </w:pPr>
    <w:r>
      <w:fldChar w:fldCharType="begin"/>
    </w:r>
    <w:r>
      <w:instrText xml:space="preserve"> PAGE   \* MERGEFORMAT </w:instrText>
    </w:r>
    <w:r>
      <w:fldChar w:fldCharType="separate"/>
    </w:r>
    <w:r w:rsidR="00C92B22">
      <w:rPr>
        <w:noProof/>
      </w:rPr>
      <w:t>3</w:t>
    </w:r>
    <w:r>
      <w:fldChar w:fldCharType="end"/>
    </w:r>
  </w:p>
  <w:p w14:paraId="211F3547" w14:textId="77777777" w:rsidR="00F125EE" w:rsidRDefault="00F125EE">
    <w:pPr>
      <w:pStyle w:val="af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486139" w14:textId="77777777" w:rsidR="00E011FC" w:rsidRDefault="00E011FC">
      <w:r>
        <w:separator/>
      </w:r>
    </w:p>
  </w:footnote>
  <w:footnote w:type="continuationSeparator" w:id="0">
    <w:p w14:paraId="444AD668" w14:textId="77777777" w:rsidR="00E011FC" w:rsidRDefault="00E011F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01F95" w14:textId="77777777" w:rsidR="003A2FD8" w:rsidRPr="005001AC" w:rsidRDefault="003A2FD8" w:rsidP="005001AC">
    <w:pPr>
      <w:jc w:val="right"/>
      <w:rPr>
        <w:sz w:val="20"/>
      </w:rPr>
    </w:pPr>
  </w:p>
  <w:p w14:paraId="3CD866EE"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BCBE5F1"/>
    <w:multiLevelType w:val="singleLevel"/>
    <w:tmpl w:val="FBCBE5F1"/>
    <w:lvl w:ilvl="0">
      <w:start w:val="5"/>
      <w:numFmt w:val="upperLetter"/>
      <w:suff w:val="nothing"/>
      <w:lvlText w:val="%1-"/>
      <w:lvlJc w:val="left"/>
    </w:lvl>
  </w:abstractNum>
  <w:abstractNum w:abstractNumId="1" w15:restartNumberingAfterBreak="0">
    <w:nsid w:val="FFFFFF7C"/>
    <w:multiLevelType w:val="singleLevel"/>
    <w:tmpl w:val="3E9A0988"/>
    <w:lvl w:ilvl="0">
      <w:start w:val="1"/>
      <w:numFmt w:val="decimal"/>
      <w:pStyle w:val="5"/>
      <w:lvlText w:val="%1."/>
      <w:lvlJc w:val="left"/>
      <w:pPr>
        <w:tabs>
          <w:tab w:val="num" w:pos="1800"/>
        </w:tabs>
        <w:ind w:left="1800" w:hanging="360"/>
      </w:pPr>
    </w:lvl>
  </w:abstractNum>
  <w:abstractNum w:abstractNumId="2" w15:restartNumberingAfterBreak="0">
    <w:nsid w:val="FFFFFF7D"/>
    <w:multiLevelType w:val="singleLevel"/>
    <w:tmpl w:val="498CFF00"/>
    <w:lvl w:ilvl="0">
      <w:start w:val="1"/>
      <w:numFmt w:val="decimal"/>
      <w:pStyle w:val="4"/>
      <w:lvlText w:val="%1."/>
      <w:lvlJc w:val="left"/>
      <w:pPr>
        <w:tabs>
          <w:tab w:val="num" w:pos="1440"/>
        </w:tabs>
        <w:ind w:left="1440" w:hanging="360"/>
      </w:pPr>
    </w:lvl>
  </w:abstractNum>
  <w:abstractNum w:abstractNumId="3" w15:restartNumberingAfterBreak="0">
    <w:nsid w:val="FFFFFF7E"/>
    <w:multiLevelType w:val="singleLevel"/>
    <w:tmpl w:val="1D94376A"/>
    <w:lvl w:ilvl="0">
      <w:start w:val="1"/>
      <w:numFmt w:val="decimal"/>
      <w:pStyle w:val="3"/>
      <w:lvlText w:val="%1."/>
      <w:lvlJc w:val="left"/>
      <w:pPr>
        <w:tabs>
          <w:tab w:val="num" w:pos="1080"/>
        </w:tabs>
        <w:ind w:left="1080" w:hanging="360"/>
      </w:pPr>
    </w:lvl>
  </w:abstractNum>
  <w:abstractNum w:abstractNumId="4" w15:restartNumberingAfterBreak="0">
    <w:nsid w:val="FFFFFF7F"/>
    <w:multiLevelType w:val="singleLevel"/>
    <w:tmpl w:val="BC8CF8D2"/>
    <w:lvl w:ilvl="0">
      <w:start w:val="1"/>
      <w:numFmt w:val="decimal"/>
      <w:pStyle w:val="2"/>
      <w:lvlText w:val="%1."/>
      <w:lvlJc w:val="left"/>
      <w:pPr>
        <w:tabs>
          <w:tab w:val="num" w:pos="720"/>
        </w:tabs>
        <w:ind w:left="720" w:hanging="360"/>
      </w:pPr>
    </w:lvl>
  </w:abstractNum>
  <w:abstractNum w:abstractNumId="5" w15:restartNumberingAfterBreak="0">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98E05002"/>
    <w:lvl w:ilvl="0">
      <w:start w:val="1"/>
      <w:numFmt w:val="decimal"/>
      <w:pStyle w:val="a"/>
      <w:lvlText w:val="%1."/>
      <w:lvlJc w:val="left"/>
      <w:pPr>
        <w:tabs>
          <w:tab w:val="num" w:pos="360"/>
        </w:tabs>
        <w:ind w:left="360" w:hanging="360"/>
      </w:pPr>
    </w:lvl>
  </w:abstractNum>
  <w:abstractNum w:abstractNumId="10" w15:restartNumberingAfterBreak="0">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abstractNum w:abstractNumId="11" w15:restartNumberingAfterBreak="0">
    <w:nsid w:val="642BF954"/>
    <w:multiLevelType w:val="singleLevel"/>
    <w:tmpl w:val="642BF954"/>
    <w:lvl w:ilvl="0">
      <w:start w:val="25"/>
      <w:numFmt w:val="upperLetter"/>
      <w:suff w:val="space"/>
      <w:lvlText w:val="%1."/>
      <w:lvlJc w:val="left"/>
    </w:lvl>
  </w:abstractNum>
  <w:num w:numId="1" w16cid:durableId="387843683">
    <w:abstractNumId w:val="10"/>
  </w:num>
  <w:num w:numId="2" w16cid:durableId="485366509">
    <w:abstractNumId w:val="8"/>
  </w:num>
  <w:num w:numId="3" w16cid:durableId="1888255738">
    <w:abstractNumId w:val="7"/>
  </w:num>
  <w:num w:numId="4" w16cid:durableId="681854557">
    <w:abstractNumId w:val="6"/>
  </w:num>
  <w:num w:numId="5" w16cid:durableId="132017859">
    <w:abstractNumId w:val="5"/>
  </w:num>
  <w:num w:numId="6" w16cid:durableId="934366820">
    <w:abstractNumId w:val="9"/>
  </w:num>
  <w:num w:numId="7" w16cid:durableId="1379206068">
    <w:abstractNumId w:val="4"/>
  </w:num>
  <w:num w:numId="8" w16cid:durableId="855268003">
    <w:abstractNumId w:val="3"/>
  </w:num>
  <w:num w:numId="9" w16cid:durableId="1773744170">
    <w:abstractNumId w:val="2"/>
  </w:num>
  <w:num w:numId="10" w16cid:durableId="297105088">
    <w:abstractNumId w:val="1"/>
  </w:num>
  <w:num w:numId="11" w16cid:durableId="898172995">
    <w:abstractNumId w:val="11"/>
  </w:num>
  <w:num w:numId="12" w16cid:durableId="5699673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8"/>
  <w:bordersDoNotSurroundHeader/>
  <w:bordersDoNotSurroundFooter/>
  <w:proofState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15F74"/>
    <w:rsid w:val="00065EBD"/>
    <w:rsid w:val="00066D0C"/>
    <w:rsid w:val="00083B44"/>
    <w:rsid w:val="000850DC"/>
    <w:rsid w:val="000C07BF"/>
    <w:rsid w:val="000C0AC8"/>
    <w:rsid w:val="000C2771"/>
    <w:rsid w:val="000D46F4"/>
    <w:rsid w:val="000F0DCE"/>
    <w:rsid w:val="000F3E4D"/>
    <w:rsid w:val="000F6BE3"/>
    <w:rsid w:val="00112C5B"/>
    <w:rsid w:val="00114193"/>
    <w:rsid w:val="00115A38"/>
    <w:rsid w:val="0011687B"/>
    <w:rsid w:val="00124F82"/>
    <w:rsid w:val="00141399"/>
    <w:rsid w:val="0016337A"/>
    <w:rsid w:val="00164269"/>
    <w:rsid w:val="001643E4"/>
    <w:rsid w:val="00167A3F"/>
    <w:rsid w:val="00185390"/>
    <w:rsid w:val="001A1BDE"/>
    <w:rsid w:val="001B13CE"/>
    <w:rsid w:val="001B1931"/>
    <w:rsid w:val="001D7C8B"/>
    <w:rsid w:val="001F0876"/>
    <w:rsid w:val="001F167C"/>
    <w:rsid w:val="001F5610"/>
    <w:rsid w:val="001F5E91"/>
    <w:rsid w:val="00204EC2"/>
    <w:rsid w:val="002077B9"/>
    <w:rsid w:val="0025031A"/>
    <w:rsid w:val="00262D72"/>
    <w:rsid w:val="00271D9D"/>
    <w:rsid w:val="00275514"/>
    <w:rsid w:val="00281F61"/>
    <w:rsid w:val="00294FBB"/>
    <w:rsid w:val="00297645"/>
    <w:rsid w:val="002A4A07"/>
    <w:rsid w:val="002C030F"/>
    <w:rsid w:val="002C6977"/>
    <w:rsid w:val="002F0FB6"/>
    <w:rsid w:val="002F666F"/>
    <w:rsid w:val="00306D99"/>
    <w:rsid w:val="0031671A"/>
    <w:rsid w:val="003251CB"/>
    <w:rsid w:val="00331D75"/>
    <w:rsid w:val="00355362"/>
    <w:rsid w:val="00363E44"/>
    <w:rsid w:val="003659A8"/>
    <w:rsid w:val="003669F9"/>
    <w:rsid w:val="00392402"/>
    <w:rsid w:val="00393BAB"/>
    <w:rsid w:val="00395E86"/>
    <w:rsid w:val="00397383"/>
    <w:rsid w:val="003A2FD8"/>
    <w:rsid w:val="003B2085"/>
    <w:rsid w:val="003B40E6"/>
    <w:rsid w:val="003D6E84"/>
    <w:rsid w:val="003E74FB"/>
    <w:rsid w:val="003F5904"/>
    <w:rsid w:val="003F6E14"/>
    <w:rsid w:val="00405336"/>
    <w:rsid w:val="00405906"/>
    <w:rsid w:val="00435ABE"/>
    <w:rsid w:val="00453781"/>
    <w:rsid w:val="004571D5"/>
    <w:rsid w:val="00461D81"/>
    <w:rsid w:val="0046356B"/>
    <w:rsid w:val="0046486F"/>
    <w:rsid w:val="00477182"/>
    <w:rsid w:val="004779CB"/>
    <w:rsid w:val="00482EA2"/>
    <w:rsid w:val="004A1FA9"/>
    <w:rsid w:val="004A6F57"/>
    <w:rsid w:val="004A7E36"/>
    <w:rsid w:val="004B5540"/>
    <w:rsid w:val="004C6D51"/>
    <w:rsid w:val="004D0135"/>
    <w:rsid w:val="004E1F60"/>
    <w:rsid w:val="004E42D8"/>
    <w:rsid w:val="004E6AC9"/>
    <w:rsid w:val="004E7BA2"/>
    <w:rsid w:val="004F7EDF"/>
    <w:rsid w:val="005001AC"/>
    <w:rsid w:val="00527D71"/>
    <w:rsid w:val="00533910"/>
    <w:rsid w:val="005520A8"/>
    <w:rsid w:val="005607DD"/>
    <w:rsid w:val="0057790F"/>
    <w:rsid w:val="0059079C"/>
    <w:rsid w:val="005A558C"/>
    <w:rsid w:val="005C00FA"/>
    <w:rsid w:val="005D5FDB"/>
    <w:rsid w:val="005D712F"/>
    <w:rsid w:val="005E28F8"/>
    <w:rsid w:val="005E4C41"/>
    <w:rsid w:val="005E6513"/>
    <w:rsid w:val="005F1E8C"/>
    <w:rsid w:val="00607E8E"/>
    <w:rsid w:val="0061600F"/>
    <w:rsid w:val="00632CA3"/>
    <w:rsid w:val="006363A8"/>
    <w:rsid w:val="00647F0A"/>
    <w:rsid w:val="00651114"/>
    <w:rsid w:val="00651F23"/>
    <w:rsid w:val="00652006"/>
    <w:rsid w:val="00653316"/>
    <w:rsid w:val="00664560"/>
    <w:rsid w:val="00670299"/>
    <w:rsid w:val="00691985"/>
    <w:rsid w:val="00697611"/>
    <w:rsid w:val="006A1B64"/>
    <w:rsid w:val="006C7EF4"/>
    <w:rsid w:val="0070024C"/>
    <w:rsid w:val="007108F5"/>
    <w:rsid w:val="00710DC2"/>
    <w:rsid w:val="007128E4"/>
    <w:rsid w:val="00713E5B"/>
    <w:rsid w:val="007402FC"/>
    <w:rsid w:val="007411A1"/>
    <w:rsid w:val="00793072"/>
    <w:rsid w:val="007C45B3"/>
    <w:rsid w:val="007E2786"/>
    <w:rsid w:val="007E3DA5"/>
    <w:rsid w:val="008051DC"/>
    <w:rsid w:val="00807D35"/>
    <w:rsid w:val="008218C4"/>
    <w:rsid w:val="0085236D"/>
    <w:rsid w:val="00856FA6"/>
    <w:rsid w:val="00864D1F"/>
    <w:rsid w:val="00867A98"/>
    <w:rsid w:val="00870867"/>
    <w:rsid w:val="00885C9B"/>
    <w:rsid w:val="00890CEA"/>
    <w:rsid w:val="008D5D2A"/>
    <w:rsid w:val="00914B63"/>
    <w:rsid w:val="0092793C"/>
    <w:rsid w:val="009354F3"/>
    <w:rsid w:val="009447DC"/>
    <w:rsid w:val="00945471"/>
    <w:rsid w:val="00950234"/>
    <w:rsid w:val="00961BA5"/>
    <w:rsid w:val="009743A9"/>
    <w:rsid w:val="00981EFB"/>
    <w:rsid w:val="009861E0"/>
    <w:rsid w:val="009A5287"/>
    <w:rsid w:val="009A7C5F"/>
    <w:rsid w:val="009B2AC5"/>
    <w:rsid w:val="009B7984"/>
    <w:rsid w:val="009E546C"/>
    <w:rsid w:val="009F4BED"/>
    <w:rsid w:val="009F7D93"/>
    <w:rsid w:val="00A02E0C"/>
    <w:rsid w:val="00A22D18"/>
    <w:rsid w:val="00A3403B"/>
    <w:rsid w:val="00A51A12"/>
    <w:rsid w:val="00A53A78"/>
    <w:rsid w:val="00A61D7B"/>
    <w:rsid w:val="00A627D4"/>
    <w:rsid w:val="00A74DA2"/>
    <w:rsid w:val="00A77632"/>
    <w:rsid w:val="00A825EE"/>
    <w:rsid w:val="00AB399E"/>
    <w:rsid w:val="00AC1064"/>
    <w:rsid w:val="00AC59D0"/>
    <w:rsid w:val="00AD16B1"/>
    <w:rsid w:val="00AD499C"/>
    <w:rsid w:val="00B27F81"/>
    <w:rsid w:val="00B36869"/>
    <w:rsid w:val="00B43B31"/>
    <w:rsid w:val="00B47CFA"/>
    <w:rsid w:val="00B56B16"/>
    <w:rsid w:val="00B574A3"/>
    <w:rsid w:val="00B57F00"/>
    <w:rsid w:val="00B63245"/>
    <w:rsid w:val="00B65F01"/>
    <w:rsid w:val="00B73C69"/>
    <w:rsid w:val="00B77B2A"/>
    <w:rsid w:val="00B82C22"/>
    <w:rsid w:val="00B87E69"/>
    <w:rsid w:val="00B93DBA"/>
    <w:rsid w:val="00B9440A"/>
    <w:rsid w:val="00BB2D2A"/>
    <w:rsid w:val="00BC290E"/>
    <w:rsid w:val="00BC3E04"/>
    <w:rsid w:val="00BD58CF"/>
    <w:rsid w:val="00BF0C92"/>
    <w:rsid w:val="00C04CC1"/>
    <w:rsid w:val="00C11721"/>
    <w:rsid w:val="00C14F25"/>
    <w:rsid w:val="00C317F2"/>
    <w:rsid w:val="00C4096C"/>
    <w:rsid w:val="00C50C6D"/>
    <w:rsid w:val="00C600D9"/>
    <w:rsid w:val="00C75CF3"/>
    <w:rsid w:val="00C92B22"/>
    <w:rsid w:val="00C9505E"/>
    <w:rsid w:val="00CA6425"/>
    <w:rsid w:val="00CC1384"/>
    <w:rsid w:val="00CD3720"/>
    <w:rsid w:val="00CF0CC7"/>
    <w:rsid w:val="00CF1848"/>
    <w:rsid w:val="00CF5C2F"/>
    <w:rsid w:val="00D04BCF"/>
    <w:rsid w:val="00D11A56"/>
    <w:rsid w:val="00D143D9"/>
    <w:rsid w:val="00D30C95"/>
    <w:rsid w:val="00D51C15"/>
    <w:rsid w:val="00D5511B"/>
    <w:rsid w:val="00D766F1"/>
    <w:rsid w:val="00DD2E17"/>
    <w:rsid w:val="00DF7D88"/>
    <w:rsid w:val="00E011FC"/>
    <w:rsid w:val="00E05BEE"/>
    <w:rsid w:val="00E069F6"/>
    <w:rsid w:val="00E257C8"/>
    <w:rsid w:val="00E40A10"/>
    <w:rsid w:val="00E41512"/>
    <w:rsid w:val="00E41C0E"/>
    <w:rsid w:val="00E4519A"/>
    <w:rsid w:val="00E853D5"/>
    <w:rsid w:val="00E9773B"/>
    <w:rsid w:val="00EA6F42"/>
    <w:rsid w:val="00EC13A3"/>
    <w:rsid w:val="00EC7C85"/>
    <w:rsid w:val="00ED2CBE"/>
    <w:rsid w:val="00EE69B7"/>
    <w:rsid w:val="00EE7674"/>
    <w:rsid w:val="00EF28A2"/>
    <w:rsid w:val="00F125EE"/>
    <w:rsid w:val="00F12E98"/>
    <w:rsid w:val="00F12F1E"/>
    <w:rsid w:val="00F22029"/>
    <w:rsid w:val="00F515FB"/>
    <w:rsid w:val="00F630EA"/>
    <w:rsid w:val="00F7007E"/>
    <w:rsid w:val="00F73193"/>
    <w:rsid w:val="00F74F95"/>
    <w:rsid w:val="00F80705"/>
    <w:rsid w:val="00FA1481"/>
    <w:rsid w:val="00FA227B"/>
    <w:rsid w:val="00FA2FB8"/>
    <w:rsid w:val="00FA5CCA"/>
    <w:rsid w:val="00FF04E3"/>
    <w:rsid w:val="00FF3C3A"/>
    <w:rsid w:val="49592D5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lsdException w:name="annotation text" w:semiHidden="1" w:uiPriority="99" w:unhideWhenUsed="1" w:qFormat="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qFormat="1"/>
    <w:lsdException w:name="line number" w:semiHidden="1" w:unhideWhenUsed="1"/>
    <w:lsdException w:name="page number" w:semiHidden="1" w:uiPriority="99" w:unhideWhenUsed="1" w:qFormat="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semiHidden="1"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F630EA"/>
    <w:rPr>
      <w:sz w:val="24"/>
    </w:rPr>
  </w:style>
  <w:style w:type="paragraph" w:styleId="1">
    <w:name w:val="heading 1"/>
    <w:basedOn w:val="a1"/>
    <w:next w:val="a1"/>
    <w:link w:val="10"/>
    <w:uiPriority w:val="9"/>
    <w:qFormat/>
    <w:rsid w:val="00B43B31"/>
    <w:pPr>
      <w:keepNext/>
      <w:spacing w:before="240" w:after="60"/>
      <w:outlineLvl w:val="0"/>
    </w:pPr>
    <w:rPr>
      <w:b/>
      <w:bCs/>
      <w:kern w:val="32"/>
      <w:szCs w:val="24"/>
    </w:rPr>
  </w:style>
  <w:style w:type="paragraph" w:styleId="21">
    <w:name w:val="heading 2"/>
    <w:basedOn w:val="a1"/>
    <w:next w:val="a1"/>
    <w:link w:val="22"/>
    <w:uiPriority w:val="9"/>
    <w:semiHidden/>
    <w:qFormat/>
    <w:rsid w:val="007411A1"/>
    <w:pPr>
      <w:keepNext/>
      <w:spacing w:before="240" w:after="60"/>
      <w:outlineLvl w:val="1"/>
    </w:pPr>
    <w:rPr>
      <w:rFonts w:ascii="Cambria" w:hAnsi="Cambria"/>
      <w:b/>
      <w:bCs/>
      <w:i/>
      <w:iCs/>
      <w:sz w:val="28"/>
      <w:szCs w:val="28"/>
    </w:rPr>
  </w:style>
  <w:style w:type="paragraph" w:styleId="31">
    <w:name w:val="heading 3"/>
    <w:basedOn w:val="a1"/>
    <w:next w:val="a1"/>
    <w:link w:val="32"/>
    <w:uiPriority w:val="9"/>
    <w:semiHidden/>
    <w:qFormat/>
    <w:rsid w:val="00C600D9"/>
    <w:pPr>
      <w:keepNext/>
      <w:spacing w:line="480" w:lineRule="auto"/>
      <w:outlineLvl w:val="2"/>
    </w:pPr>
    <w:rPr>
      <w:rFonts w:ascii="Times" w:eastAsia="Times" w:hAnsi="Times"/>
      <w:b/>
    </w:rPr>
  </w:style>
  <w:style w:type="paragraph" w:styleId="41">
    <w:name w:val="heading 4"/>
    <w:basedOn w:val="a1"/>
    <w:next w:val="a1"/>
    <w:link w:val="42"/>
    <w:uiPriority w:val="9"/>
    <w:qFormat/>
    <w:rsid w:val="00C600D9"/>
    <w:pPr>
      <w:keepNext/>
      <w:spacing w:line="480" w:lineRule="auto"/>
      <w:outlineLvl w:val="3"/>
    </w:pPr>
    <w:rPr>
      <w:rFonts w:ascii="Times" w:hAnsi="Times"/>
      <w:b/>
      <w:color w:val="0000FF"/>
      <w:sz w:val="44"/>
    </w:rPr>
  </w:style>
  <w:style w:type="paragraph" w:styleId="51">
    <w:name w:val="heading 5"/>
    <w:basedOn w:val="a1"/>
    <w:next w:val="a1"/>
    <w:link w:val="52"/>
    <w:uiPriority w:val="9"/>
    <w:semiHidden/>
    <w:qFormat/>
    <w:rsid w:val="007411A1"/>
    <w:pPr>
      <w:spacing w:before="240" w:after="60"/>
      <w:outlineLvl w:val="4"/>
    </w:pPr>
    <w:rPr>
      <w:rFonts w:ascii="Calibri" w:hAnsi="Calibri"/>
      <w:b/>
      <w:bCs/>
      <w:i/>
      <w:iCs/>
      <w:sz w:val="26"/>
      <w:szCs w:val="26"/>
    </w:rPr>
  </w:style>
  <w:style w:type="paragraph" w:styleId="6">
    <w:name w:val="heading 6"/>
    <w:basedOn w:val="a1"/>
    <w:next w:val="a1"/>
    <w:link w:val="60"/>
    <w:uiPriority w:val="9"/>
    <w:semiHidden/>
    <w:qFormat/>
    <w:rsid w:val="007411A1"/>
    <w:pPr>
      <w:spacing w:before="240" w:after="60"/>
      <w:outlineLvl w:val="5"/>
    </w:pPr>
    <w:rPr>
      <w:rFonts w:ascii="Calibri" w:hAnsi="Calibri"/>
      <w:b/>
      <w:bCs/>
      <w:sz w:val="22"/>
      <w:szCs w:val="22"/>
    </w:rPr>
  </w:style>
  <w:style w:type="paragraph" w:styleId="7">
    <w:name w:val="heading 7"/>
    <w:basedOn w:val="a1"/>
    <w:next w:val="a1"/>
    <w:link w:val="70"/>
    <w:uiPriority w:val="9"/>
    <w:semiHidden/>
    <w:qFormat/>
    <w:rsid w:val="007411A1"/>
    <w:pPr>
      <w:spacing w:before="240" w:after="60"/>
      <w:outlineLvl w:val="6"/>
    </w:pPr>
    <w:rPr>
      <w:rFonts w:ascii="Calibri" w:hAnsi="Calibri"/>
      <w:szCs w:val="24"/>
    </w:rPr>
  </w:style>
  <w:style w:type="paragraph" w:styleId="8">
    <w:name w:val="heading 8"/>
    <w:basedOn w:val="a1"/>
    <w:next w:val="a1"/>
    <w:link w:val="80"/>
    <w:uiPriority w:val="9"/>
    <w:semiHidden/>
    <w:qFormat/>
    <w:rsid w:val="007411A1"/>
    <w:pPr>
      <w:spacing w:before="240" w:after="60"/>
      <w:outlineLvl w:val="7"/>
    </w:pPr>
    <w:rPr>
      <w:rFonts w:ascii="Calibri" w:hAnsi="Calibri"/>
      <w:i/>
      <w:iCs/>
      <w:szCs w:val="24"/>
    </w:rPr>
  </w:style>
  <w:style w:type="paragraph" w:styleId="9">
    <w:name w:val="heading 9"/>
    <w:basedOn w:val="a1"/>
    <w:next w:val="a1"/>
    <w:link w:val="90"/>
    <w:uiPriority w:val="9"/>
    <w:semiHidden/>
    <w:qFormat/>
    <w:rsid w:val="007411A1"/>
    <w:pPr>
      <w:spacing w:before="240" w:after="60"/>
      <w:outlineLvl w:val="8"/>
    </w:pPr>
    <w:rPr>
      <w:rFonts w:ascii="Cambria" w:hAnsi="Cambria"/>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page number"/>
    <w:basedOn w:val="a2"/>
    <w:uiPriority w:val="99"/>
    <w:semiHidden/>
    <w:qFormat/>
    <w:rsid w:val="00477182"/>
  </w:style>
  <w:style w:type="character" w:customStyle="1" w:styleId="10">
    <w:name w:val="标题 1 字符"/>
    <w:link w:val="1"/>
    <w:uiPriority w:val="9"/>
    <w:qFormat/>
    <w:rsid w:val="00FF04E3"/>
    <w:rPr>
      <w:b/>
      <w:bCs/>
      <w:kern w:val="32"/>
      <w:sz w:val="24"/>
      <w:szCs w:val="24"/>
    </w:rPr>
  </w:style>
  <w:style w:type="character" w:customStyle="1" w:styleId="22">
    <w:name w:val="标题 2 字符"/>
    <w:link w:val="21"/>
    <w:uiPriority w:val="9"/>
    <w:semiHidden/>
    <w:qFormat/>
    <w:rsid w:val="00FF04E3"/>
    <w:rPr>
      <w:rFonts w:ascii="Cambria" w:hAnsi="Cambria"/>
      <w:b/>
      <w:bCs/>
      <w:i/>
      <w:iCs/>
      <w:sz w:val="28"/>
      <w:szCs w:val="28"/>
    </w:rPr>
  </w:style>
  <w:style w:type="character" w:customStyle="1" w:styleId="52">
    <w:name w:val="标题 5 字符"/>
    <w:link w:val="51"/>
    <w:uiPriority w:val="9"/>
    <w:semiHidden/>
    <w:qFormat/>
    <w:rsid w:val="00FF04E3"/>
    <w:rPr>
      <w:rFonts w:ascii="Calibri" w:hAnsi="Calibri"/>
      <w:b/>
      <w:bCs/>
      <w:i/>
      <w:iCs/>
      <w:sz w:val="26"/>
      <w:szCs w:val="26"/>
    </w:rPr>
  </w:style>
  <w:style w:type="character" w:customStyle="1" w:styleId="60">
    <w:name w:val="标题 6 字符"/>
    <w:link w:val="6"/>
    <w:uiPriority w:val="9"/>
    <w:semiHidden/>
    <w:qFormat/>
    <w:rsid w:val="00FF04E3"/>
    <w:rPr>
      <w:rFonts w:ascii="Calibri" w:hAnsi="Calibri"/>
      <w:b/>
      <w:bCs/>
      <w:sz w:val="22"/>
      <w:szCs w:val="22"/>
    </w:rPr>
  </w:style>
  <w:style w:type="character" w:customStyle="1" w:styleId="70">
    <w:name w:val="标题 7 字符"/>
    <w:link w:val="7"/>
    <w:uiPriority w:val="9"/>
    <w:semiHidden/>
    <w:qFormat/>
    <w:rsid w:val="00FF04E3"/>
    <w:rPr>
      <w:rFonts w:ascii="Calibri" w:hAnsi="Calibri"/>
      <w:sz w:val="24"/>
      <w:szCs w:val="24"/>
    </w:rPr>
  </w:style>
  <w:style w:type="character" w:customStyle="1" w:styleId="80">
    <w:name w:val="标题 8 字符"/>
    <w:link w:val="8"/>
    <w:uiPriority w:val="9"/>
    <w:semiHidden/>
    <w:qFormat/>
    <w:rsid w:val="00FF04E3"/>
    <w:rPr>
      <w:rFonts w:ascii="Calibri" w:hAnsi="Calibri"/>
      <w:i/>
      <w:iCs/>
      <w:sz w:val="24"/>
      <w:szCs w:val="24"/>
    </w:rPr>
  </w:style>
  <w:style w:type="character" w:customStyle="1" w:styleId="90">
    <w:name w:val="标题 9 字符"/>
    <w:link w:val="9"/>
    <w:uiPriority w:val="9"/>
    <w:semiHidden/>
    <w:qFormat/>
    <w:rsid w:val="00FF04E3"/>
    <w:rPr>
      <w:rFonts w:ascii="Cambria" w:hAnsi="Cambria"/>
      <w:sz w:val="22"/>
      <w:szCs w:val="22"/>
    </w:rPr>
  </w:style>
  <w:style w:type="paragraph" w:customStyle="1" w:styleId="SMHeading">
    <w:name w:val="SM Heading"/>
    <w:basedOn w:val="1"/>
    <w:qFormat/>
    <w:rsid w:val="00F74F95"/>
  </w:style>
  <w:style w:type="paragraph" w:customStyle="1" w:styleId="SMSubheading">
    <w:name w:val="SM Subheading"/>
    <w:basedOn w:val="a1"/>
    <w:qFormat/>
    <w:rsid w:val="00B9440A"/>
    <w:rPr>
      <w:u w:val="words"/>
    </w:rPr>
  </w:style>
  <w:style w:type="paragraph" w:customStyle="1" w:styleId="SMText">
    <w:name w:val="SM Text"/>
    <w:basedOn w:val="a1"/>
    <w:qFormat/>
    <w:rsid w:val="00B9440A"/>
    <w:pPr>
      <w:ind w:firstLine="480"/>
    </w:pPr>
  </w:style>
  <w:style w:type="paragraph" w:customStyle="1" w:styleId="SMcaption">
    <w:name w:val="SM caption"/>
    <w:basedOn w:val="SMText"/>
    <w:qFormat/>
    <w:rsid w:val="00B9440A"/>
    <w:pPr>
      <w:ind w:firstLine="0"/>
    </w:pPr>
  </w:style>
  <w:style w:type="paragraph" w:styleId="a6">
    <w:name w:val="Balloon Text"/>
    <w:basedOn w:val="a1"/>
    <w:link w:val="a7"/>
    <w:semiHidden/>
    <w:rsid w:val="00405336"/>
    <w:rPr>
      <w:rFonts w:ascii="Tahoma" w:hAnsi="Tahoma" w:cs="Tahoma"/>
      <w:sz w:val="16"/>
      <w:szCs w:val="16"/>
    </w:rPr>
  </w:style>
  <w:style w:type="character" w:customStyle="1" w:styleId="a7">
    <w:name w:val="批注框文本 字符"/>
    <w:link w:val="a6"/>
    <w:semiHidden/>
    <w:rsid w:val="00FF04E3"/>
    <w:rPr>
      <w:rFonts w:ascii="Tahoma" w:hAnsi="Tahoma" w:cs="Tahoma"/>
      <w:sz w:val="16"/>
      <w:szCs w:val="16"/>
    </w:rPr>
  </w:style>
  <w:style w:type="paragraph" w:styleId="a8">
    <w:name w:val="Bibliography"/>
    <w:basedOn w:val="a1"/>
    <w:next w:val="a1"/>
    <w:uiPriority w:val="37"/>
    <w:rsid w:val="00405336"/>
    <w:pPr>
      <w:tabs>
        <w:tab w:val="left" w:pos="380"/>
        <w:tab w:val="left" w:pos="500"/>
      </w:tabs>
      <w:spacing w:after="240"/>
    </w:pPr>
  </w:style>
  <w:style w:type="paragraph" w:styleId="a9">
    <w:name w:val="Block Text"/>
    <w:basedOn w:val="a1"/>
    <w:semiHidden/>
    <w:rsid w:val="00405336"/>
    <w:pPr>
      <w:spacing w:after="120"/>
      <w:ind w:left="1440" w:right="1440"/>
    </w:pPr>
  </w:style>
  <w:style w:type="paragraph" w:styleId="aa">
    <w:name w:val="Body Text"/>
    <w:basedOn w:val="a1"/>
    <w:link w:val="ab"/>
    <w:semiHidden/>
    <w:rsid w:val="00405336"/>
    <w:pPr>
      <w:spacing w:after="120"/>
    </w:pPr>
  </w:style>
  <w:style w:type="character" w:customStyle="1" w:styleId="ab">
    <w:name w:val="正文文本 字符"/>
    <w:link w:val="aa"/>
    <w:semiHidden/>
    <w:rsid w:val="00FF04E3"/>
    <w:rPr>
      <w:sz w:val="24"/>
    </w:rPr>
  </w:style>
  <w:style w:type="paragraph" w:styleId="23">
    <w:name w:val="Body Text 2"/>
    <w:basedOn w:val="a1"/>
    <w:link w:val="24"/>
    <w:semiHidden/>
    <w:rsid w:val="00405336"/>
    <w:pPr>
      <w:spacing w:after="120" w:line="480" w:lineRule="auto"/>
    </w:pPr>
  </w:style>
  <w:style w:type="character" w:customStyle="1" w:styleId="24">
    <w:name w:val="正文文本 2 字符"/>
    <w:link w:val="23"/>
    <w:semiHidden/>
    <w:rsid w:val="00FF04E3"/>
    <w:rPr>
      <w:sz w:val="24"/>
    </w:rPr>
  </w:style>
  <w:style w:type="paragraph" w:styleId="33">
    <w:name w:val="Body Text 3"/>
    <w:basedOn w:val="a1"/>
    <w:link w:val="34"/>
    <w:semiHidden/>
    <w:rsid w:val="00405336"/>
    <w:pPr>
      <w:spacing w:after="120"/>
    </w:pPr>
    <w:rPr>
      <w:sz w:val="16"/>
      <w:szCs w:val="16"/>
    </w:rPr>
  </w:style>
  <w:style w:type="character" w:customStyle="1" w:styleId="34">
    <w:name w:val="正文文本 3 字符"/>
    <w:link w:val="33"/>
    <w:semiHidden/>
    <w:rsid w:val="00FF04E3"/>
    <w:rPr>
      <w:sz w:val="16"/>
      <w:szCs w:val="16"/>
    </w:rPr>
  </w:style>
  <w:style w:type="paragraph" w:styleId="ac">
    <w:name w:val="Body Text First Indent"/>
    <w:basedOn w:val="aa"/>
    <w:link w:val="ad"/>
    <w:semiHidden/>
    <w:rsid w:val="00405336"/>
    <w:pPr>
      <w:ind w:firstLine="210"/>
    </w:pPr>
  </w:style>
  <w:style w:type="character" w:customStyle="1" w:styleId="ad">
    <w:name w:val="正文文本首行缩进 字符"/>
    <w:link w:val="ac"/>
    <w:semiHidden/>
    <w:rsid w:val="00FF04E3"/>
    <w:rPr>
      <w:sz w:val="24"/>
    </w:rPr>
  </w:style>
  <w:style w:type="paragraph" w:styleId="ae">
    <w:name w:val="Body Text Indent"/>
    <w:basedOn w:val="a1"/>
    <w:link w:val="af"/>
    <w:semiHidden/>
    <w:rsid w:val="00405336"/>
    <w:pPr>
      <w:spacing w:after="120"/>
      <w:ind w:left="360"/>
    </w:pPr>
  </w:style>
  <w:style w:type="character" w:customStyle="1" w:styleId="af">
    <w:name w:val="正文文本缩进 字符"/>
    <w:link w:val="ae"/>
    <w:semiHidden/>
    <w:rsid w:val="00FF04E3"/>
    <w:rPr>
      <w:sz w:val="24"/>
    </w:rPr>
  </w:style>
  <w:style w:type="paragraph" w:styleId="25">
    <w:name w:val="Body Text First Indent 2"/>
    <w:basedOn w:val="ae"/>
    <w:link w:val="26"/>
    <w:semiHidden/>
    <w:rsid w:val="00405336"/>
    <w:pPr>
      <w:ind w:firstLine="210"/>
    </w:pPr>
  </w:style>
  <w:style w:type="character" w:customStyle="1" w:styleId="26">
    <w:name w:val="正文文本首行缩进 2 字符"/>
    <w:link w:val="25"/>
    <w:semiHidden/>
    <w:rsid w:val="00FF04E3"/>
    <w:rPr>
      <w:sz w:val="24"/>
    </w:rPr>
  </w:style>
  <w:style w:type="paragraph" w:styleId="27">
    <w:name w:val="Body Text Indent 2"/>
    <w:basedOn w:val="a1"/>
    <w:link w:val="28"/>
    <w:semiHidden/>
    <w:rsid w:val="00405336"/>
    <w:pPr>
      <w:spacing w:after="120" w:line="480" w:lineRule="auto"/>
      <w:ind w:left="360"/>
    </w:pPr>
  </w:style>
  <w:style w:type="character" w:customStyle="1" w:styleId="28">
    <w:name w:val="正文文本缩进 2 字符"/>
    <w:link w:val="27"/>
    <w:semiHidden/>
    <w:rsid w:val="00FF04E3"/>
    <w:rPr>
      <w:sz w:val="24"/>
    </w:rPr>
  </w:style>
  <w:style w:type="paragraph" w:styleId="35">
    <w:name w:val="Body Text Indent 3"/>
    <w:basedOn w:val="a1"/>
    <w:link w:val="36"/>
    <w:semiHidden/>
    <w:rsid w:val="00405336"/>
    <w:pPr>
      <w:spacing w:after="120"/>
      <w:ind w:left="360"/>
    </w:pPr>
    <w:rPr>
      <w:sz w:val="16"/>
      <w:szCs w:val="16"/>
    </w:rPr>
  </w:style>
  <w:style w:type="character" w:customStyle="1" w:styleId="36">
    <w:name w:val="正文文本缩进 3 字符"/>
    <w:link w:val="35"/>
    <w:semiHidden/>
    <w:rsid w:val="00FF04E3"/>
    <w:rPr>
      <w:sz w:val="16"/>
      <w:szCs w:val="16"/>
    </w:rPr>
  </w:style>
  <w:style w:type="paragraph" w:styleId="af0">
    <w:name w:val="caption"/>
    <w:basedOn w:val="a1"/>
    <w:next w:val="a1"/>
    <w:semiHidden/>
    <w:qFormat/>
    <w:rsid w:val="00405336"/>
    <w:rPr>
      <w:b/>
      <w:bCs/>
      <w:sz w:val="20"/>
    </w:rPr>
  </w:style>
  <w:style w:type="paragraph" w:styleId="af1">
    <w:name w:val="Closing"/>
    <w:basedOn w:val="a1"/>
    <w:link w:val="af2"/>
    <w:semiHidden/>
    <w:rsid w:val="00405336"/>
    <w:pPr>
      <w:ind w:left="4320"/>
    </w:pPr>
  </w:style>
  <w:style w:type="character" w:customStyle="1" w:styleId="af2">
    <w:name w:val="结束语 字符"/>
    <w:link w:val="af1"/>
    <w:semiHidden/>
    <w:rsid w:val="00FF04E3"/>
    <w:rPr>
      <w:sz w:val="24"/>
    </w:rPr>
  </w:style>
  <w:style w:type="paragraph" w:styleId="af3">
    <w:name w:val="annotation text"/>
    <w:basedOn w:val="a1"/>
    <w:link w:val="af4"/>
    <w:uiPriority w:val="99"/>
    <w:qFormat/>
    <w:rsid w:val="00405336"/>
    <w:rPr>
      <w:sz w:val="20"/>
    </w:rPr>
  </w:style>
  <w:style w:type="character" w:customStyle="1" w:styleId="af4">
    <w:name w:val="批注文字 字符"/>
    <w:basedOn w:val="a2"/>
    <w:link w:val="af3"/>
    <w:uiPriority w:val="99"/>
    <w:rsid w:val="00FF04E3"/>
  </w:style>
  <w:style w:type="paragraph" w:styleId="af5">
    <w:name w:val="annotation subject"/>
    <w:basedOn w:val="af3"/>
    <w:next w:val="af3"/>
    <w:link w:val="af6"/>
    <w:uiPriority w:val="99"/>
    <w:semiHidden/>
    <w:qFormat/>
    <w:rsid w:val="00405336"/>
    <w:rPr>
      <w:b/>
      <w:bCs/>
    </w:rPr>
  </w:style>
  <w:style w:type="character" w:customStyle="1" w:styleId="af6">
    <w:name w:val="批注主题 字符"/>
    <w:link w:val="af5"/>
    <w:uiPriority w:val="99"/>
    <w:semiHidden/>
    <w:qFormat/>
    <w:rsid w:val="00FF04E3"/>
    <w:rPr>
      <w:b/>
      <w:bCs/>
    </w:rPr>
  </w:style>
  <w:style w:type="paragraph" w:styleId="af7">
    <w:name w:val="Date"/>
    <w:basedOn w:val="a1"/>
    <w:next w:val="a1"/>
    <w:link w:val="af8"/>
    <w:semiHidden/>
    <w:rsid w:val="00405336"/>
  </w:style>
  <w:style w:type="character" w:customStyle="1" w:styleId="af8">
    <w:name w:val="日期 字符"/>
    <w:link w:val="af7"/>
    <w:semiHidden/>
    <w:rsid w:val="00FF04E3"/>
    <w:rPr>
      <w:sz w:val="24"/>
    </w:rPr>
  </w:style>
  <w:style w:type="paragraph" w:styleId="af9">
    <w:name w:val="Document Map"/>
    <w:basedOn w:val="a1"/>
    <w:link w:val="afa"/>
    <w:semiHidden/>
    <w:rsid w:val="00405336"/>
    <w:rPr>
      <w:rFonts w:ascii="Tahoma" w:hAnsi="Tahoma" w:cs="Tahoma"/>
      <w:sz w:val="16"/>
      <w:szCs w:val="16"/>
    </w:rPr>
  </w:style>
  <w:style w:type="character" w:customStyle="1" w:styleId="afa">
    <w:name w:val="文档结构图 字符"/>
    <w:link w:val="af9"/>
    <w:semiHidden/>
    <w:rsid w:val="00FF04E3"/>
    <w:rPr>
      <w:rFonts w:ascii="Tahoma" w:hAnsi="Tahoma" w:cs="Tahoma"/>
      <w:sz w:val="16"/>
      <w:szCs w:val="16"/>
    </w:rPr>
  </w:style>
  <w:style w:type="paragraph" w:styleId="afb">
    <w:name w:val="E-mail Signature"/>
    <w:basedOn w:val="a1"/>
    <w:link w:val="afc"/>
    <w:semiHidden/>
    <w:rsid w:val="00405336"/>
  </w:style>
  <w:style w:type="character" w:customStyle="1" w:styleId="afc">
    <w:name w:val="电子邮件签名 字符"/>
    <w:link w:val="afb"/>
    <w:semiHidden/>
    <w:rsid w:val="00FF04E3"/>
    <w:rPr>
      <w:sz w:val="24"/>
    </w:rPr>
  </w:style>
  <w:style w:type="paragraph" w:styleId="afd">
    <w:name w:val="endnote text"/>
    <w:basedOn w:val="a1"/>
    <w:link w:val="afe"/>
    <w:semiHidden/>
    <w:rsid w:val="00405336"/>
    <w:rPr>
      <w:sz w:val="20"/>
    </w:rPr>
  </w:style>
  <w:style w:type="character" w:customStyle="1" w:styleId="afe">
    <w:name w:val="尾注文本 字符"/>
    <w:basedOn w:val="a2"/>
    <w:link w:val="afd"/>
    <w:semiHidden/>
    <w:rsid w:val="00FF04E3"/>
  </w:style>
  <w:style w:type="paragraph" w:styleId="aff">
    <w:name w:val="envelope address"/>
    <w:basedOn w:val="a1"/>
    <w:semiHidden/>
    <w:rsid w:val="00405336"/>
    <w:pPr>
      <w:framePr w:w="7920" w:h="1980" w:hRule="exact" w:hSpace="180" w:wrap="auto" w:hAnchor="page" w:xAlign="center" w:yAlign="bottom"/>
      <w:ind w:left="2880"/>
    </w:pPr>
    <w:rPr>
      <w:rFonts w:ascii="Cambria" w:hAnsi="Cambria"/>
      <w:szCs w:val="24"/>
    </w:rPr>
  </w:style>
  <w:style w:type="paragraph" w:styleId="aff0">
    <w:name w:val="envelope return"/>
    <w:basedOn w:val="a1"/>
    <w:semiHidden/>
    <w:rsid w:val="00405336"/>
    <w:rPr>
      <w:rFonts w:ascii="Cambria" w:hAnsi="Cambria"/>
      <w:sz w:val="20"/>
    </w:rPr>
  </w:style>
  <w:style w:type="paragraph" w:styleId="aff1">
    <w:name w:val="footer"/>
    <w:basedOn w:val="a1"/>
    <w:link w:val="aff2"/>
    <w:uiPriority w:val="99"/>
    <w:qFormat/>
    <w:rsid w:val="00405336"/>
    <w:pPr>
      <w:tabs>
        <w:tab w:val="center" w:pos="4680"/>
        <w:tab w:val="right" w:pos="9360"/>
      </w:tabs>
    </w:pPr>
  </w:style>
  <w:style w:type="character" w:customStyle="1" w:styleId="aff2">
    <w:name w:val="页脚 字符"/>
    <w:link w:val="aff1"/>
    <w:uiPriority w:val="99"/>
    <w:rsid w:val="00FF04E3"/>
    <w:rPr>
      <w:sz w:val="24"/>
    </w:rPr>
  </w:style>
  <w:style w:type="paragraph" w:styleId="aff3">
    <w:name w:val="footnote text"/>
    <w:basedOn w:val="a1"/>
    <w:link w:val="aff4"/>
    <w:semiHidden/>
    <w:rsid w:val="00405336"/>
    <w:rPr>
      <w:sz w:val="20"/>
    </w:rPr>
  </w:style>
  <w:style w:type="character" w:customStyle="1" w:styleId="aff4">
    <w:name w:val="脚注文本 字符"/>
    <w:basedOn w:val="a2"/>
    <w:link w:val="aff3"/>
    <w:semiHidden/>
    <w:rsid w:val="00FF04E3"/>
  </w:style>
  <w:style w:type="paragraph" w:styleId="aff5">
    <w:name w:val="header"/>
    <w:basedOn w:val="a1"/>
    <w:link w:val="aff6"/>
    <w:uiPriority w:val="99"/>
    <w:qFormat/>
    <w:rsid w:val="00405336"/>
    <w:pPr>
      <w:tabs>
        <w:tab w:val="center" w:pos="4680"/>
        <w:tab w:val="right" w:pos="9360"/>
      </w:tabs>
    </w:pPr>
  </w:style>
  <w:style w:type="character" w:customStyle="1" w:styleId="aff6">
    <w:name w:val="页眉 字符"/>
    <w:link w:val="aff5"/>
    <w:uiPriority w:val="99"/>
    <w:qFormat/>
    <w:rsid w:val="00FF04E3"/>
    <w:rPr>
      <w:sz w:val="24"/>
    </w:rPr>
  </w:style>
  <w:style w:type="paragraph" w:styleId="HTML">
    <w:name w:val="HTML Address"/>
    <w:basedOn w:val="a1"/>
    <w:link w:val="HTML0"/>
    <w:semiHidden/>
    <w:rsid w:val="00405336"/>
    <w:rPr>
      <w:i/>
      <w:iCs/>
    </w:rPr>
  </w:style>
  <w:style w:type="character" w:customStyle="1" w:styleId="HTML0">
    <w:name w:val="HTML 地址 字符"/>
    <w:link w:val="HTML"/>
    <w:semiHidden/>
    <w:rsid w:val="00FF04E3"/>
    <w:rPr>
      <w:i/>
      <w:iCs/>
      <w:sz w:val="24"/>
    </w:rPr>
  </w:style>
  <w:style w:type="paragraph" w:styleId="HTML1">
    <w:name w:val="HTML Preformatted"/>
    <w:basedOn w:val="a1"/>
    <w:link w:val="HTML2"/>
    <w:semiHidden/>
    <w:rsid w:val="00405336"/>
    <w:rPr>
      <w:rFonts w:ascii="Courier New" w:hAnsi="Courier New" w:cs="Courier New"/>
      <w:sz w:val="20"/>
    </w:rPr>
  </w:style>
  <w:style w:type="character" w:customStyle="1" w:styleId="HTML2">
    <w:name w:val="HTML 预设格式 字符"/>
    <w:link w:val="HTML1"/>
    <w:semiHidden/>
    <w:rsid w:val="00FF04E3"/>
    <w:rPr>
      <w:rFonts w:ascii="Courier New" w:hAnsi="Courier New" w:cs="Courier New"/>
    </w:rPr>
  </w:style>
  <w:style w:type="paragraph" w:styleId="11">
    <w:name w:val="index 1"/>
    <w:basedOn w:val="a1"/>
    <w:next w:val="a1"/>
    <w:autoRedefine/>
    <w:semiHidden/>
    <w:rsid w:val="00405336"/>
    <w:pPr>
      <w:ind w:left="240" w:hanging="240"/>
    </w:pPr>
  </w:style>
  <w:style w:type="paragraph" w:styleId="29">
    <w:name w:val="index 2"/>
    <w:basedOn w:val="a1"/>
    <w:next w:val="a1"/>
    <w:autoRedefine/>
    <w:semiHidden/>
    <w:rsid w:val="00405336"/>
    <w:pPr>
      <w:ind w:left="480" w:hanging="240"/>
    </w:pPr>
  </w:style>
  <w:style w:type="paragraph" w:styleId="37">
    <w:name w:val="index 3"/>
    <w:basedOn w:val="a1"/>
    <w:next w:val="a1"/>
    <w:autoRedefine/>
    <w:semiHidden/>
    <w:rsid w:val="00405336"/>
    <w:pPr>
      <w:ind w:left="720" w:hanging="240"/>
    </w:pPr>
  </w:style>
  <w:style w:type="paragraph" w:styleId="43">
    <w:name w:val="index 4"/>
    <w:basedOn w:val="a1"/>
    <w:next w:val="a1"/>
    <w:autoRedefine/>
    <w:semiHidden/>
    <w:rsid w:val="00405336"/>
    <w:pPr>
      <w:ind w:left="960" w:hanging="240"/>
    </w:pPr>
  </w:style>
  <w:style w:type="paragraph" w:styleId="53">
    <w:name w:val="index 5"/>
    <w:basedOn w:val="a1"/>
    <w:next w:val="a1"/>
    <w:autoRedefine/>
    <w:semiHidden/>
    <w:rsid w:val="00405336"/>
    <w:pPr>
      <w:ind w:left="1200" w:hanging="240"/>
    </w:pPr>
  </w:style>
  <w:style w:type="paragraph" w:styleId="61">
    <w:name w:val="index 6"/>
    <w:basedOn w:val="a1"/>
    <w:next w:val="a1"/>
    <w:autoRedefine/>
    <w:semiHidden/>
    <w:rsid w:val="00405336"/>
    <w:pPr>
      <w:ind w:left="1440" w:hanging="240"/>
    </w:pPr>
  </w:style>
  <w:style w:type="paragraph" w:styleId="71">
    <w:name w:val="index 7"/>
    <w:basedOn w:val="a1"/>
    <w:next w:val="a1"/>
    <w:autoRedefine/>
    <w:semiHidden/>
    <w:rsid w:val="00405336"/>
    <w:pPr>
      <w:ind w:left="1680" w:hanging="240"/>
    </w:pPr>
  </w:style>
  <w:style w:type="paragraph" w:styleId="81">
    <w:name w:val="index 8"/>
    <w:basedOn w:val="a1"/>
    <w:next w:val="a1"/>
    <w:autoRedefine/>
    <w:semiHidden/>
    <w:rsid w:val="00405336"/>
    <w:pPr>
      <w:ind w:left="1920" w:hanging="240"/>
    </w:pPr>
  </w:style>
  <w:style w:type="paragraph" w:styleId="91">
    <w:name w:val="index 9"/>
    <w:basedOn w:val="a1"/>
    <w:next w:val="a1"/>
    <w:autoRedefine/>
    <w:semiHidden/>
    <w:rsid w:val="00405336"/>
    <w:pPr>
      <w:ind w:left="2160" w:hanging="240"/>
    </w:pPr>
  </w:style>
  <w:style w:type="paragraph" w:styleId="aff7">
    <w:name w:val="index heading"/>
    <w:basedOn w:val="a1"/>
    <w:next w:val="11"/>
    <w:semiHidden/>
    <w:rsid w:val="00405336"/>
    <w:rPr>
      <w:rFonts w:ascii="Cambria" w:hAnsi="Cambria"/>
      <w:b/>
      <w:bCs/>
    </w:rPr>
  </w:style>
  <w:style w:type="paragraph" w:styleId="aff8">
    <w:name w:val="Intense Quote"/>
    <w:basedOn w:val="a1"/>
    <w:next w:val="a1"/>
    <w:link w:val="aff9"/>
    <w:uiPriority w:val="30"/>
    <w:qFormat/>
    <w:rsid w:val="00405336"/>
    <w:pPr>
      <w:pBdr>
        <w:bottom w:val="single" w:sz="4" w:space="4" w:color="4F81BD"/>
      </w:pBdr>
      <w:spacing w:before="200" w:after="280"/>
      <w:ind w:left="936" w:right="936"/>
    </w:pPr>
    <w:rPr>
      <w:b/>
      <w:bCs/>
      <w:i/>
      <w:iCs/>
      <w:color w:val="4F81BD"/>
    </w:rPr>
  </w:style>
  <w:style w:type="character" w:customStyle="1" w:styleId="aff9">
    <w:name w:val="明显引用 字符"/>
    <w:link w:val="aff8"/>
    <w:uiPriority w:val="30"/>
    <w:qFormat/>
    <w:rsid w:val="00FF04E3"/>
    <w:rPr>
      <w:b/>
      <w:bCs/>
      <w:i/>
      <w:iCs/>
      <w:color w:val="4F81BD"/>
      <w:sz w:val="24"/>
    </w:rPr>
  </w:style>
  <w:style w:type="paragraph" w:styleId="affa">
    <w:name w:val="List"/>
    <w:basedOn w:val="a1"/>
    <w:semiHidden/>
    <w:rsid w:val="00405336"/>
    <w:pPr>
      <w:ind w:left="360" w:hanging="360"/>
      <w:contextualSpacing/>
    </w:pPr>
  </w:style>
  <w:style w:type="paragraph" w:styleId="2a">
    <w:name w:val="List 2"/>
    <w:basedOn w:val="a1"/>
    <w:semiHidden/>
    <w:rsid w:val="00405336"/>
    <w:pPr>
      <w:ind w:left="720" w:hanging="360"/>
      <w:contextualSpacing/>
    </w:pPr>
  </w:style>
  <w:style w:type="paragraph" w:styleId="38">
    <w:name w:val="List 3"/>
    <w:basedOn w:val="a1"/>
    <w:semiHidden/>
    <w:rsid w:val="00405336"/>
    <w:pPr>
      <w:ind w:left="1080" w:hanging="360"/>
      <w:contextualSpacing/>
    </w:pPr>
  </w:style>
  <w:style w:type="paragraph" w:styleId="44">
    <w:name w:val="List 4"/>
    <w:basedOn w:val="a1"/>
    <w:semiHidden/>
    <w:rsid w:val="00405336"/>
    <w:pPr>
      <w:ind w:left="1440" w:hanging="360"/>
      <w:contextualSpacing/>
    </w:pPr>
  </w:style>
  <w:style w:type="paragraph" w:styleId="54">
    <w:name w:val="List 5"/>
    <w:basedOn w:val="a1"/>
    <w:semiHidden/>
    <w:rsid w:val="00405336"/>
    <w:pPr>
      <w:ind w:left="1800" w:hanging="360"/>
      <w:contextualSpacing/>
    </w:pPr>
  </w:style>
  <w:style w:type="paragraph" w:styleId="a0">
    <w:name w:val="List Bullet"/>
    <w:basedOn w:val="a1"/>
    <w:semiHidden/>
    <w:rsid w:val="00405336"/>
    <w:pPr>
      <w:numPr>
        <w:numId w:val="1"/>
      </w:numPr>
      <w:contextualSpacing/>
    </w:pPr>
  </w:style>
  <w:style w:type="paragraph" w:styleId="20">
    <w:name w:val="List Bullet 2"/>
    <w:basedOn w:val="a1"/>
    <w:semiHidden/>
    <w:rsid w:val="00405336"/>
    <w:pPr>
      <w:numPr>
        <w:numId w:val="2"/>
      </w:numPr>
      <w:contextualSpacing/>
    </w:pPr>
  </w:style>
  <w:style w:type="paragraph" w:styleId="30">
    <w:name w:val="List Bullet 3"/>
    <w:basedOn w:val="a1"/>
    <w:semiHidden/>
    <w:rsid w:val="00405336"/>
    <w:pPr>
      <w:numPr>
        <w:numId w:val="3"/>
      </w:numPr>
      <w:contextualSpacing/>
    </w:pPr>
  </w:style>
  <w:style w:type="paragraph" w:styleId="40">
    <w:name w:val="List Bullet 4"/>
    <w:basedOn w:val="a1"/>
    <w:semiHidden/>
    <w:rsid w:val="00405336"/>
    <w:pPr>
      <w:numPr>
        <w:numId w:val="4"/>
      </w:numPr>
      <w:contextualSpacing/>
    </w:pPr>
  </w:style>
  <w:style w:type="paragraph" w:styleId="50">
    <w:name w:val="List Bullet 5"/>
    <w:basedOn w:val="a1"/>
    <w:semiHidden/>
    <w:rsid w:val="00405336"/>
    <w:pPr>
      <w:numPr>
        <w:numId w:val="5"/>
      </w:numPr>
      <w:contextualSpacing/>
    </w:pPr>
  </w:style>
  <w:style w:type="paragraph" w:styleId="affb">
    <w:name w:val="List Continue"/>
    <w:basedOn w:val="a1"/>
    <w:semiHidden/>
    <w:rsid w:val="00405336"/>
    <w:pPr>
      <w:spacing w:after="120"/>
      <w:ind w:left="360"/>
      <w:contextualSpacing/>
    </w:pPr>
  </w:style>
  <w:style w:type="paragraph" w:styleId="2b">
    <w:name w:val="List Continue 2"/>
    <w:basedOn w:val="a1"/>
    <w:semiHidden/>
    <w:rsid w:val="00405336"/>
    <w:pPr>
      <w:spacing w:after="120"/>
      <w:ind w:left="720"/>
      <w:contextualSpacing/>
    </w:pPr>
  </w:style>
  <w:style w:type="paragraph" w:styleId="39">
    <w:name w:val="List Continue 3"/>
    <w:basedOn w:val="a1"/>
    <w:semiHidden/>
    <w:rsid w:val="00405336"/>
    <w:pPr>
      <w:spacing w:after="120"/>
      <w:ind w:left="1080"/>
      <w:contextualSpacing/>
    </w:pPr>
  </w:style>
  <w:style w:type="paragraph" w:styleId="45">
    <w:name w:val="List Continue 4"/>
    <w:basedOn w:val="a1"/>
    <w:semiHidden/>
    <w:rsid w:val="00405336"/>
    <w:pPr>
      <w:spacing w:after="120"/>
      <w:ind w:left="1440"/>
      <w:contextualSpacing/>
    </w:pPr>
  </w:style>
  <w:style w:type="paragraph" w:styleId="55">
    <w:name w:val="List Continue 5"/>
    <w:basedOn w:val="a1"/>
    <w:semiHidden/>
    <w:rsid w:val="00405336"/>
    <w:pPr>
      <w:spacing w:after="120"/>
      <w:ind w:left="1800"/>
      <w:contextualSpacing/>
    </w:pPr>
  </w:style>
  <w:style w:type="paragraph" w:styleId="a">
    <w:name w:val="List Number"/>
    <w:basedOn w:val="a1"/>
    <w:semiHidden/>
    <w:rsid w:val="00405336"/>
    <w:pPr>
      <w:numPr>
        <w:numId w:val="6"/>
      </w:numPr>
      <w:contextualSpacing/>
    </w:pPr>
  </w:style>
  <w:style w:type="paragraph" w:styleId="2">
    <w:name w:val="List Number 2"/>
    <w:basedOn w:val="a1"/>
    <w:semiHidden/>
    <w:rsid w:val="00405336"/>
    <w:pPr>
      <w:numPr>
        <w:numId w:val="7"/>
      </w:numPr>
      <w:contextualSpacing/>
    </w:pPr>
  </w:style>
  <w:style w:type="paragraph" w:styleId="3">
    <w:name w:val="List Number 3"/>
    <w:basedOn w:val="a1"/>
    <w:semiHidden/>
    <w:rsid w:val="00405336"/>
    <w:pPr>
      <w:numPr>
        <w:numId w:val="8"/>
      </w:numPr>
      <w:contextualSpacing/>
    </w:pPr>
  </w:style>
  <w:style w:type="paragraph" w:styleId="4">
    <w:name w:val="List Number 4"/>
    <w:basedOn w:val="a1"/>
    <w:semiHidden/>
    <w:rsid w:val="00405336"/>
    <w:pPr>
      <w:numPr>
        <w:numId w:val="9"/>
      </w:numPr>
      <w:contextualSpacing/>
    </w:pPr>
  </w:style>
  <w:style w:type="paragraph" w:styleId="5">
    <w:name w:val="List Number 5"/>
    <w:basedOn w:val="a1"/>
    <w:semiHidden/>
    <w:rsid w:val="00405336"/>
    <w:pPr>
      <w:numPr>
        <w:numId w:val="10"/>
      </w:numPr>
      <w:contextualSpacing/>
    </w:pPr>
  </w:style>
  <w:style w:type="paragraph" w:styleId="affc">
    <w:name w:val="List Paragraph"/>
    <w:basedOn w:val="a1"/>
    <w:uiPriority w:val="34"/>
    <w:qFormat/>
    <w:rsid w:val="00405336"/>
    <w:pPr>
      <w:ind w:left="720"/>
    </w:pPr>
  </w:style>
  <w:style w:type="paragraph" w:styleId="affd">
    <w:name w:val="macro"/>
    <w:link w:val="affe"/>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e">
    <w:name w:val="宏文本 字符"/>
    <w:link w:val="affd"/>
    <w:semiHidden/>
    <w:rsid w:val="00FF04E3"/>
    <w:rPr>
      <w:rFonts w:ascii="Courier New" w:hAnsi="Courier New" w:cs="Courier New"/>
      <w:lang w:val="en-US" w:eastAsia="en-US" w:bidi="ar-SA"/>
    </w:rPr>
  </w:style>
  <w:style w:type="paragraph" w:styleId="afff">
    <w:name w:val="Message Header"/>
    <w:basedOn w:val="a1"/>
    <w:link w:val="afff0"/>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afff0">
    <w:name w:val="信息标题 字符"/>
    <w:link w:val="afff"/>
    <w:semiHidden/>
    <w:rsid w:val="00FF04E3"/>
    <w:rPr>
      <w:rFonts w:ascii="Cambria" w:hAnsi="Cambria"/>
      <w:sz w:val="24"/>
      <w:szCs w:val="24"/>
      <w:shd w:val="pct20" w:color="auto" w:fill="auto"/>
    </w:rPr>
  </w:style>
  <w:style w:type="paragraph" w:styleId="afff1">
    <w:name w:val="No Spacing"/>
    <w:uiPriority w:val="1"/>
    <w:semiHidden/>
    <w:qFormat/>
    <w:rsid w:val="00405336"/>
    <w:rPr>
      <w:sz w:val="24"/>
    </w:rPr>
  </w:style>
  <w:style w:type="paragraph" w:styleId="afff2">
    <w:name w:val="Normal (Web)"/>
    <w:basedOn w:val="a1"/>
    <w:uiPriority w:val="99"/>
    <w:qFormat/>
    <w:rsid w:val="00405336"/>
    <w:rPr>
      <w:szCs w:val="24"/>
    </w:rPr>
  </w:style>
  <w:style w:type="paragraph" w:styleId="afff3">
    <w:name w:val="Normal Indent"/>
    <w:basedOn w:val="a1"/>
    <w:semiHidden/>
    <w:rsid w:val="00405336"/>
    <w:pPr>
      <w:ind w:left="720"/>
    </w:pPr>
  </w:style>
  <w:style w:type="paragraph" w:styleId="afff4">
    <w:name w:val="Note Heading"/>
    <w:basedOn w:val="a1"/>
    <w:next w:val="a1"/>
    <w:link w:val="afff5"/>
    <w:semiHidden/>
    <w:rsid w:val="00405336"/>
  </w:style>
  <w:style w:type="character" w:customStyle="1" w:styleId="afff5">
    <w:name w:val="注释标题 字符"/>
    <w:link w:val="afff4"/>
    <w:semiHidden/>
    <w:rsid w:val="00FF04E3"/>
    <w:rPr>
      <w:sz w:val="24"/>
    </w:rPr>
  </w:style>
  <w:style w:type="paragraph" w:styleId="afff6">
    <w:name w:val="Plain Text"/>
    <w:basedOn w:val="a1"/>
    <w:link w:val="afff7"/>
    <w:semiHidden/>
    <w:rsid w:val="00405336"/>
    <w:rPr>
      <w:rFonts w:ascii="Courier New" w:hAnsi="Courier New" w:cs="Courier New"/>
      <w:sz w:val="20"/>
    </w:rPr>
  </w:style>
  <w:style w:type="character" w:customStyle="1" w:styleId="afff7">
    <w:name w:val="纯文本 字符"/>
    <w:link w:val="afff6"/>
    <w:semiHidden/>
    <w:rsid w:val="00FF04E3"/>
    <w:rPr>
      <w:rFonts w:ascii="Courier New" w:hAnsi="Courier New" w:cs="Courier New"/>
    </w:rPr>
  </w:style>
  <w:style w:type="paragraph" w:styleId="afff8">
    <w:name w:val="Quote"/>
    <w:basedOn w:val="a1"/>
    <w:next w:val="a1"/>
    <w:link w:val="afff9"/>
    <w:uiPriority w:val="29"/>
    <w:qFormat/>
    <w:rsid w:val="00405336"/>
    <w:rPr>
      <w:i/>
      <w:iCs/>
      <w:color w:val="000000"/>
    </w:rPr>
  </w:style>
  <w:style w:type="character" w:customStyle="1" w:styleId="afff9">
    <w:name w:val="引用 字符"/>
    <w:link w:val="afff8"/>
    <w:uiPriority w:val="29"/>
    <w:qFormat/>
    <w:rsid w:val="00FF04E3"/>
    <w:rPr>
      <w:i/>
      <w:iCs/>
      <w:color w:val="000000"/>
      <w:sz w:val="24"/>
    </w:rPr>
  </w:style>
  <w:style w:type="paragraph" w:styleId="afffa">
    <w:name w:val="Salutation"/>
    <w:basedOn w:val="a1"/>
    <w:next w:val="a1"/>
    <w:link w:val="afffb"/>
    <w:semiHidden/>
    <w:rsid w:val="00405336"/>
  </w:style>
  <w:style w:type="character" w:customStyle="1" w:styleId="afffb">
    <w:name w:val="称呼 字符"/>
    <w:link w:val="afffa"/>
    <w:semiHidden/>
    <w:rsid w:val="00FF04E3"/>
    <w:rPr>
      <w:sz w:val="24"/>
    </w:rPr>
  </w:style>
  <w:style w:type="paragraph" w:styleId="afffc">
    <w:name w:val="Signature"/>
    <w:basedOn w:val="a1"/>
    <w:link w:val="afffd"/>
    <w:semiHidden/>
    <w:rsid w:val="00405336"/>
    <w:pPr>
      <w:ind w:left="4320"/>
    </w:pPr>
  </w:style>
  <w:style w:type="character" w:customStyle="1" w:styleId="afffd">
    <w:name w:val="签名 字符"/>
    <w:link w:val="afffc"/>
    <w:semiHidden/>
    <w:rsid w:val="00FF04E3"/>
    <w:rPr>
      <w:sz w:val="24"/>
    </w:rPr>
  </w:style>
  <w:style w:type="paragraph" w:styleId="afffe">
    <w:name w:val="Subtitle"/>
    <w:basedOn w:val="a1"/>
    <w:next w:val="a1"/>
    <w:link w:val="affff"/>
    <w:uiPriority w:val="11"/>
    <w:qFormat/>
    <w:rsid w:val="00405336"/>
    <w:pPr>
      <w:spacing w:after="60"/>
      <w:jc w:val="center"/>
      <w:outlineLvl w:val="1"/>
    </w:pPr>
    <w:rPr>
      <w:rFonts w:ascii="Cambria" w:hAnsi="Cambria"/>
      <w:szCs w:val="24"/>
    </w:rPr>
  </w:style>
  <w:style w:type="character" w:customStyle="1" w:styleId="affff">
    <w:name w:val="副标题 字符"/>
    <w:link w:val="afffe"/>
    <w:uiPriority w:val="11"/>
    <w:qFormat/>
    <w:rsid w:val="00FF04E3"/>
    <w:rPr>
      <w:rFonts w:ascii="Cambria" w:hAnsi="Cambria"/>
      <w:sz w:val="24"/>
      <w:szCs w:val="24"/>
    </w:rPr>
  </w:style>
  <w:style w:type="paragraph" w:styleId="affff0">
    <w:name w:val="table of authorities"/>
    <w:basedOn w:val="a1"/>
    <w:next w:val="a1"/>
    <w:semiHidden/>
    <w:rsid w:val="00405336"/>
    <w:pPr>
      <w:ind w:left="240" w:hanging="240"/>
    </w:pPr>
  </w:style>
  <w:style w:type="paragraph" w:styleId="affff1">
    <w:name w:val="table of figures"/>
    <w:basedOn w:val="a1"/>
    <w:next w:val="a1"/>
    <w:semiHidden/>
    <w:rsid w:val="00405336"/>
  </w:style>
  <w:style w:type="paragraph" w:styleId="affff2">
    <w:name w:val="Title"/>
    <w:basedOn w:val="a1"/>
    <w:next w:val="a1"/>
    <w:link w:val="affff3"/>
    <w:uiPriority w:val="10"/>
    <w:qFormat/>
    <w:rsid w:val="00405336"/>
    <w:pPr>
      <w:spacing w:before="240" w:after="60"/>
      <w:jc w:val="center"/>
      <w:outlineLvl w:val="0"/>
    </w:pPr>
    <w:rPr>
      <w:rFonts w:ascii="Cambria" w:hAnsi="Cambria"/>
      <w:b/>
      <w:bCs/>
      <w:kern w:val="28"/>
      <w:sz w:val="32"/>
      <w:szCs w:val="32"/>
    </w:rPr>
  </w:style>
  <w:style w:type="character" w:customStyle="1" w:styleId="affff3">
    <w:name w:val="标题 字符"/>
    <w:link w:val="affff2"/>
    <w:uiPriority w:val="10"/>
    <w:qFormat/>
    <w:rsid w:val="00FF04E3"/>
    <w:rPr>
      <w:rFonts w:ascii="Cambria" w:hAnsi="Cambria"/>
      <w:b/>
      <w:bCs/>
      <w:kern w:val="28"/>
      <w:sz w:val="32"/>
      <w:szCs w:val="32"/>
    </w:rPr>
  </w:style>
  <w:style w:type="paragraph" w:styleId="affff4">
    <w:name w:val="toa heading"/>
    <w:basedOn w:val="a1"/>
    <w:next w:val="a1"/>
    <w:semiHidden/>
    <w:rsid w:val="00405336"/>
    <w:pPr>
      <w:spacing w:before="120"/>
    </w:pPr>
    <w:rPr>
      <w:rFonts w:ascii="Cambria" w:hAnsi="Cambria"/>
      <w:b/>
      <w:bCs/>
      <w:szCs w:val="24"/>
    </w:rPr>
  </w:style>
  <w:style w:type="paragraph" w:styleId="TOC1">
    <w:name w:val="toc 1"/>
    <w:basedOn w:val="a1"/>
    <w:next w:val="a1"/>
    <w:autoRedefine/>
    <w:uiPriority w:val="39"/>
    <w:qFormat/>
    <w:rsid w:val="00405336"/>
  </w:style>
  <w:style w:type="paragraph" w:styleId="TOC2">
    <w:name w:val="toc 2"/>
    <w:basedOn w:val="a1"/>
    <w:next w:val="a1"/>
    <w:autoRedefine/>
    <w:uiPriority w:val="39"/>
    <w:qFormat/>
    <w:rsid w:val="00405336"/>
    <w:pPr>
      <w:ind w:left="240"/>
    </w:pPr>
  </w:style>
  <w:style w:type="paragraph" w:styleId="TOC3">
    <w:name w:val="toc 3"/>
    <w:basedOn w:val="a1"/>
    <w:next w:val="a1"/>
    <w:autoRedefine/>
    <w:uiPriority w:val="39"/>
    <w:qFormat/>
    <w:rsid w:val="00405336"/>
    <w:pPr>
      <w:ind w:left="480"/>
    </w:pPr>
  </w:style>
  <w:style w:type="paragraph" w:styleId="TOC4">
    <w:name w:val="toc 4"/>
    <w:basedOn w:val="a1"/>
    <w:next w:val="a1"/>
    <w:autoRedefine/>
    <w:uiPriority w:val="39"/>
    <w:qFormat/>
    <w:rsid w:val="00405336"/>
    <w:pPr>
      <w:ind w:left="720"/>
    </w:pPr>
  </w:style>
  <w:style w:type="paragraph" w:styleId="TOC5">
    <w:name w:val="toc 5"/>
    <w:basedOn w:val="a1"/>
    <w:next w:val="a1"/>
    <w:autoRedefine/>
    <w:uiPriority w:val="39"/>
    <w:qFormat/>
    <w:rsid w:val="00405336"/>
    <w:pPr>
      <w:ind w:left="960"/>
    </w:pPr>
  </w:style>
  <w:style w:type="paragraph" w:styleId="TOC6">
    <w:name w:val="toc 6"/>
    <w:basedOn w:val="a1"/>
    <w:next w:val="a1"/>
    <w:autoRedefine/>
    <w:uiPriority w:val="39"/>
    <w:qFormat/>
    <w:rsid w:val="00405336"/>
    <w:pPr>
      <w:ind w:left="1200"/>
    </w:pPr>
  </w:style>
  <w:style w:type="paragraph" w:styleId="TOC7">
    <w:name w:val="toc 7"/>
    <w:basedOn w:val="a1"/>
    <w:next w:val="a1"/>
    <w:autoRedefine/>
    <w:uiPriority w:val="39"/>
    <w:qFormat/>
    <w:rsid w:val="00405336"/>
    <w:pPr>
      <w:ind w:left="1440"/>
    </w:pPr>
  </w:style>
  <w:style w:type="paragraph" w:styleId="TOC8">
    <w:name w:val="toc 8"/>
    <w:basedOn w:val="a1"/>
    <w:next w:val="a1"/>
    <w:autoRedefine/>
    <w:uiPriority w:val="39"/>
    <w:qFormat/>
    <w:rsid w:val="00405336"/>
    <w:pPr>
      <w:ind w:left="1680"/>
    </w:pPr>
  </w:style>
  <w:style w:type="paragraph" w:styleId="TOC9">
    <w:name w:val="toc 9"/>
    <w:basedOn w:val="a1"/>
    <w:next w:val="a1"/>
    <w:autoRedefine/>
    <w:uiPriority w:val="39"/>
    <w:qFormat/>
    <w:rsid w:val="00405336"/>
    <w:pPr>
      <w:ind w:left="1920"/>
    </w:pPr>
  </w:style>
  <w:style w:type="paragraph" w:styleId="TOC">
    <w:name w:val="TOC Heading"/>
    <w:basedOn w:val="1"/>
    <w:next w:val="a1"/>
    <w:uiPriority w:val="39"/>
    <w:semiHidden/>
    <w:unhideWhenUsed/>
    <w:qFormat/>
    <w:rsid w:val="00405336"/>
    <w:pPr>
      <w:outlineLvl w:val="9"/>
    </w:pPr>
    <w:rPr>
      <w:rFonts w:ascii="Cambria" w:hAnsi="Cambria"/>
      <w:sz w:val="32"/>
      <w:szCs w:val="32"/>
    </w:rPr>
  </w:style>
  <w:style w:type="character" w:styleId="affff5">
    <w:name w:val="Hyperlink"/>
    <w:uiPriority w:val="99"/>
    <w:qFormat/>
    <w:rsid w:val="007402FC"/>
    <w:rPr>
      <w:color w:val="0000FF"/>
      <w:u w:val="single"/>
    </w:rPr>
  </w:style>
  <w:style w:type="character" w:styleId="affff6">
    <w:name w:val="FollowedHyperlink"/>
    <w:semiHidden/>
    <w:unhideWhenUsed/>
    <w:rsid w:val="00793072"/>
    <w:rPr>
      <w:color w:val="800080"/>
      <w:u w:val="single"/>
    </w:rPr>
  </w:style>
  <w:style w:type="character" w:styleId="affff7">
    <w:name w:val="annotation reference"/>
    <w:uiPriority w:val="99"/>
    <w:semiHidden/>
    <w:unhideWhenUsed/>
    <w:qFormat/>
    <w:rsid w:val="00793072"/>
    <w:rPr>
      <w:sz w:val="16"/>
      <w:szCs w:val="16"/>
    </w:rPr>
  </w:style>
  <w:style w:type="character" w:styleId="affff8">
    <w:name w:val="Unresolved Mention"/>
    <w:basedOn w:val="a2"/>
    <w:uiPriority w:val="99"/>
    <w:semiHidden/>
    <w:unhideWhenUsed/>
    <w:rsid w:val="008218C4"/>
    <w:rPr>
      <w:color w:val="808080"/>
      <w:shd w:val="clear" w:color="auto" w:fill="E6E6E6"/>
    </w:rPr>
  </w:style>
  <w:style w:type="paragraph" w:customStyle="1" w:styleId="PubInfo">
    <w:name w:val="PubInfo"/>
    <w:basedOn w:val="a1"/>
    <w:qFormat/>
    <w:rsid w:val="00533910"/>
    <w:pPr>
      <w:suppressAutoHyphens/>
      <w:jc w:val="center"/>
    </w:pPr>
    <w:rPr>
      <w:sz w:val="20"/>
      <w:lang w:eastAsia="ar-SA"/>
    </w:rPr>
  </w:style>
  <w:style w:type="paragraph" w:customStyle="1" w:styleId="DoiInfo">
    <w:name w:val="DoiInfo"/>
    <w:basedOn w:val="a1"/>
    <w:qFormat/>
    <w:rsid w:val="00533910"/>
    <w:pPr>
      <w:suppressAutoHyphens/>
      <w:jc w:val="center"/>
    </w:pPr>
    <w:rPr>
      <w:sz w:val="20"/>
      <w:lang w:eastAsia="ar-SA"/>
    </w:rPr>
  </w:style>
  <w:style w:type="table" w:styleId="affff9">
    <w:name w:val="Table Grid"/>
    <w:basedOn w:val="a3"/>
    <w:uiPriority w:val="39"/>
    <w:qFormat/>
    <w:rsid w:val="0046486F"/>
    <w:rPr>
      <w:rFonts w:asciiTheme="minorHAnsi" w:hAnsiTheme="minorHAnsi" w:cstheme="minorBidi"/>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a">
    <w:name w:val="Strong"/>
    <w:basedOn w:val="a2"/>
    <w:uiPriority w:val="22"/>
    <w:qFormat/>
    <w:rsid w:val="0046486F"/>
    <w:rPr>
      <w:b/>
      <w:bCs/>
    </w:rPr>
  </w:style>
  <w:style w:type="character" w:customStyle="1" w:styleId="32">
    <w:name w:val="标题 3 字符"/>
    <w:basedOn w:val="a2"/>
    <w:link w:val="31"/>
    <w:uiPriority w:val="9"/>
    <w:semiHidden/>
    <w:qFormat/>
    <w:rsid w:val="0046486F"/>
    <w:rPr>
      <w:rFonts w:ascii="Times" w:eastAsia="Times" w:hAnsi="Times"/>
      <w:b/>
      <w:sz w:val="24"/>
    </w:rPr>
  </w:style>
  <w:style w:type="character" w:customStyle="1" w:styleId="42">
    <w:name w:val="标题 4 字符"/>
    <w:basedOn w:val="a2"/>
    <w:link w:val="41"/>
    <w:uiPriority w:val="9"/>
    <w:qFormat/>
    <w:rsid w:val="0046486F"/>
    <w:rPr>
      <w:rFonts w:ascii="Times" w:hAnsi="Times"/>
      <w:b/>
      <w:color w:val="0000FF"/>
      <w:sz w:val="44"/>
    </w:rPr>
  </w:style>
  <w:style w:type="character" w:customStyle="1" w:styleId="12">
    <w:name w:val="明显强调1"/>
    <w:basedOn w:val="a2"/>
    <w:uiPriority w:val="21"/>
    <w:qFormat/>
    <w:rsid w:val="0046486F"/>
    <w:rPr>
      <w:i/>
      <w:iCs/>
      <w:color w:val="365F91" w:themeColor="accent1" w:themeShade="BF"/>
    </w:rPr>
  </w:style>
  <w:style w:type="character" w:customStyle="1" w:styleId="13">
    <w:name w:val="明显参考1"/>
    <w:basedOn w:val="a2"/>
    <w:uiPriority w:val="32"/>
    <w:qFormat/>
    <w:rsid w:val="0046486F"/>
    <w:rPr>
      <w:b/>
      <w:bCs/>
      <w:smallCaps/>
      <w:color w:val="365F91" w:themeColor="accent1" w:themeShade="BF"/>
      <w:spacing w:val="5"/>
    </w:rPr>
  </w:style>
  <w:style w:type="paragraph" w:customStyle="1" w:styleId="AuthorsFull">
    <w:name w:val="Authors Full"/>
    <w:basedOn w:val="a1"/>
    <w:qFormat/>
    <w:rsid w:val="0046486F"/>
    <w:rPr>
      <w:rFonts w:eastAsia="MS Mincho"/>
      <w:i/>
      <w:szCs w:val="24"/>
      <w:lang w:eastAsia="ja-JP"/>
    </w:rPr>
  </w:style>
  <w:style w:type="paragraph" w:customStyle="1" w:styleId="Addresses">
    <w:name w:val="Addresses"/>
    <w:basedOn w:val="a1"/>
    <w:qFormat/>
    <w:rsid w:val="0046486F"/>
    <w:rPr>
      <w:rFonts w:eastAsia="MS Mincho"/>
      <w:szCs w:val="24"/>
      <w:lang w:eastAsia="ja-JP"/>
    </w:rPr>
  </w:style>
  <w:style w:type="paragraph" w:customStyle="1" w:styleId="Tableofcontents">
    <w:name w:val="Table of contents"/>
    <w:basedOn w:val="a1"/>
    <w:autoRedefine/>
    <w:qFormat/>
    <w:rsid w:val="0046486F"/>
    <w:pPr>
      <w:spacing w:line="360" w:lineRule="auto"/>
    </w:pPr>
    <w:rPr>
      <w:rFonts w:eastAsia="MS Mincho"/>
      <w:szCs w:val="24"/>
      <w:lang w:eastAsia="ja-JP"/>
    </w:rPr>
  </w:style>
  <w:style w:type="paragraph" w:customStyle="1" w:styleId="14">
    <w:name w:val="书目1"/>
    <w:basedOn w:val="a1"/>
    <w:next w:val="a1"/>
    <w:uiPriority w:val="37"/>
    <w:unhideWhenUsed/>
    <w:qFormat/>
    <w:rsid w:val="0046486F"/>
    <w:pPr>
      <w:widowControl w:val="0"/>
      <w:tabs>
        <w:tab w:val="left" w:pos="380"/>
      </w:tabs>
      <w:ind w:left="384" w:hanging="384"/>
      <w:jc w:val="both"/>
    </w:pPr>
    <w:rPr>
      <w:rFonts w:asciiTheme="minorHAnsi" w:hAnsiTheme="minorHAnsi" w:cstheme="minorBidi"/>
      <w:kern w:val="2"/>
      <w:sz w:val="21"/>
      <w:szCs w:val="24"/>
      <w:lang w:eastAsia="zh-CN"/>
    </w:rPr>
  </w:style>
  <w:style w:type="paragraph" w:customStyle="1" w:styleId="15">
    <w:name w:val="修订1"/>
    <w:hidden/>
    <w:uiPriority w:val="99"/>
    <w:semiHidden/>
    <w:qFormat/>
    <w:rsid w:val="0046486F"/>
    <w:rPr>
      <w:rFonts w:asciiTheme="minorHAnsi" w:hAnsiTheme="minorHAnsi" w:cstheme="minorBidi"/>
      <w:kern w:val="2"/>
      <w:sz w:val="21"/>
      <w:szCs w:val="24"/>
      <w:lang w:eastAsia="zh-CN"/>
    </w:rPr>
  </w:style>
  <w:style w:type="table" w:customStyle="1" w:styleId="210">
    <w:name w:val="无格式表格 21"/>
    <w:basedOn w:val="a3"/>
    <w:uiPriority w:val="42"/>
    <w:qFormat/>
    <w:rsid w:val="0046486F"/>
    <w:rPr>
      <w:rFonts w:eastAsia="宋体"/>
      <w:szCs w:val="22"/>
      <w:lang w:eastAsia="zh-CN"/>
    </w:rPr>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label">
    <w:name w:val="label"/>
    <w:basedOn w:val="a2"/>
    <w:qFormat/>
    <w:rsid w:val="0046486F"/>
  </w:style>
  <w:style w:type="character" w:customStyle="1" w:styleId="apple-converted-space">
    <w:name w:val="apple-converted-space"/>
    <w:basedOn w:val="a2"/>
    <w:qFormat/>
    <w:rsid w:val="0046486F"/>
  </w:style>
  <w:style w:type="character" w:styleId="affffb">
    <w:name w:val="Placeholder Text"/>
    <w:basedOn w:val="a2"/>
    <w:uiPriority w:val="99"/>
    <w:semiHidden/>
    <w:rsid w:val="0046486F"/>
    <w:rPr>
      <w:color w:val="666666"/>
    </w:rPr>
  </w:style>
  <w:style w:type="paragraph" w:customStyle="1" w:styleId="TOC10">
    <w:name w:val="TOC 标题1"/>
    <w:basedOn w:val="1"/>
    <w:next w:val="a1"/>
    <w:uiPriority w:val="39"/>
    <w:unhideWhenUsed/>
    <w:qFormat/>
    <w:rsid w:val="0046486F"/>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zh-CN"/>
    </w:rPr>
  </w:style>
  <w:style w:type="paragraph" w:customStyle="1" w:styleId="2c">
    <w:name w:val="修订2"/>
    <w:hidden/>
    <w:uiPriority w:val="99"/>
    <w:unhideWhenUsed/>
    <w:qFormat/>
    <w:rsid w:val="0046486F"/>
    <w:rPr>
      <w:rFonts w:asciiTheme="minorHAnsi" w:hAnsiTheme="minorHAnsi" w:cstheme="minorBidi"/>
      <w:kern w:val="2"/>
      <w:sz w:val="21"/>
      <w:szCs w:val="24"/>
      <w:lang w:eastAsia="zh-CN"/>
    </w:rPr>
  </w:style>
  <w:style w:type="paragraph" w:customStyle="1" w:styleId="2d">
    <w:name w:val="书目2"/>
    <w:basedOn w:val="a1"/>
    <w:next w:val="a1"/>
    <w:uiPriority w:val="37"/>
    <w:unhideWhenUsed/>
    <w:rsid w:val="0046486F"/>
    <w:pPr>
      <w:widowControl w:val="0"/>
      <w:jc w:val="both"/>
    </w:pPr>
    <w:rPr>
      <w:rFonts w:asciiTheme="minorHAnsi" w:hAnsiTheme="minorHAnsi" w:cstheme="minorBidi"/>
      <w:kern w:val="2"/>
      <w:sz w:val="21"/>
      <w:szCs w:val="24"/>
      <w:lang w:eastAsia="zh-CN"/>
    </w:rPr>
  </w:style>
  <w:style w:type="paragraph" w:customStyle="1" w:styleId="TOC20">
    <w:name w:val="TOC 标题2"/>
    <w:basedOn w:val="1"/>
    <w:next w:val="a1"/>
    <w:uiPriority w:val="39"/>
    <w:unhideWhenUsed/>
    <w:qFormat/>
    <w:rsid w:val="0046486F"/>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5632768">
      <w:bodyDiv w:val="1"/>
      <w:marLeft w:val="0"/>
      <w:marRight w:val="0"/>
      <w:marTop w:val="0"/>
      <w:marBottom w:val="0"/>
      <w:divBdr>
        <w:top w:val="none" w:sz="0" w:space="0" w:color="auto"/>
        <w:left w:val="none" w:sz="0" w:space="0" w:color="auto"/>
        <w:bottom w:val="none" w:sz="0" w:space="0" w:color="auto"/>
        <w:right w:val="none" w:sz="0" w:space="0" w:color="auto"/>
      </w:divBdr>
      <w:divsChild>
        <w:div w:id="472261908">
          <w:marLeft w:val="0"/>
          <w:marRight w:val="0"/>
          <w:marTop w:val="0"/>
          <w:marBottom w:val="0"/>
          <w:divBdr>
            <w:top w:val="none" w:sz="0" w:space="0" w:color="auto"/>
            <w:left w:val="none" w:sz="0" w:space="0" w:color="auto"/>
            <w:bottom w:val="none" w:sz="0" w:space="0" w:color="auto"/>
            <w:right w:val="none" w:sz="0" w:space="0" w:color="auto"/>
          </w:divBdr>
          <w:divsChild>
            <w:div w:id="782766832">
              <w:marLeft w:val="0"/>
              <w:marRight w:val="0"/>
              <w:marTop w:val="0"/>
              <w:marBottom w:val="0"/>
              <w:divBdr>
                <w:top w:val="none" w:sz="0" w:space="0" w:color="auto"/>
                <w:left w:val="none" w:sz="0" w:space="0" w:color="auto"/>
                <w:bottom w:val="none" w:sz="0" w:space="0" w:color="auto"/>
                <w:right w:val="none" w:sz="0" w:space="0" w:color="auto"/>
              </w:divBdr>
              <w:divsChild>
                <w:div w:id="71226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fontTable" Target="fontTable.xml"/><Relationship Id="rId21" Type="http://schemas.openxmlformats.org/officeDocument/2006/relationships/image" Target="media/image11.png"/><Relationship Id="rId34" Type="http://schemas.openxmlformats.org/officeDocument/2006/relationships/image" Target="media/image24.png"/><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hyperlink" Target="mailto:loganliu@hust.edu.cn" TargetMode="Externa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8" Type="http://schemas.openxmlformats.org/officeDocument/2006/relationships/footnotes" Target="footnote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C8221A7F0343744B07CC2CED3D6F8EE" ma:contentTypeVersion="12" ma:contentTypeDescription="Create a new document." ma:contentTypeScope="" ma:versionID="4ed130d46c3bc80f8d043bccdf574eeb">
  <xsd:schema xmlns:xsd="http://www.w3.org/2001/XMLSchema" xmlns:xs="http://www.w3.org/2001/XMLSchema" xmlns:p="http://schemas.microsoft.com/office/2006/metadata/properties" xmlns:ns3="96858f5b-69cf-4d49-a520-6ae816db1d8d" xmlns:ns4="1867113f-8995-4870-a940-2b72f688d265" targetNamespace="http://schemas.microsoft.com/office/2006/metadata/properties" ma:root="true" ma:fieldsID="194ceea0314d884e28c6faa81920b7ec" ns3:_="" ns4:_="">
    <xsd:import namespace="96858f5b-69cf-4d49-a520-6ae816db1d8d"/>
    <xsd:import namespace="1867113f-8995-4870-a940-2b72f688d265"/>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858f5b-69cf-4d49-a520-6ae816db1d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867113f-8995-4870-a940-2b72f688d26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8F523CB-42AC-406D-90D9-CA3AE16CA9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858f5b-69cf-4d49-a520-6ae816db1d8d"/>
    <ds:schemaRef ds:uri="1867113f-8995-4870-a940-2b72f688d26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876C972-A183-49AB-BF18-FB119101A461}">
  <ds:schemaRefs>
    <ds:schemaRef ds:uri="http://schemas.microsoft.com/sharepoint/v3/contenttype/forms"/>
  </ds:schemaRefs>
</ds:datastoreItem>
</file>

<file path=customXml/itemProps3.xml><?xml version="1.0" encoding="utf-8"?>
<ds:datastoreItem xmlns:ds="http://schemas.openxmlformats.org/officeDocument/2006/customXml" ds:itemID="{606A6A5F-BF35-401C-A3A1-63045C831006}">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40</Pages>
  <Words>12484</Words>
  <Characters>71161</Characters>
  <Application>Microsoft Office Word</Application>
  <DocSecurity>0</DocSecurity>
  <Lines>593</Lines>
  <Paragraphs>166</Paragraphs>
  <ScaleCrop>false</ScaleCrop>
  <Company>AAAS</Company>
  <LinksUpToDate>false</LinksUpToDate>
  <CharactersWithSpaces>83479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Yihui Yang</cp:lastModifiedBy>
  <cp:revision>10</cp:revision>
  <cp:lastPrinted>2018-01-11T19:53:00Z</cp:lastPrinted>
  <dcterms:created xsi:type="dcterms:W3CDTF">2025-07-24T02:49:00Z</dcterms:created>
  <dcterms:modified xsi:type="dcterms:W3CDTF">2025-09-04T06:31:00Z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0x0101000C8221A7F0343744B07CC2CED3D6F8EE</vt:lpwstr>
  </property>
  <property fmtid="{D5CDD505-2E9C-101B-9397-08002B2CF9AE}" pid="3" name="ZOTERO_PREF_1">
    <vt:lpwstr>&lt;data data-version="3" zotero-version="7.0.20"&gt;&lt;session id="crGnTYmR"/&gt;&lt;style id="http://www.zotero.org/styles/journal-of-nanobiotechnology" hasBibliography="1" bibliographyStyleHasBeenSet="1"/&gt;&lt;prefs&gt;&lt;pref name="fieldType" value="Field"/&gt;&lt;/prefs&gt;&lt;/data&gt;</vt:lpwstr>
  </property>
  <property fmtid="{D5CDD505-2E9C-101B-9397-08002B2CF9AE}" pid="4" name="ZOTERO_PREF_2">
    <vt:lpwstr/>
  </property>
</Properties>
</file>