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DEE61" w14:textId="77777777" w:rsidR="00F9443D" w:rsidRPr="002E5399" w:rsidRDefault="00F9443D" w:rsidP="00F9443D">
      <w:pPr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Supplementary Figure S1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>High M2 macrophage infiltration is associated with reduced tumor purity, complement pathway activation, and poor prognosis in GBM in the CGGA cohort.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   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>A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, </w:t>
      </w:r>
      <w:r w:rsidRPr="002E5399">
        <w:rPr>
          <w:rFonts w:ascii="Times New Roman" w:hAnsi="Times New Roman" w:cs="Times New Roman"/>
          <w:sz w:val="21"/>
          <w:szCs w:val="21"/>
        </w:rPr>
        <w:t>Scatter plot showing a negative correlation between M2 macrophage scores (xCell) and tumor purity estimated by ESTIMATE in the TCGA cohort.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>B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>Correlation analysis showing a positive association between M2 macrophage scores (xCell) and the Hallmark complement pathway estimated by ssGSEA.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>C–D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, </w:t>
      </w:r>
      <w:r w:rsidRPr="002E5399">
        <w:rPr>
          <w:rFonts w:ascii="Times New Roman" w:hAnsi="Times New Roman" w:cs="Times New Roman"/>
          <w:sz w:val="21"/>
          <w:szCs w:val="21"/>
        </w:rPr>
        <w:t>GSEA analysis showing enrichment of complement-related pathways in samples with high M2 macrophage infiltration.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>E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 xml:space="preserve">Correlation analysis showing a positive association between M2 macrophage scores (xCell) and the expression of key complement pathway genes, including </w:t>
      </w:r>
      <w:r w:rsidRPr="002E5399">
        <w:rPr>
          <w:rFonts w:ascii="Times New Roman" w:hAnsi="Times New Roman" w:cs="Times New Roman"/>
          <w:i/>
          <w:iCs/>
          <w:sz w:val="21"/>
          <w:szCs w:val="21"/>
        </w:rPr>
        <w:t>C1QA</w:t>
      </w:r>
      <w:r w:rsidRPr="002E5399">
        <w:rPr>
          <w:rFonts w:ascii="Times New Roman" w:hAnsi="Times New Roman" w:cs="Times New Roman"/>
          <w:sz w:val="21"/>
          <w:szCs w:val="21"/>
        </w:rPr>
        <w:t xml:space="preserve">, </w:t>
      </w:r>
      <w:r w:rsidRPr="002E5399">
        <w:rPr>
          <w:rFonts w:ascii="Times New Roman" w:hAnsi="Times New Roman" w:cs="Times New Roman"/>
          <w:i/>
          <w:iCs/>
          <w:sz w:val="21"/>
          <w:szCs w:val="21"/>
        </w:rPr>
        <w:t>C1QB</w:t>
      </w:r>
      <w:r w:rsidRPr="002E5399">
        <w:rPr>
          <w:rFonts w:ascii="Times New Roman" w:hAnsi="Times New Roman" w:cs="Times New Roman"/>
          <w:sz w:val="21"/>
          <w:szCs w:val="21"/>
        </w:rPr>
        <w:t xml:space="preserve">, and </w:t>
      </w:r>
      <w:r w:rsidRPr="002E5399">
        <w:rPr>
          <w:rFonts w:ascii="Times New Roman" w:hAnsi="Times New Roman" w:cs="Times New Roman"/>
          <w:i/>
          <w:iCs/>
          <w:sz w:val="21"/>
          <w:szCs w:val="21"/>
        </w:rPr>
        <w:t>C3AR1</w:t>
      </w:r>
      <w:r w:rsidRPr="002E5399">
        <w:rPr>
          <w:rFonts w:ascii="Times New Roman" w:hAnsi="Times New Roman" w:cs="Times New Roman"/>
          <w:sz w:val="21"/>
          <w:szCs w:val="21"/>
        </w:rPr>
        <w:t>.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>F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>Kaplan–Meier survival curves comparing overall survival (left) and progression-free survival (right) between high and low M2 macrophage score groups in the CGGA cohort. Survival differences were assessed using the log-rank test (p values indicated).</w:t>
      </w:r>
    </w:p>
    <w:p w14:paraId="1EDEBDA8" w14:textId="77777777" w:rsidR="00F9443D" w:rsidRPr="002E5399" w:rsidRDefault="00F9443D" w:rsidP="00F9443D">
      <w:pPr>
        <w:jc w:val="both"/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Supplementary Figure S2.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 xml:space="preserve"> Construction of a macrophage-related risk score model to identify the C1 immunosuppressive subtype in CGGA cohort.</w:t>
      </w:r>
      <w:r w:rsidRPr="002E5399">
        <w:rPr>
          <w:rFonts w:ascii="Times New Roman" w:hAnsi="Times New Roman" w:cs="Times New Roman"/>
          <w:sz w:val="21"/>
          <w:szCs w:val="21"/>
        </w:rPr>
        <w:t xml:space="preserve"> 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A,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>Using the three candidate genes to group the risk scores, it was observed that the high-risk group (orange) had a poorer prognosis compared to the low-risk group (cyan).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B-C,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 xml:space="preserve">Kaplan-Meier survival analysis demonstrated that higher risk scores were associated with shorter OS and PFS. 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D,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>Comparison of risk scores among the three immune subtypes (C1-C3).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E,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 xml:space="preserve">Comparison of risk scores across GBM molecular subtypes, with the highest scores observed in the mesenchymal subtype. 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F-G,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>Correlation of the risk score with M2 macrophage infiltration (</w:t>
      </w:r>
      <w:r w:rsidRPr="002E5399">
        <w:rPr>
          <w:rFonts w:ascii="Times New Roman" w:hAnsi="Times New Roman" w:cs="Times New Roman" w:hint="eastAsia"/>
          <w:sz w:val="21"/>
          <w:szCs w:val="21"/>
        </w:rPr>
        <w:t>F</w:t>
      </w:r>
      <w:r w:rsidRPr="002E5399">
        <w:rPr>
          <w:rFonts w:ascii="Times New Roman" w:hAnsi="Times New Roman" w:cs="Times New Roman"/>
          <w:sz w:val="21"/>
          <w:szCs w:val="21"/>
        </w:rPr>
        <w:t>) and CD163 expression (</w:t>
      </w:r>
      <w:r w:rsidRPr="002E5399">
        <w:rPr>
          <w:rFonts w:ascii="Times New Roman" w:hAnsi="Times New Roman" w:cs="Times New Roman" w:hint="eastAsia"/>
          <w:sz w:val="21"/>
          <w:szCs w:val="21"/>
        </w:rPr>
        <w:t>G</w:t>
      </w:r>
      <w:r w:rsidRPr="002E5399">
        <w:rPr>
          <w:rFonts w:ascii="Times New Roman" w:hAnsi="Times New Roman" w:cs="Times New Roman"/>
          <w:sz w:val="21"/>
          <w:szCs w:val="21"/>
        </w:rPr>
        <w:t>).</w:t>
      </w:r>
    </w:p>
    <w:p w14:paraId="621E9545" w14:textId="77777777" w:rsidR="00F9443D" w:rsidRPr="002E5399" w:rsidRDefault="00F9443D" w:rsidP="00F9443D">
      <w:pPr>
        <w:jc w:val="both"/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Supplementary Figure S3.</w:t>
      </w:r>
      <w:r w:rsidRPr="002E5399">
        <w:rPr>
          <w:rFonts w:ascii="Times New Roman" w:hAnsi="Times New Roman" w:cs="Times New Roman"/>
          <w:b/>
          <w:bCs/>
          <w:sz w:val="21"/>
          <w:szCs w:val="21"/>
        </w:rPr>
        <w:t xml:space="preserve"> Validation of the immune microenvironment features in the CGGA cohort.</w:t>
      </w:r>
      <w:r w:rsidRPr="002E5399">
        <w:rPr>
          <w:rFonts w:ascii="Times New Roman" w:hAnsi="Times New Roman" w:cs="Times New Roman"/>
          <w:sz w:val="21"/>
          <w:szCs w:val="21"/>
        </w:rPr>
        <w:t xml:space="preserve"> 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A,</w:t>
      </w:r>
      <w:r w:rsidRPr="002E5399">
        <w:rPr>
          <w:rFonts w:ascii="Times New Roman" w:hAnsi="Times New Roman" w:cs="Times New Roman"/>
          <w:sz w:val="21"/>
          <w:szCs w:val="21"/>
        </w:rPr>
        <w:t xml:space="preserve"> Immune cell infiltration differences between high- and low-risk groups based on xCell analysis, consistent with the </w:t>
      </w:r>
      <w:r w:rsidRPr="002E5399">
        <w:rPr>
          <w:rFonts w:ascii="Times New Roman" w:hAnsi="Times New Roman" w:cs="Times New Roman" w:hint="eastAsia"/>
          <w:sz w:val="21"/>
          <w:szCs w:val="21"/>
        </w:rPr>
        <w:t>CGGA</w:t>
      </w:r>
      <w:r w:rsidRPr="002E5399">
        <w:rPr>
          <w:rFonts w:ascii="Times New Roman" w:hAnsi="Times New Roman" w:cs="Times New Roman"/>
          <w:sz w:val="21"/>
          <w:szCs w:val="21"/>
        </w:rPr>
        <w:t xml:space="preserve"> cohort. 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B,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2E5399">
        <w:rPr>
          <w:rFonts w:ascii="Times New Roman" w:hAnsi="Times New Roman" w:cs="Times New Roman"/>
          <w:sz w:val="21"/>
          <w:szCs w:val="21"/>
        </w:rPr>
        <w:t xml:space="preserve">Correlation of the risk score with immune score, stromal score, and tumor purity as computed by ESTIMATE. </w:t>
      </w: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C, </w:t>
      </w:r>
      <w:r w:rsidRPr="002E5399">
        <w:rPr>
          <w:rFonts w:ascii="Times New Roman" w:hAnsi="Times New Roman" w:cs="Times New Roman"/>
          <w:sz w:val="21"/>
          <w:szCs w:val="21"/>
        </w:rPr>
        <w:t xml:space="preserve">Positive correlation between risk score and the expression of immune checkpoint genes </w:t>
      </w:r>
      <w:r w:rsidRPr="002E5399">
        <w:rPr>
          <w:rFonts w:ascii="Times New Roman" w:hAnsi="Times New Roman" w:cs="Times New Roman"/>
          <w:i/>
          <w:iCs/>
          <w:sz w:val="21"/>
          <w:szCs w:val="21"/>
        </w:rPr>
        <w:t>TIMD3</w:t>
      </w:r>
      <w:r w:rsidRPr="002E5399">
        <w:rPr>
          <w:rFonts w:ascii="Times New Roman" w:hAnsi="Times New Roman" w:cs="Times New Roman"/>
          <w:sz w:val="21"/>
          <w:szCs w:val="21"/>
        </w:rPr>
        <w:t xml:space="preserve">, </w:t>
      </w:r>
      <w:r w:rsidRPr="002E5399">
        <w:rPr>
          <w:rFonts w:ascii="Times New Roman" w:hAnsi="Times New Roman" w:cs="Times New Roman"/>
          <w:i/>
          <w:iCs/>
          <w:sz w:val="21"/>
          <w:szCs w:val="21"/>
        </w:rPr>
        <w:t>CSF1R</w:t>
      </w:r>
      <w:r w:rsidRPr="002E5399">
        <w:rPr>
          <w:rFonts w:ascii="Times New Roman" w:hAnsi="Times New Roman" w:cs="Times New Roman"/>
          <w:sz w:val="21"/>
          <w:szCs w:val="21"/>
        </w:rPr>
        <w:t xml:space="preserve">, and </w:t>
      </w:r>
      <w:r w:rsidRPr="002E5399">
        <w:rPr>
          <w:rFonts w:ascii="Times New Roman" w:hAnsi="Times New Roman" w:cs="Times New Roman"/>
          <w:i/>
          <w:iCs/>
          <w:sz w:val="21"/>
          <w:szCs w:val="21"/>
        </w:rPr>
        <w:t>PD-1</w:t>
      </w:r>
      <w:r w:rsidRPr="002E5399">
        <w:rPr>
          <w:rFonts w:ascii="Times New Roman" w:hAnsi="Times New Roman" w:cs="Times New Roman"/>
          <w:sz w:val="21"/>
          <w:szCs w:val="21"/>
        </w:rPr>
        <w:t>, confirming the immunosuppressive profile of high-risk tumors.</w:t>
      </w:r>
    </w:p>
    <w:p w14:paraId="4A515D98" w14:textId="77777777" w:rsidR="00F9443D" w:rsidRPr="002E5399" w:rsidRDefault="00F9443D" w:rsidP="00F9443D">
      <w:pPr>
        <w:jc w:val="both"/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 w:hint="eastAsia"/>
          <w:b/>
          <w:bCs/>
          <w:sz w:val="21"/>
          <w:szCs w:val="21"/>
        </w:rPr>
        <w:t>Supplementary Figure S4. CTSB and LITAF exhibit broad, non-specific expression across multiple cell types. A-D,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Single-cell RNA-seq (scRNA-seq) analysis of glioma samples from the CGGA and GSE131928 datasets. UMAP plots show cell clustering and the expression of canonical myeloid markers (</w:t>
      </w:r>
      <w:r w:rsidRPr="002E5399">
        <w:rPr>
          <w:rFonts w:ascii="Times New Roman" w:hAnsi="Times New Roman" w:cs="Times New Roman" w:hint="eastAsia"/>
          <w:i/>
          <w:iCs/>
          <w:sz w:val="21"/>
          <w:szCs w:val="21"/>
        </w:rPr>
        <w:t>CD68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2E5399">
        <w:rPr>
          <w:rFonts w:ascii="Times New Roman" w:hAnsi="Times New Roman" w:cs="Times New Roman" w:hint="eastAsia"/>
          <w:i/>
          <w:iCs/>
          <w:sz w:val="21"/>
          <w:szCs w:val="21"/>
        </w:rPr>
        <w:t>TMEM119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2E5399">
        <w:rPr>
          <w:rFonts w:ascii="Times New Roman" w:hAnsi="Times New Roman" w:cs="Times New Roman" w:hint="eastAsia"/>
          <w:i/>
          <w:iCs/>
          <w:sz w:val="21"/>
          <w:szCs w:val="21"/>
        </w:rPr>
        <w:t>CD163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) as well as </w:t>
      </w:r>
      <w:r w:rsidRPr="002E5399">
        <w:rPr>
          <w:rFonts w:ascii="Times New Roman" w:hAnsi="Times New Roman" w:cs="Times New Roman" w:hint="eastAsia"/>
          <w:i/>
          <w:iCs/>
          <w:sz w:val="21"/>
          <w:szCs w:val="21"/>
        </w:rPr>
        <w:t>CTSB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(A, C) and </w:t>
      </w:r>
      <w:r w:rsidRPr="002E5399">
        <w:rPr>
          <w:rFonts w:ascii="Times New Roman" w:hAnsi="Times New Roman" w:cs="Times New Roman" w:hint="eastAsia"/>
          <w:i/>
          <w:iCs/>
          <w:sz w:val="21"/>
          <w:szCs w:val="21"/>
        </w:rPr>
        <w:t>LITAF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(B, D), demonstrating that </w:t>
      </w:r>
      <w:r w:rsidRPr="002E5399">
        <w:rPr>
          <w:rFonts w:ascii="Times New Roman" w:hAnsi="Times New Roman" w:cs="Times New Roman" w:hint="eastAsia"/>
          <w:i/>
          <w:iCs/>
          <w:sz w:val="21"/>
          <w:szCs w:val="21"/>
        </w:rPr>
        <w:t>CTSB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and </w:t>
      </w:r>
      <w:r w:rsidRPr="002E5399">
        <w:rPr>
          <w:rFonts w:ascii="Times New Roman" w:hAnsi="Times New Roman" w:cs="Times New Roman" w:hint="eastAsia"/>
          <w:i/>
          <w:iCs/>
          <w:sz w:val="21"/>
          <w:szCs w:val="21"/>
        </w:rPr>
        <w:t>LITAF</w:t>
      </w:r>
      <w:r w:rsidRPr="002E5399">
        <w:rPr>
          <w:rFonts w:ascii="Times New Roman" w:hAnsi="Times New Roman" w:cs="Times New Roman" w:hint="eastAsia"/>
          <w:sz w:val="21"/>
          <w:szCs w:val="21"/>
        </w:rPr>
        <w:t xml:space="preserve"> are expressed across multiple cell types.</w:t>
      </w:r>
    </w:p>
    <w:p w14:paraId="2E806EC8" w14:textId="77777777" w:rsidR="00F9443D" w:rsidRPr="002E5399" w:rsidRDefault="00F9443D" w:rsidP="00F9443D">
      <w:pPr>
        <w:widowControl/>
        <w:rPr>
          <w:rFonts w:ascii="Times New Roman" w:hAnsi="Times New Roman" w:cs="Times New Roman"/>
          <w:sz w:val="21"/>
          <w:szCs w:val="21"/>
        </w:rPr>
      </w:pPr>
      <w:r w:rsidRPr="002E5399">
        <w:rPr>
          <w:rFonts w:ascii="Times New Roman" w:hAnsi="Times New Roman" w:cs="Times New Roman"/>
          <w:sz w:val="21"/>
          <w:szCs w:val="21"/>
        </w:rPr>
        <w:br w:type="page"/>
      </w:r>
    </w:p>
    <w:p w14:paraId="1026AAF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43D"/>
    <w:rsid w:val="002E281E"/>
    <w:rsid w:val="003201BB"/>
    <w:rsid w:val="004D39D2"/>
    <w:rsid w:val="00865217"/>
    <w:rsid w:val="00F94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74F18"/>
  <w15:chartTrackingRefBased/>
  <w15:docId w15:val="{14B9B39D-CB93-437A-B725-C11527C90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43D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443D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443D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443D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443D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443D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443D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443D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443D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443D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4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4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4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4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4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4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4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4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4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443D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94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43D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94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443D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94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443D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94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443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4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44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2277</Characters>
  <Application>Microsoft Office Word</Application>
  <DocSecurity>0</DocSecurity>
  <Lines>18</Lines>
  <Paragraphs>5</Paragraphs>
  <ScaleCrop>false</ScaleCrop>
  <Company>Springer Nature</Company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2025-09-08T10:48:00Z</dcterms:created>
  <dcterms:modified xsi:type="dcterms:W3CDTF">2025-09-08T10:48:00Z</dcterms:modified>
</cp:coreProperties>
</file>