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0FE2D" w14:textId="77777777" w:rsidR="00E95A27" w:rsidRDefault="00655E8C">
      <w:pPr>
        <w:autoSpaceDE w:val="0"/>
        <w:autoSpaceDN w:val="0"/>
        <w:jc w:val="left"/>
        <w:rPr>
          <w:rFonts w:ascii="Arial" w:eastAsia="宋体" w:hAnsi="Arial" w:cs="Arial"/>
          <w:b/>
          <w:bCs/>
          <w:kern w:val="0"/>
          <w:sz w:val="22"/>
          <w:lang w:bidi="ar"/>
        </w:rPr>
      </w:pPr>
      <w:r>
        <w:rPr>
          <w:rFonts w:ascii="Arial" w:eastAsia="宋体" w:hAnsi="Arial" w:cs="Arial" w:hint="eastAsia"/>
          <w:b/>
          <w:bCs/>
          <w:kern w:val="0"/>
          <w:sz w:val="22"/>
          <w:lang w:bidi="ar"/>
        </w:rPr>
        <w:t>Methods</w:t>
      </w:r>
    </w:p>
    <w:p w14:paraId="1E63FC89" w14:textId="77777777" w:rsidR="00E95A27" w:rsidRDefault="00E95A27">
      <w:pPr>
        <w:autoSpaceDE w:val="0"/>
        <w:autoSpaceDN w:val="0"/>
        <w:jc w:val="left"/>
        <w:rPr>
          <w:rFonts w:ascii="Arial" w:eastAsia="宋体" w:hAnsi="Arial" w:cs="Arial"/>
          <w:b/>
          <w:bCs/>
          <w:kern w:val="0"/>
          <w:sz w:val="22"/>
          <w:lang w:bidi="ar"/>
        </w:rPr>
      </w:pPr>
    </w:p>
    <w:p w14:paraId="7CDBD4BB" w14:textId="77777777" w:rsidR="00E95A27" w:rsidRDefault="00655E8C">
      <w:pPr>
        <w:autoSpaceDE w:val="0"/>
        <w:autoSpaceDN w:val="0"/>
        <w:jc w:val="left"/>
        <w:rPr>
          <w:rFonts w:ascii="Arial" w:eastAsia="宋体" w:hAnsi="Arial" w:cs="Arial"/>
          <w:b/>
          <w:bCs/>
          <w:szCs w:val="21"/>
          <w:lang w:bidi="ar"/>
        </w:rPr>
      </w:pPr>
      <w:r>
        <w:rPr>
          <w:rFonts w:ascii="Arial" w:eastAsia="Arial" w:hAnsi="Arial" w:cs="Arial"/>
          <w:b/>
          <w:bCs/>
          <w:kern w:val="0"/>
          <w:sz w:val="22"/>
          <w:lang w:bidi="ar"/>
        </w:rPr>
        <w:t>Clinical trials and patients</w:t>
      </w:r>
    </w:p>
    <w:p w14:paraId="187CF648"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This pilot study was approved by the Ethics Committee of Guangxi Medical University Cancer Hospital (Guangxi, China) and was performed according to the principles of the Declaration of Helsinki. This study was </w:t>
      </w:r>
      <w:r>
        <w:rPr>
          <w:rFonts w:ascii="Arial" w:eastAsia="宋体" w:hAnsi="Arial" w:cs="Arial"/>
          <w:sz w:val="21"/>
          <w:szCs w:val="21"/>
          <w:lang w:bidi="ar"/>
        </w:rPr>
        <w:t xml:space="preserve">designed and conducted to evaluate the safety and effectiveness of CAR T cell therapy targeting CD99 for r/r </w:t>
      </w:r>
      <w:proofErr w:type="spellStart"/>
      <w:r>
        <w:rPr>
          <w:rFonts w:ascii="Arial" w:eastAsia="宋体" w:hAnsi="Arial" w:cs="Arial"/>
          <w:sz w:val="21"/>
          <w:szCs w:val="21"/>
          <w:lang w:bidi="ar"/>
        </w:rPr>
        <w:t>haematopoietic</w:t>
      </w:r>
      <w:proofErr w:type="spellEnd"/>
      <w:r>
        <w:rPr>
          <w:rFonts w:ascii="Arial" w:eastAsia="宋体" w:hAnsi="Arial" w:cs="Arial"/>
          <w:sz w:val="21"/>
          <w:szCs w:val="21"/>
          <w:lang w:bidi="ar"/>
        </w:rPr>
        <w:t xml:space="preserve"> malignancies and registered in the Chinese Clinical Trial Registry (</w:t>
      </w:r>
      <w:proofErr w:type="spellStart"/>
      <w:r>
        <w:rPr>
          <w:rFonts w:ascii="Arial" w:eastAsia="宋体" w:hAnsi="Arial" w:cs="Arial"/>
          <w:sz w:val="21"/>
          <w:szCs w:val="21"/>
          <w:lang w:bidi="ar"/>
        </w:rPr>
        <w:t>ChiCTR</w:t>
      </w:r>
      <w:proofErr w:type="spellEnd"/>
      <w:r>
        <w:rPr>
          <w:rFonts w:ascii="Arial" w:eastAsia="宋体" w:hAnsi="Arial" w:cs="Arial"/>
          <w:sz w:val="21"/>
          <w:szCs w:val="21"/>
          <w:lang w:bidi="ar"/>
        </w:rPr>
        <w:t xml:space="preserve">, number ChiCTR2000041436, http://www.chictr.org.cn). All </w:t>
      </w:r>
      <w:r>
        <w:rPr>
          <w:rFonts w:ascii="Arial" w:eastAsia="宋体" w:hAnsi="Arial" w:cs="Arial"/>
          <w:sz w:val="21"/>
          <w:szCs w:val="21"/>
          <w:lang w:bidi="ar"/>
        </w:rPr>
        <w:t>participants in this clinical trial were informed of the study procedure and possible risks of the therapy.</w:t>
      </w:r>
    </w:p>
    <w:p w14:paraId="0D00F4D0"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Additionally, the patients enrolled in this trial had not received any anticancer treatments within one month before CAR T infusion, and patients we</w:t>
      </w:r>
      <w:r>
        <w:rPr>
          <w:rFonts w:ascii="Arial" w:eastAsia="宋体" w:hAnsi="Arial" w:cs="Arial"/>
          <w:sz w:val="21"/>
          <w:szCs w:val="21"/>
          <w:lang w:bidi="ar"/>
        </w:rPr>
        <w:t>re administered a conditioning regimen that included fludarabine (25 mg/m</w:t>
      </w:r>
      <w:r>
        <w:rPr>
          <w:rFonts w:ascii="Arial" w:eastAsia="宋体" w:hAnsi="Arial" w:cs="Arial"/>
          <w:sz w:val="21"/>
          <w:szCs w:val="21"/>
          <w:vertAlign w:val="superscript"/>
          <w:lang w:bidi="ar"/>
        </w:rPr>
        <w:t>2</w:t>
      </w:r>
      <w:r>
        <w:rPr>
          <w:rFonts w:ascii="Arial" w:eastAsia="宋体" w:hAnsi="Arial" w:cs="Arial"/>
          <w:sz w:val="21"/>
          <w:szCs w:val="21"/>
          <w:lang w:bidi="ar"/>
        </w:rPr>
        <w:t>) and cyclophosphamide (250 mg/m</w:t>
      </w:r>
      <w:r>
        <w:rPr>
          <w:rFonts w:ascii="Arial" w:eastAsia="宋体" w:hAnsi="Arial" w:cs="Arial"/>
          <w:sz w:val="21"/>
          <w:szCs w:val="21"/>
          <w:vertAlign w:val="superscript"/>
          <w:lang w:bidi="ar"/>
        </w:rPr>
        <w:t>2</w:t>
      </w:r>
      <w:r>
        <w:rPr>
          <w:rFonts w:ascii="Arial" w:eastAsia="宋体" w:hAnsi="Arial" w:cs="Arial"/>
          <w:sz w:val="21"/>
          <w:szCs w:val="21"/>
          <w:lang w:bidi="ar"/>
        </w:rPr>
        <w:t>) daily for 3 days to deplete endogenous leukocytes.</w:t>
      </w:r>
    </w:p>
    <w:p w14:paraId="78BC7C11" w14:textId="3BC5E9B0"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Before CAR T-cell infusion, the imaging examinations or Laboratory tests were used to judge whet</w:t>
      </w:r>
      <w:r>
        <w:rPr>
          <w:rFonts w:ascii="Arial" w:eastAsia="宋体" w:hAnsi="Arial" w:cs="Arial"/>
          <w:sz w:val="21"/>
          <w:szCs w:val="21"/>
          <w:lang w:bidi="ar"/>
        </w:rPr>
        <w:t>her the patient meet the enrolment criteria. Based on safety considerations, eligible patients received a single intravenous infusion of anti-CD99 CAR T cells at a target dose of no</w:t>
      </w:r>
      <w:r>
        <w:rPr>
          <w:rFonts w:ascii="Arial" w:eastAsia="宋体" w:hAnsi="Arial" w:cs="Arial"/>
          <w:color w:val="333333"/>
          <w:sz w:val="21"/>
          <w:szCs w:val="21"/>
          <w:shd w:val="clear" w:color="auto" w:fill="FFFFFF"/>
        </w:rPr>
        <w:t xml:space="preserve"> less than </w:t>
      </w:r>
      <w:r>
        <w:rPr>
          <w:rFonts w:ascii="Arial" w:eastAsia="宋体" w:hAnsi="Arial" w:cs="Arial"/>
          <w:sz w:val="21"/>
          <w:szCs w:val="21"/>
          <w:lang w:bidi="ar"/>
        </w:rPr>
        <w:t>4.0×10</w:t>
      </w:r>
      <w:r>
        <w:rPr>
          <w:rFonts w:ascii="Arial" w:eastAsia="宋体" w:hAnsi="Arial" w:cs="Arial"/>
          <w:sz w:val="21"/>
          <w:szCs w:val="21"/>
          <w:vertAlign w:val="superscript"/>
          <w:lang w:bidi="ar"/>
        </w:rPr>
        <w:t>6</w:t>
      </w:r>
      <w:r>
        <w:rPr>
          <w:rFonts w:ascii="Arial" w:eastAsia="宋体" w:hAnsi="Arial" w:cs="Arial"/>
          <w:sz w:val="21"/>
          <w:szCs w:val="21"/>
          <w:lang w:bidi="ar"/>
        </w:rPr>
        <w:t xml:space="preserve"> CAR+ CD3 T cells/kg; we will design an escalating dose f</w:t>
      </w:r>
      <w:r>
        <w:rPr>
          <w:rFonts w:ascii="Arial" w:eastAsia="宋体" w:hAnsi="Arial" w:cs="Arial"/>
          <w:sz w:val="21"/>
          <w:szCs w:val="21"/>
          <w:lang w:bidi="ar"/>
        </w:rPr>
        <w:t>or future studies based on this manuscript. BM aspirates and biopsies were obtained from each patient after 4 weeks of CAR T cell infusion for clinical response assessment according to the National Cancer Institute’s International Working Group criteria. A</w:t>
      </w:r>
      <w:r>
        <w:rPr>
          <w:rFonts w:ascii="Arial" w:eastAsia="宋体" w:hAnsi="Arial" w:cs="Arial"/>
          <w:sz w:val="21"/>
          <w:szCs w:val="21"/>
          <w:lang w:bidi="ar"/>
        </w:rPr>
        <w:t>dditionally, for MS and other extramedullary diseases, imaging examination was used to evaluate the response of CART cell therapy efficacy. The toxicities of anti-CD99 CAR T cells, including CRS and CAR T cell-related ICANS, were evaluated and treated acco</w:t>
      </w:r>
      <w:r>
        <w:rPr>
          <w:rFonts w:ascii="Arial" w:eastAsia="宋体" w:hAnsi="Arial" w:cs="Arial"/>
          <w:sz w:val="21"/>
          <w:szCs w:val="21"/>
          <w:lang w:bidi="ar"/>
        </w:rPr>
        <w:t xml:space="preserve">rding to the criteria from </w:t>
      </w:r>
      <w:proofErr w:type="spellStart"/>
      <w:r>
        <w:rPr>
          <w:rFonts w:ascii="Arial" w:eastAsia="宋体" w:hAnsi="Arial" w:cs="Arial"/>
          <w:sz w:val="21"/>
          <w:szCs w:val="21"/>
          <w:lang w:bidi="ar"/>
        </w:rPr>
        <w:t>Neelapu</w:t>
      </w:r>
      <w:proofErr w:type="spellEnd"/>
      <w:r>
        <w:rPr>
          <w:rFonts w:ascii="Arial" w:eastAsia="宋体" w:hAnsi="Arial" w:cs="Arial"/>
          <w:sz w:val="21"/>
          <w:szCs w:val="21"/>
          <w:lang w:bidi="ar"/>
        </w:rPr>
        <w:t xml:space="preserve"> et al</w:t>
      </w:r>
      <w:r>
        <w:rPr>
          <w:rFonts w:ascii="Arial" w:eastAsia="宋体" w:hAnsi="Arial" w:cs="Arial"/>
          <w:sz w:val="21"/>
          <w:szCs w:val="21"/>
          <w:lang w:bidi="ar"/>
        </w:rPr>
        <w:fldChar w:fldCharType="begin"/>
      </w:r>
      <w:r>
        <w:rPr>
          <w:rFonts w:ascii="Arial" w:eastAsia="宋体" w:hAnsi="Arial" w:cs="Arial"/>
          <w:sz w:val="21"/>
          <w:szCs w:val="21"/>
          <w:lang w:bidi="ar"/>
        </w:rPr>
        <w:instrText xml:space="preserve"> ADDIN EN.CITE &lt;EndNote&gt;&lt;Cite&gt;&lt;Author&gt;Neelapu&lt;/Author&gt;&lt;Year&gt;2018&lt;/Year&gt;&lt;RecNum&gt;123&lt;/RecNum&gt;&lt;DisplayText&gt;&lt;style face="superscript"&gt;1&lt;/style&gt;&lt;/DisplayText&gt;&lt;record&gt;&lt;rec-number&gt;123&lt;/rec-number&gt;&lt;foreign-keys&gt;&lt;key app="EN" db-id="ax29pxfr52d5f9ev9en5pzegtx0sx0zsd2dp" timestamp="1617191197"&gt;123&lt;/key&gt;&lt;/foreign-keys&gt;&lt;ref-type name="Journal Article"&gt;17&lt;/ref-type&gt;&lt;contributors&gt;&lt;authors&gt;&lt;author&gt;Neelapu, Sattva S.&lt;/author&gt;&lt;author&gt;Tummala, Sudhakar&lt;/author&gt;&lt;author&gt;Kebriaei, Partow&lt;/author&gt;&lt;author&gt;Wierda, William&lt;/author&gt;&lt;author&gt;Gutierrez, Cristina&lt;/author&gt;&lt;author&gt;Locke, Frederick L.&lt;/author&gt;&lt;author&gt;Komanduri, Krishna V.&lt;/author&gt;&lt;author&gt;Lin, Yi&lt;/author&gt;&lt;author&gt;Jain, Nitin&lt;/author&gt;&lt;author&gt;Daver, Naval&lt;/author&gt;&lt;author&gt;Westin, Jason&lt;/author&gt;&lt;author&gt;Gulbis, Alison M.&lt;/author&gt;&lt;author&gt;Loghin, Monica E.&lt;/author&gt;&lt;author&gt;de Groot, John F.&lt;/author&gt;&lt;author&gt;Adkins, Sherry&lt;/author&gt;&lt;author&gt;Davis, Suzanne E.&lt;/author&gt;&lt;author&gt;Rezvani, Katayoun&lt;/author&gt;&lt;author&gt;Hwu, Patrick&lt;/author&gt;&lt;author&gt;Shpall, Elizabeth J.&lt;/author&gt;&lt;/authors&gt;&lt;/contributors&gt;&lt;titles&gt;&lt;title&gt;Chimeric antigen receptor T-cell therapy — assessment and management of toxicities&lt;/title&gt;&lt;secondary-title&gt;Nature Reviews Clinical Oncology&lt;/secondary-title&gt;&lt;/titles&gt;&lt;periodical&gt;&lt;full-title&gt;Nature Reviews Clinical Oncology&lt;/full-title&gt;&lt;/periodical&gt;&lt;pages&gt;47-62&lt;/pages&gt;&lt;volume&gt;15&lt;/volume&gt;&lt;number&gt;1&lt;/number&gt;&lt;dates&gt;&lt;year&gt;2018&lt;/year&gt;&lt;pub-dates&gt;&lt;date&gt;2018/01/01&lt;/date&gt;&lt;/pub-dates&gt;&lt;/dates&gt;&lt;isbn&gt;1759-4782&lt;/isbn&gt;&lt;urls&gt;&lt;related-urls&gt;&lt;url&gt;https://doi.org/10.1038/nrclinonc.2017.148&lt;/url&gt;&lt;/related-urls&gt;&lt;/urls&gt;&lt;/record&gt;&lt;/Cite&gt;&lt;/EndNote&gt;</w:instrText>
      </w:r>
      <w:r>
        <w:rPr>
          <w:rFonts w:ascii="Arial" w:eastAsia="宋体" w:hAnsi="Arial" w:cs="Arial"/>
          <w:sz w:val="21"/>
          <w:szCs w:val="21"/>
          <w:lang w:bidi="ar"/>
        </w:rPr>
        <w:fldChar w:fldCharType="separate"/>
      </w:r>
      <w:r w:rsidRPr="00655E8C">
        <w:rPr>
          <w:rFonts w:ascii="Arial" w:eastAsia="宋体" w:hAnsi="Arial" w:cs="Arial"/>
          <w:noProof/>
          <w:sz w:val="21"/>
          <w:szCs w:val="21"/>
          <w:vertAlign w:val="superscript"/>
          <w:lang w:bidi="ar"/>
        </w:rPr>
        <w:t>1</w:t>
      </w:r>
      <w:r>
        <w:rPr>
          <w:rFonts w:ascii="Arial" w:eastAsia="宋体" w:hAnsi="Arial" w:cs="Arial"/>
          <w:sz w:val="21"/>
          <w:szCs w:val="21"/>
          <w:lang w:bidi="ar"/>
        </w:rPr>
        <w:fldChar w:fldCharType="end"/>
      </w:r>
      <w:r>
        <w:rPr>
          <w:rFonts w:ascii="Arial" w:eastAsia="宋体" w:hAnsi="Arial" w:cs="Arial"/>
          <w:sz w:val="21"/>
          <w:szCs w:val="21"/>
          <w:lang w:bidi="ar"/>
        </w:rPr>
        <w:t>. Other adverse events (AEs) were evaluated according to the National Cancer Institute Common Terminology Criteria for Adverse Events V5.0.</w:t>
      </w:r>
    </w:p>
    <w:p w14:paraId="71F09454" w14:textId="77777777" w:rsidR="00E95A27" w:rsidRDefault="00655E8C">
      <w:pPr>
        <w:autoSpaceDE w:val="0"/>
        <w:autoSpaceDN w:val="0"/>
        <w:ind w:firstLineChars="100" w:firstLine="220"/>
        <w:jc w:val="left"/>
        <w:rPr>
          <w:rFonts w:ascii="Arial" w:hAnsi="Arial" w:cs="Arial"/>
        </w:rPr>
      </w:pPr>
      <w:r>
        <w:rPr>
          <w:rFonts w:ascii="Arial" w:eastAsia="Arial" w:hAnsi="Arial" w:cs="Arial"/>
          <w:kern w:val="0"/>
          <w:sz w:val="22"/>
          <w:lang w:bidi="ar"/>
        </w:rPr>
        <w:t xml:space="preserve"> </w:t>
      </w:r>
    </w:p>
    <w:p w14:paraId="357759F8" w14:textId="77777777" w:rsidR="00E95A27" w:rsidRDefault="00655E8C">
      <w:pPr>
        <w:autoSpaceDE w:val="0"/>
        <w:autoSpaceDN w:val="0"/>
        <w:jc w:val="left"/>
        <w:rPr>
          <w:rFonts w:ascii="Arial" w:hAnsi="Arial" w:cs="Arial"/>
          <w:b/>
        </w:rPr>
      </w:pPr>
      <w:r>
        <w:rPr>
          <w:rFonts w:ascii="Arial" w:eastAsia="Arial" w:hAnsi="Arial" w:cs="Arial"/>
          <w:b/>
          <w:kern w:val="0"/>
          <w:sz w:val="22"/>
          <w:lang w:bidi="ar"/>
        </w:rPr>
        <w:t>DNA constructs and lentivirus production</w:t>
      </w:r>
    </w:p>
    <w:p w14:paraId="3EC357E2" w14:textId="77777777" w:rsidR="00E95A27" w:rsidRDefault="00655E8C">
      <w:pPr>
        <w:widowControl/>
        <w:ind w:firstLineChars="200" w:firstLine="420"/>
        <w:jc w:val="left"/>
        <w:rPr>
          <w:rFonts w:ascii="Arial" w:eastAsia="宋体" w:hAnsi="Arial" w:cs="Arial"/>
          <w:szCs w:val="21"/>
          <w:lang w:bidi="ar"/>
        </w:rPr>
      </w:pPr>
      <w:r>
        <w:rPr>
          <w:rFonts w:ascii="Arial" w:eastAsia="宋体" w:hAnsi="Arial" w:cs="Arial"/>
          <w:szCs w:val="21"/>
          <w:lang w:bidi="ar"/>
        </w:rPr>
        <w:t xml:space="preserve">The sequence </w:t>
      </w:r>
      <w:r>
        <w:rPr>
          <w:rFonts w:ascii="Arial" w:eastAsia="宋体" w:hAnsi="Arial" w:cs="Arial"/>
          <w:szCs w:val="21"/>
          <w:lang w:eastAsia="zh-Hans" w:bidi="ar"/>
        </w:rPr>
        <w:t>of 12E7</w:t>
      </w:r>
      <w:r>
        <w:rPr>
          <w:rFonts w:ascii="Arial" w:eastAsia="宋体" w:hAnsi="Arial" w:cs="Arial"/>
          <w:szCs w:val="21"/>
          <w:lang w:bidi="ar"/>
        </w:rPr>
        <w:t xml:space="preserve"> </w:t>
      </w:r>
      <w:proofErr w:type="spellStart"/>
      <w:r>
        <w:rPr>
          <w:rFonts w:ascii="Arial" w:eastAsia="宋体" w:hAnsi="Arial" w:cs="Arial"/>
          <w:szCs w:val="21"/>
          <w:lang w:eastAsia="zh-Hans" w:bidi="ar"/>
        </w:rPr>
        <w:t>scFv</w:t>
      </w:r>
      <w:proofErr w:type="spellEnd"/>
      <w:r>
        <w:rPr>
          <w:rFonts w:ascii="Arial" w:eastAsia="宋体" w:hAnsi="Arial" w:cs="Arial"/>
          <w:szCs w:val="21"/>
          <w:lang w:eastAsia="zh-Hans" w:bidi="ar"/>
        </w:rPr>
        <w:t xml:space="preserve"> </w:t>
      </w:r>
      <w:r>
        <w:rPr>
          <w:rFonts w:ascii="Arial" w:eastAsia="宋体" w:hAnsi="Arial" w:cs="Arial"/>
          <w:szCs w:val="21"/>
          <w:lang w:eastAsia="zh-Hans" w:bidi="ar"/>
        </w:rPr>
        <w:t>come from</w:t>
      </w:r>
      <w:r>
        <w:rPr>
          <w:rFonts w:ascii="Arial" w:eastAsia="宋体" w:hAnsi="Arial" w:cs="Arial"/>
          <w:szCs w:val="21"/>
          <w:lang w:bidi="ar"/>
        </w:rPr>
        <w:t xml:space="preserve"> previous patent (patent number: WO2015/161267 A2). The CAR backbone consists of a CD8 hinge, an intracellular CD28 costimulatory domain, a 4-1BB costimulatory domain and a CD3ζ activation domain, as illustrated. The codon-optimized CD99 CAR was s</w:t>
      </w:r>
      <w:r>
        <w:rPr>
          <w:rFonts w:ascii="Arial" w:eastAsia="宋体" w:hAnsi="Arial" w:cs="Arial"/>
          <w:szCs w:val="21"/>
          <w:lang w:bidi="ar"/>
        </w:rPr>
        <w:t>ynthesized (</w:t>
      </w:r>
      <w:proofErr w:type="spellStart"/>
      <w:r>
        <w:rPr>
          <w:rFonts w:ascii="Arial" w:eastAsia="宋体" w:hAnsi="Arial" w:cs="Arial"/>
          <w:szCs w:val="21"/>
          <w:lang w:bidi="ar"/>
        </w:rPr>
        <w:t>Sangon</w:t>
      </w:r>
      <w:proofErr w:type="spellEnd"/>
      <w:r>
        <w:rPr>
          <w:rFonts w:ascii="Arial" w:eastAsia="宋体" w:hAnsi="Arial" w:cs="Arial"/>
          <w:szCs w:val="21"/>
          <w:lang w:bidi="ar"/>
        </w:rPr>
        <w:t xml:space="preserve"> Biotech; China) and cloned into the lentiviral vector PTK-anti-CD99 CAR. To produce CD99-CAR lentivirus, 293T cells were transfected with a combination of plasmids containing PTK-anti-CD99 CAR, </w:t>
      </w:r>
      <w:proofErr w:type="spellStart"/>
      <w:r>
        <w:rPr>
          <w:rFonts w:ascii="Arial" w:eastAsia="宋体" w:hAnsi="Arial" w:cs="Arial"/>
          <w:szCs w:val="21"/>
          <w:lang w:bidi="ar"/>
        </w:rPr>
        <w:t>pMDLg-pRRE</w:t>
      </w:r>
      <w:proofErr w:type="spellEnd"/>
      <w:r>
        <w:rPr>
          <w:rFonts w:ascii="Arial" w:eastAsia="宋体" w:hAnsi="Arial" w:cs="Arial"/>
          <w:szCs w:val="21"/>
          <w:lang w:bidi="ar"/>
        </w:rPr>
        <w:t xml:space="preserve">, </w:t>
      </w:r>
      <w:proofErr w:type="spellStart"/>
      <w:r>
        <w:rPr>
          <w:rFonts w:ascii="Arial" w:eastAsia="宋体" w:hAnsi="Arial" w:cs="Arial"/>
          <w:szCs w:val="21"/>
          <w:lang w:bidi="ar"/>
        </w:rPr>
        <w:t>pRSV</w:t>
      </w:r>
      <w:proofErr w:type="spellEnd"/>
      <w:r>
        <w:rPr>
          <w:rFonts w:ascii="Arial" w:eastAsia="宋体" w:hAnsi="Arial" w:cs="Arial"/>
          <w:szCs w:val="21"/>
          <w:lang w:bidi="ar"/>
        </w:rPr>
        <w:t>-rev and pMD2.G.</w:t>
      </w:r>
    </w:p>
    <w:p w14:paraId="670F5C4E" w14:textId="77777777" w:rsidR="00E95A27" w:rsidRDefault="00655E8C">
      <w:pPr>
        <w:autoSpaceDE w:val="0"/>
        <w:autoSpaceDN w:val="0"/>
        <w:jc w:val="left"/>
        <w:rPr>
          <w:rFonts w:ascii="Arial" w:hAnsi="Arial" w:cs="Arial"/>
        </w:rPr>
      </w:pPr>
      <w:r>
        <w:rPr>
          <w:rFonts w:ascii="Arial" w:eastAsia="Arial" w:hAnsi="Arial" w:cs="Arial"/>
          <w:kern w:val="0"/>
          <w:sz w:val="22"/>
          <w:lang w:bidi="ar"/>
        </w:rPr>
        <w:t xml:space="preserve"> </w:t>
      </w:r>
    </w:p>
    <w:p w14:paraId="5355090E" w14:textId="77777777" w:rsidR="00E95A27" w:rsidRDefault="00655E8C">
      <w:pPr>
        <w:autoSpaceDE w:val="0"/>
        <w:autoSpaceDN w:val="0"/>
        <w:jc w:val="left"/>
        <w:rPr>
          <w:rFonts w:ascii="Arial" w:hAnsi="Arial" w:cs="Arial"/>
          <w:b/>
          <w:bCs/>
        </w:rPr>
      </w:pPr>
      <w:r>
        <w:rPr>
          <w:rFonts w:ascii="Arial" w:eastAsia="Arial" w:hAnsi="Arial" w:cs="Arial"/>
          <w:b/>
          <w:bCs/>
          <w:kern w:val="0"/>
          <w:sz w:val="22"/>
          <w:lang w:bidi="ar"/>
        </w:rPr>
        <w:t>CAR T ce</w:t>
      </w:r>
      <w:r>
        <w:rPr>
          <w:rFonts w:ascii="Arial" w:eastAsia="Arial" w:hAnsi="Arial" w:cs="Arial"/>
          <w:b/>
          <w:bCs/>
          <w:kern w:val="0"/>
          <w:sz w:val="22"/>
          <w:lang w:bidi="ar"/>
        </w:rPr>
        <w:t>ll manufacturing</w:t>
      </w:r>
    </w:p>
    <w:p w14:paraId="00494D6F"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Autologous peripheral blood mononuclear cells (PBMCs) from each patient were isolated through </w:t>
      </w:r>
      <w:proofErr w:type="spellStart"/>
      <w:r>
        <w:rPr>
          <w:rFonts w:ascii="Arial" w:eastAsia="宋体" w:hAnsi="Arial" w:cs="Arial"/>
          <w:sz w:val="21"/>
          <w:szCs w:val="21"/>
          <w:lang w:bidi="ar"/>
        </w:rPr>
        <w:t>Ficoll-Hypaque</w:t>
      </w:r>
      <w:proofErr w:type="spellEnd"/>
      <w:r>
        <w:rPr>
          <w:rFonts w:ascii="Arial" w:eastAsia="宋体" w:hAnsi="Arial" w:cs="Arial"/>
          <w:sz w:val="21"/>
          <w:szCs w:val="21"/>
          <w:lang w:bidi="ar"/>
        </w:rPr>
        <w:t xml:space="preserve"> density gradient centrifugation (GE Healthcare, Sweden), and T lymphocytes were positively selected from PBMCs using MACS® human C</w:t>
      </w:r>
      <w:r>
        <w:rPr>
          <w:rFonts w:ascii="Arial" w:eastAsia="宋体" w:hAnsi="Arial" w:cs="Arial"/>
          <w:sz w:val="21"/>
          <w:szCs w:val="21"/>
          <w:lang w:bidi="ar"/>
        </w:rPr>
        <w:t>D3 microbeads (MACS, Germany) following the manufacturer’s instructions. T cells were activated with Transact (MACS, USA) for 1 day and then transduced with the above lentivirus at a multiplicity of infection (MOI) ranging from 3 to 5. To determine the tra</w:t>
      </w:r>
      <w:r>
        <w:rPr>
          <w:rFonts w:ascii="Arial" w:eastAsia="宋体" w:hAnsi="Arial" w:cs="Arial"/>
          <w:sz w:val="21"/>
          <w:szCs w:val="21"/>
          <w:lang w:bidi="ar"/>
        </w:rPr>
        <w:t xml:space="preserve">nsduction efficiency of anti-CD99 CAR, cells were stained with </w:t>
      </w:r>
      <w:proofErr w:type="spellStart"/>
      <w:r>
        <w:rPr>
          <w:rFonts w:ascii="Arial" w:eastAsia="宋体" w:hAnsi="Arial" w:cs="Arial"/>
          <w:sz w:val="21"/>
          <w:szCs w:val="21"/>
          <w:lang w:bidi="ar"/>
        </w:rPr>
        <w:t>StrepII</w:t>
      </w:r>
      <w:proofErr w:type="spellEnd"/>
      <w:r>
        <w:rPr>
          <w:rFonts w:ascii="Arial" w:eastAsia="宋体" w:hAnsi="Arial" w:cs="Arial"/>
          <w:sz w:val="21"/>
          <w:szCs w:val="21"/>
          <w:lang w:bidi="ar"/>
        </w:rPr>
        <w:t xml:space="preserve"> antibody and </w:t>
      </w:r>
      <w:proofErr w:type="spellStart"/>
      <w:r>
        <w:rPr>
          <w:rFonts w:ascii="Arial" w:eastAsia="宋体" w:hAnsi="Arial" w:cs="Arial"/>
          <w:sz w:val="21"/>
          <w:szCs w:val="21"/>
          <w:lang w:bidi="ar"/>
        </w:rPr>
        <w:lastRenderedPageBreak/>
        <w:t>analysed</w:t>
      </w:r>
      <w:proofErr w:type="spellEnd"/>
      <w:r>
        <w:rPr>
          <w:rFonts w:ascii="Arial" w:eastAsia="宋体" w:hAnsi="Arial" w:cs="Arial"/>
          <w:sz w:val="21"/>
          <w:szCs w:val="21"/>
          <w:lang w:bidi="ar"/>
        </w:rPr>
        <w:t xml:space="preserve"> by flow cytometry after 3 days. Throughout manufacturing, all CD3+ T cells were cultured using GMP medium (</w:t>
      </w:r>
      <w:proofErr w:type="spellStart"/>
      <w:r>
        <w:rPr>
          <w:rFonts w:ascii="Arial" w:eastAsia="宋体" w:hAnsi="Arial" w:cs="Arial"/>
          <w:sz w:val="21"/>
          <w:szCs w:val="21"/>
          <w:lang w:bidi="ar"/>
        </w:rPr>
        <w:t>TexMACS</w:t>
      </w:r>
      <w:proofErr w:type="spellEnd"/>
      <w:r>
        <w:rPr>
          <w:rFonts w:ascii="Arial" w:eastAsia="宋体" w:hAnsi="Arial" w:cs="Arial"/>
          <w:sz w:val="21"/>
          <w:szCs w:val="21"/>
          <w:lang w:bidi="ar"/>
        </w:rPr>
        <w:t>™, USA) with additional IL-2 (</w:t>
      </w:r>
      <w:proofErr w:type="spellStart"/>
      <w:r>
        <w:rPr>
          <w:rFonts w:ascii="Arial" w:eastAsia="宋体" w:hAnsi="Arial" w:cs="Arial"/>
          <w:sz w:val="21"/>
          <w:szCs w:val="21"/>
          <w:lang w:bidi="ar"/>
        </w:rPr>
        <w:t>Miltenyi</w:t>
      </w:r>
      <w:proofErr w:type="spellEnd"/>
      <w:r>
        <w:rPr>
          <w:rFonts w:ascii="Arial" w:eastAsia="宋体" w:hAnsi="Arial" w:cs="Arial"/>
          <w:sz w:val="21"/>
          <w:szCs w:val="21"/>
          <w:lang w:bidi="ar"/>
        </w:rPr>
        <w:t>, Germany),</w:t>
      </w:r>
      <w:r>
        <w:rPr>
          <w:rFonts w:ascii="Arial" w:eastAsia="宋体" w:hAnsi="Arial" w:cs="Arial"/>
          <w:sz w:val="21"/>
          <w:szCs w:val="21"/>
          <w:lang w:bidi="ar"/>
        </w:rPr>
        <w:t xml:space="preserve"> HEPES (</w:t>
      </w:r>
      <w:proofErr w:type="spellStart"/>
      <w:r>
        <w:rPr>
          <w:rFonts w:ascii="Arial" w:eastAsia="宋体" w:hAnsi="Arial" w:cs="Arial"/>
          <w:sz w:val="21"/>
          <w:szCs w:val="21"/>
          <w:lang w:bidi="ar"/>
        </w:rPr>
        <w:t>InvivoGen</w:t>
      </w:r>
      <w:proofErr w:type="spellEnd"/>
      <w:r>
        <w:rPr>
          <w:rFonts w:ascii="Arial" w:eastAsia="宋体" w:hAnsi="Arial" w:cs="Arial"/>
          <w:sz w:val="21"/>
          <w:szCs w:val="21"/>
          <w:lang w:bidi="ar"/>
        </w:rPr>
        <w:t xml:space="preserve">, USA) and L-glutamine (Gibco, USA). The viability, potency, copy number, replication-competent lentivirus, sterility, mycoplasma, and of CAR T cells were </w:t>
      </w:r>
      <w:proofErr w:type="spellStart"/>
      <w:r>
        <w:rPr>
          <w:rFonts w:ascii="Arial" w:eastAsia="宋体" w:hAnsi="Arial" w:cs="Arial"/>
          <w:sz w:val="21"/>
          <w:szCs w:val="21"/>
          <w:lang w:bidi="ar"/>
        </w:rPr>
        <w:t>analysed</w:t>
      </w:r>
      <w:proofErr w:type="spellEnd"/>
      <w:r>
        <w:rPr>
          <w:rFonts w:ascii="Arial" w:eastAsia="宋体" w:hAnsi="Arial" w:cs="Arial"/>
          <w:sz w:val="21"/>
          <w:szCs w:val="21"/>
          <w:lang w:bidi="ar"/>
        </w:rPr>
        <w:t xml:space="preserve"> for quality control purposes.</w:t>
      </w:r>
    </w:p>
    <w:p w14:paraId="172C4BA8" w14:textId="77777777" w:rsidR="00E95A27" w:rsidRDefault="00E95A27">
      <w:pPr>
        <w:pStyle w:val="ab"/>
        <w:ind w:firstLineChars="200" w:firstLine="420"/>
        <w:rPr>
          <w:rFonts w:ascii="Arial" w:eastAsia="宋体" w:hAnsi="Arial" w:cs="Arial"/>
          <w:sz w:val="21"/>
          <w:szCs w:val="21"/>
          <w:lang w:bidi="ar"/>
        </w:rPr>
      </w:pPr>
    </w:p>
    <w:p w14:paraId="195F2595" w14:textId="77777777" w:rsidR="00E95A27" w:rsidRDefault="00655E8C">
      <w:pPr>
        <w:pStyle w:val="ab"/>
        <w:jc w:val="left"/>
        <w:rPr>
          <w:rFonts w:ascii="Arial" w:eastAsia="宋体" w:hAnsi="Arial" w:cs="Arial"/>
          <w:b/>
          <w:bCs/>
          <w:sz w:val="22"/>
          <w:lang w:bidi="ar"/>
        </w:rPr>
      </w:pPr>
      <w:r>
        <w:rPr>
          <w:rFonts w:ascii="Arial" w:eastAsia="宋体" w:hAnsi="Arial" w:cs="Arial"/>
          <w:b/>
          <w:bCs/>
          <w:sz w:val="22"/>
          <w:lang w:bidi="ar"/>
        </w:rPr>
        <w:t>Enrichment of CAR positive T cells</w:t>
      </w:r>
    </w:p>
    <w:p w14:paraId="723173CA"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CAR T cel</w:t>
      </w:r>
      <w:r>
        <w:rPr>
          <w:rFonts w:ascii="Arial" w:eastAsia="宋体" w:hAnsi="Arial" w:cs="Arial"/>
          <w:sz w:val="21"/>
          <w:szCs w:val="21"/>
          <w:lang w:bidi="ar"/>
        </w:rPr>
        <w:t xml:space="preserve">ls were enriched using Anti-FITC </w:t>
      </w:r>
      <w:proofErr w:type="spellStart"/>
      <w:r>
        <w:rPr>
          <w:rFonts w:ascii="Arial" w:eastAsia="宋体" w:hAnsi="Arial" w:cs="Arial"/>
          <w:sz w:val="21"/>
          <w:szCs w:val="21"/>
          <w:lang w:bidi="ar"/>
        </w:rPr>
        <w:t>MicroBeads</w:t>
      </w:r>
      <w:proofErr w:type="spellEnd"/>
      <w:r>
        <w:rPr>
          <w:rFonts w:ascii="Arial" w:eastAsia="宋体" w:hAnsi="Arial" w:cs="Arial"/>
          <w:sz w:val="21"/>
          <w:szCs w:val="21"/>
          <w:lang w:bidi="ar"/>
        </w:rPr>
        <w:t xml:space="preserve"> (</w:t>
      </w:r>
      <w:proofErr w:type="spellStart"/>
      <w:r>
        <w:rPr>
          <w:rFonts w:ascii="Arial" w:eastAsia="宋体" w:hAnsi="Arial" w:cs="Arial"/>
          <w:sz w:val="21"/>
          <w:szCs w:val="21"/>
          <w:lang w:bidi="ar"/>
        </w:rPr>
        <w:t>Miltenyi</w:t>
      </w:r>
      <w:proofErr w:type="spellEnd"/>
      <w:r>
        <w:rPr>
          <w:rFonts w:ascii="Arial" w:eastAsia="宋体" w:hAnsi="Arial" w:cs="Arial"/>
          <w:sz w:val="21"/>
          <w:szCs w:val="21"/>
          <w:lang w:bidi="ar"/>
        </w:rPr>
        <w:t xml:space="preserve"> </w:t>
      </w:r>
      <w:proofErr w:type="spellStart"/>
      <w:r>
        <w:rPr>
          <w:rFonts w:ascii="Arial" w:eastAsia="宋体" w:hAnsi="Arial" w:cs="Arial"/>
          <w:sz w:val="21"/>
          <w:szCs w:val="21"/>
          <w:lang w:bidi="ar"/>
        </w:rPr>
        <w:t>Biotec</w:t>
      </w:r>
      <w:proofErr w:type="spellEnd"/>
      <w:r>
        <w:rPr>
          <w:rFonts w:ascii="Arial" w:eastAsia="宋体" w:hAnsi="Arial" w:cs="Arial"/>
          <w:sz w:val="21"/>
          <w:szCs w:val="21"/>
          <w:lang w:bidi="ar"/>
        </w:rPr>
        <w:t>) according to the manufacturer's instructions. Briefly, the CAR T cells were labeled with FITC-conjugated antibody (</w:t>
      </w:r>
      <w:proofErr w:type="spellStart"/>
      <w:r>
        <w:rPr>
          <w:rFonts w:ascii="Arial" w:eastAsia="宋体" w:hAnsi="Arial" w:cs="Arial"/>
          <w:sz w:val="21"/>
          <w:szCs w:val="21"/>
          <w:lang w:bidi="ar"/>
        </w:rPr>
        <w:t>StrepII</w:t>
      </w:r>
      <w:proofErr w:type="spellEnd"/>
      <w:r>
        <w:rPr>
          <w:rFonts w:ascii="Arial" w:eastAsia="宋体" w:hAnsi="Arial" w:cs="Arial"/>
          <w:sz w:val="21"/>
          <w:szCs w:val="21"/>
          <w:lang w:bidi="ar"/>
        </w:rPr>
        <w:t xml:space="preserve">-FITC) and anti-FITC </w:t>
      </w:r>
      <w:proofErr w:type="spellStart"/>
      <w:r>
        <w:rPr>
          <w:rFonts w:ascii="Arial" w:eastAsia="宋体" w:hAnsi="Arial" w:cs="Arial"/>
          <w:sz w:val="21"/>
          <w:szCs w:val="21"/>
          <w:lang w:bidi="ar"/>
        </w:rPr>
        <w:t>MicroBeads</w:t>
      </w:r>
      <w:proofErr w:type="spellEnd"/>
      <w:r>
        <w:rPr>
          <w:rFonts w:ascii="Arial" w:eastAsia="宋体" w:hAnsi="Arial" w:cs="Arial"/>
          <w:sz w:val="21"/>
          <w:szCs w:val="21"/>
          <w:lang w:bidi="ar"/>
        </w:rPr>
        <w:t>, and then the labeled cells were put int</w:t>
      </w:r>
      <w:r>
        <w:rPr>
          <w:rFonts w:ascii="Arial" w:eastAsia="宋体" w:hAnsi="Arial" w:cs="Arial"/>
          <w:sz w:val="21"/>
          <w:szCs w:val="21"/>
          <w:lang w:bidi="ar"/>
        </w:rPr>
        <w:t xml:space="preserve">o a magnetic field. Using this procedure, the magnetically labeled </w:t>
      </w:r>
      <w:bookmarkStart w:id="0" w:name="OLE_LINK80"/>
      <w:bookmarkStart w:id="1" w:name="OLE_LINK79"/>
      <w:r>
        <w:rPr>
          <w:rFonts w:ascii="Arial" w:eastAsia="宋体" w:hAnsi="Arial" w:cs="Arial"/>
          <w:sz w:val="21"/>
          <w:szCs w:val="21"/>
          <w:lang w:bidi="ar"/>
        </w:rPr>
        <w:t>FITC-positive cells</w:t>
      </w:r>
      <w:bookmarkEnd w:id="0"/>
      <w:bookmarkEnd w:id="1"/>
      <w:r>
        <w:rPr>
          <w:rFonts w:ascii="Arial" w:eastAsia="宋体" w:hAnsi="Arial" w:cs="Arial"/>
          <w:sz w:val="21"/>
          <w:szCs w:val="21"/>
          <w:lang w:bidi="ar"/>
        </w:rPr>
        <w:t xml:space="preserve"> were retained in the tube while the unlabeled FITC-negative cells could be recovered in the supernatant.</w:t>
      </w:r>
    </w:p>
    <w:p w14:paraId="6E33F44A" w14:textId="77777777" w:rsidR="00E95A27" w:rsidRDefault="00E95A27">
      <w:pPr>
        <w:pStyle w:val="ab"/>
        <w:ind w:firstLineChars="200" w:firstLine="420"/>
        <w:rPr>
          <w:rFonts w:ascii="Arial" w:eastAsia="宋体" w:hAnsi="Arial" w:cs="Arial"/>
          <w:sz w:val="21"/>
          <w:szCs w:val="21"/>
          <w:lang w:bidi="ar"/>
        </w:rPr>
      </w:pPr>
    </w:p>
    <w:p w14:paraId="5A2F9A1E" w14:textId="77777777" w:rsidR="00E95A27" w:rsidRDefault="00655E8C">
      <w:pPr>
        <w:autoSpaceDE w:val="0"/>
        <w:autoSpaceDN w:val="0"/>
        <w:jc w:val="left"/>
        <w:rPr>
          <w:rFonts w:ascii="Arial" w:hAnsi="Arial" w:cs="Arial"/>
          <w:b/>
          <w:bCs/>
        </w:rPr>
      </w:pPr>
      <w:r>
        <w:rPr>
          <w:rFonts w:ascii="Arial" w:eastAsia="Arial" w:hAnsi="Arial" w:cs="Arial"/>
          <w:b/>
          <w:bCs/>
          <w:kern w:val="0"/>
          <w:sz w:val="22"/>
          <w:lang w:bidi="ar"/>
        </w:rPr>
        <w:t>Cell lines</w:t>
      </w:r>
    </w:p>
    <w:p w14:paraId="6F3845A4"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NIH-3T3, </w:t>
      </w:r>
      <w:proofErr w:type="spellStart"/>
      <w:r>
        <w:rPr>
          <w:rFonts w:ascii="Arial" w:eastAsia="宋体" w:hAnsi="Arial" w:cs="Arial"/>
          <w:sz w:val="21"/>
          <w:szCs w:val="21"/>
          <w:lang w:bidi="ar"/>
        </w:rPr>
        <w:t>Jurkat</w:t>
      </w:r>
      <w:proofErr w:type="spellEnd"/>
      <w:r>
        <w:rPr>
          <w:rFonts w:ascii="Arial" w:eastAsia="宋体" w:hAnsi="Arial" w:cs="Arial"/>
          <w:sz w:val="21"/>
          <w:szCs w:val="21"/>
          <w:lang w:bidi="ar"/>
        </w:rPr>
        <w:t xml:space="preserve">, THP-1, K-562, A-673, </w:t>
      </w:r>
      <w:r>
        <w:rPr>
          <w:rFonts w:ascii="Arial" w:eastAsia="宋体" w:hAnsi="Arial" w:cs="Arial"/>
          <w:sz w:val="21"/>
          <w:szCs w:val="21"/>
          <w:lang w:bidi="ar"/>
        </w:rPr>
        <w:t>U251-MG, MCF-7, HeLa, SK-OV-3, A549, and SW480 cell lines were purchased from the Chinese Academy of Sciences Cell Bank (</w:t>
      </w:r>
      <w:proofErr w:type="spellStart"/>
      <w:r>
        <w:rPr>
          <w:rFonts w:ascii="Arial" w:eastAsia="宋体" w:hAnsi="Arial" w:cs="Arial"/>
          <w:sz w:val="21"/>
          <w:szCs w:val="21"/>
          <w:lang w:bidi="ar"/>
        </w:rPr>
        <w:t>CASCB,China</w:t>
      </w:r>
      <w:proofErr w:type="spellEnd"/>
      <w:r>
        <w:rPr>
          <w:rFonts w:ascii="Arial" w:eastAsia="宋体" w:hAnsi="Arial" w:cs="Arial"/>
          <w:sz w:val="21"/>
          <w:szCs w:val="21"/>
          <w:lang w:bidi="ar"/>
        </w:rPr>
        <w:t xml:space="preserve">). U266B1, RD-ES, OVCAR-8 and HCT116 cell lines were purchased from the American Type Tissue Culture Collection (ATCC,USA). </w:t>
      </w:r>
      <w:r>
        <w:rPr>
          <w:rFonts w:ascii="Arial" w:eastAsia="宋体" w:hAnsi="Arial" w:cs="Arial"/>
          <w:sz w:val="21"/>
          <w:szCs w:val="21"/>
          <w:lang w:bidi="ar"/>
        </w:rPr>
        <w:t xml:space="preserve">SKM-1, MOLM-13 and OCI-AML3 were purchased from DSMZ(Germany). CUTLL-1, MOLT-4 and MOLT-3 were kindly provided by Hong Wu Lab in Peking University. The </w:t>
      </w:r>
      <w:proofErr w:type="spellStart"/>
      <w:r>
        <w:rPr>
          <w:rFonts w:ascii="Arial" w:eastAsia="宋体" w:hAnsi="Arial" w:cs="Arial"/>
          <w:sz w:val="21"/>
          <w:szCs w:val="21"/>
          <w:lang w:bidi="ar"/>
        </w:rPr>
        <w:t>Lenti</w:t>
      </w:r>
      <w:proofErr w:type="spellEnd"/>
      <w:r>
        <w:rPr>
          <w:rFonts w:ascii="Arial" w:eastAsia="宋体" w:hAnsi="Arial" w:cs="Arial"/>
          <w:sz w:val="21"/>
          <w:szCs w:val="21"/>
          <w:lang w:bidi="ar"/>
        </w:rPr>
        <w:t>-X 293T cell line was obtained from TAKARA. All the cells identity was confirmed by STR loci profil</w:t>
      </w:r>
      <w:r>
        <w:rPr>
          <w:rFonts w:ascii="Arial" w:eastAsia="宋体" w:hAnsi="Arial" w:cs="Arial"/>
          <w:sz w:val="21"/>
          <w:szCs w:val="21"/>
          <w:lang w:bidi="ar"/>
        </w:rPr>
        <w:t>ing performed by source of institutes.</w:t>
      </w:r>
    </w:p>
    <w:p w14:paraId="5CD48F20"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NIH-3T3, A-673, U251-MG, MCF-7, HeLa, SK-OV-3, A549,OVCAR-8, HCT116 and </w:t>
      </w:r>
      <w:proofErr w:type="spellStart"/>
      <w:r>
        <w:rPr>
          <w:rFonts w:ascii="Arial" w:eastAsia="宋体" w:hAnsi="Arial" w:cs="Arial"/>
          <w:sz w:val="21"/>
          <w:szCs w:val="21"/>
          <w:lang w:bidi="ar"/>
        </w:rPr>
        <w:t>Lenti</w:t>
      </w:r>
      <w:proofErr w:type="spellEnd"/>
      <w:r>
        <w:rPr>
          <w:rFonts w:ascii="Arial" w:eastAsia="宋体" w:hAnsi="Arial" w:cs="Arial"/>
          <w:sz w:val="21"/>
          <w:szCs w:val="21"/>
          <w:lang w:bidi="ar"/>
        </w:rPr>
        <w:t xml:space="preserve">-X 293T cell lines were cultured in DMEM with 10% FBS. </w:t>
      </w:r>
      <w:proofErr w:type="spellStart"/>
      <w:r>
        <w:rPr>
          <w:rFonts w:ascii="Arial" w:eastAsia="宋体" w:hAnsi="Arial" w:cs="Arial"/>
          <w:sz w:val="21"/>
          <w:szCs w:val="21"/>
          <w:lang w:bidi="ar"/>
        </w:rPr>
        <w:t>Jurkat</w:t>
      </w:r>
      <w:proofErr w:type="spellEnd"/>
      <w:r>
        <w:rPr>
          <w:rFonts w:ascii="Arial" w:eastAsia="宋体" w:hAnsi="Arial" w:cs="Arial"/>
          <w:sz w:val="21"/>
          <w:szCs w:val="21"/>
          <w:lang w:bidi="ar"/>
        </w:rPr>
        <w:t>, MOLT-4, THP-1, K-562,U266B1, CUTLL-1, RD-ES, MOLT-3, SW480, SKM-1, MOLM-13, O</w:t>
      </w:r>
      <w:r>
        <w:rPr>
          <w:rFonts w:ascii="Arial" w:eastAsia="宋体" w:hAnsi="Arial" w:cs="Arial"/>
          <w:sz w:val="21"/>
          <w:szCs w:val="21"/>
          <w:lang w:bidi="ar"/>
        </w:rPr>
        <w:t>CI-AML3 and cell lines were cultured in RPMI 1640 medium with 10% FBS Cell lines were placed in a 37°C and 5% CO2 humidified incubator and tested to ensure the lack of mycoplasma contamination.</w:t>
      </w:r>
    </w:p>
    <w:p w14:paraId="6183A3DA" w14:textId="77777777" w:rsidR="00E95A27" w:rsidRDefault="00E95A27">
      <w:pPr>
        <w:autoSpaceDE w:val="0"/>
        <w:autoSpaceDN w:val="0"/>
        <w:jc w:val="left"/>
        <w:rPr>
          <w:rFonts w:ascii="Arial" w:hAnsi="Arial" w:cs="Arial"/>
          <w:b/>
          <w:bCs/>
        </w:rPr>
      </w:pPr>
    </w:p>
    <w:p w14:paraId="1231CB3F" w14:textId="77777777" w:rsidR="00E95A27" w:rsidRDefault="00655E8C">
      <w:pPr>
        <w:autoSpaceDE w:val="0"/>
        <w:autoSpaceDN w:val="0"/>
        <w:jc w:val="left"/>
        <w:rPr>
          <w:rFonts w:ascii="Arial" w:eastAsia="Arial" w:hAnsi="Arial" w:cs="Arial"/>
          <w:b/>
          <w:bCs/>
          <w:kern w:val="0"/>
          <w:sz w:val="22"/>
          <w:lang w:bidi="ar"/>
        </w:rPr>
      </w:pPr>
      <w:r>
        <w:rPr>
          <w:rFonts w:ascii="Arial" w:eastAsia="Arial" w:hAnsi="Arial" w:cs="Arial"/>
          <w:b/>
          <w:bCs/>
          <w:kern w:val="0"/>
          <w:sz w:val="22"/>
          <w:lang w:bidi="ar"/>
        </w:rPr>
        <w:t>Knockdown and Overexpression</w:t>
      </w:r>
    </w:p>
    <w:p w14:paraId="1B4EFCB1"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For antigen specificity analysis</w:t>
      </w:r>
      <w:r>
        <w:rPr>
          <w:rFonts w:ascii="Arial" w:eastAsia="宋体" w:hAnsi="Arial" w:cs="Arial"/>
          <w:sz w:val="21"/>
          <w:szCs w:val="21"/>
          <w:lang w:bidi="ar"/>
        </w:rPr>
        <w:t xml:space="preserve"> of anti-CD99 CAR-T cells, knockdown or overexpression cell lines were generated as follows. To establish short hairpin (</w:t>
      </w:r>
      <w:proofErr w:type="spellStart"/>
      <w:r>
        <w:rPr>
          <w:rFonts w:ascii="Arial" w:eastAsia="宋体" w:hAnsi="Arial" w:cs="Arial"/>
          <w:sz w:val="21"/>
          <w:szCs w:val="21"/>
          <w:lang w:bidi="ar"/>
        </w:rPr>
        <w:t>sh</w:t>
      </w:r>
      <w:proofErr w:type="spellEnd"/>
      <w:r>
        <w:rPr>
          <w:rFonts w:ascii="Arial" w:eastAsia="宋体" w:hAnsi="Arial" w:cs="Arial"/>
          <w:sz w:val="21"/>
          <w:szCs w:val="21"/>
          <w:lang w:bidi="ar"/>
        </w:rPr>
        <w:t>) CD99 knockdown cell lines, MOLT-4 cells were infected with lentivirus packaged by the silencing plasmid (PLVX-H1-EF1a-GFP-IRES-puro</w:t>
      </w:r>
      <w:r>
        <w:rPr>
          <w:rFonts w:ascii="Arial" w:eastAsia="宋体" w:hAnsi="Arial" w:cs="Arial"/>
          <w:sz w:val="21"/>
          <w:szCs w:val="21"/>
          <w:lang w:bidi="ar"/>
        </w:rPr>
        <w:t>), which includes a puromycin resistance region, and an shRNA construct to target CD99 (shRNA2: 5’-CGGATGGTGGTTTCGATTTATCTCGAGATAAATCGAAACCACCATCCGTTTTTT-3’; shRNA5: 5’-CCAGCTGTTCAGCGTACTCTTCTCGAGAAGAGTACGCTGAACAGCTGGTTTTTT-3’) or a non-specific shRNA cont</w:t>
      </w:r>
      <w:r>
        <w:rPr>
          <w:rFonts w:ascii="Arial" w:eastAsia="宋体" w:hAnsi="Arial" w:cs="Arial"/>
          <w:sz w:val="21"/>
          <w:szCs w:val="21"/>
          <w:lang w:bidi="ar"/>
        </w:rPr>
        <w:t>rol (</w:t>
      </w:r>
      <w:proofErr w:type="spellStart"/>
      <w:r>
        <w:rPr>
          <w:rFonts w:ascii="Arial" w:eastAsia="宋体" w:hAnsi="Arial" w:cs="Arial"/>
          <w:sz w:val="21"/>
          <w:szCs w:val="21"/>
          <w:lang w:bidi="ar"/>
        </w:rPr>
        <w:t>shRNAC</w:t>
      </w:r>
      <w:proofErr w:type="spellEnd"/>
      <w:r>
        <w:rPr>
          <w:rFonts w:ascii="Arial" w:eastAsia="宋体" w:hAnsi="Arial" w:cs="Arial"/>
          <w:sz w:val="21"/>
          <w:szCs w:val="21"/>
          <w:lang w:bidi="ar"/>
        </w:rPr>
        <w:t xml:space="preserve">: 5’-CAACACAGATGATAGAGCACCAATTGGTGCTCTATCATCTGTGTTGTTTTT-3’). MOLT-4 cells stably expressing CD99-targeted shRNA (MOLT-4 sh2 and MOLT-4 sh5) and nonspecific shRNA control (MOLT-4 </w:t>
      </w:r>
      <w:proofErr w:type="spellStart"/>
      <w:r>
        <w:rPr>
          <w:rFonts w:ascii="Arial" w:eastAsia="宋体" w:hAnsi="Arial" w:cs="Arial"/>
          <w:sz w:val="21"/>
          <w:szCs w:val="21"/>
          <w:lang w:bidi="ar"/>
        </w:rPr>
        <w:t>shC</w:t>
      </w:r>
      <w:proofErr w:type="spellEnd"/>
      <w:r>
        <w:rPr>
          <w:rFonts w:ascii="Arial" w:eastAsia="宋体" w:hAnsi="Arial" w:cs="Arial"/>
          <w:sz w:val="21"/>
          <w:szCs w:val="21"/>
          <w:lang w:bidi="ar"/>
        </w:rPr>
        <w:t xml:space="preserve">) were </w:t>
      </w:r>
      <w:proofErr w:type="spellStart"/>
      <w:r>
        <w:rPr>
          <w:rFonts w:ascii="Arial" w:eastAsia="宋体" w:hAnsi="Arial" w:cs="Arial"/>
          <w:sz w:val="21"/>
          <w:szCs w:val="21"/>
          <w:lang w:bidi="ar"/>
        </w:rPr>
        <w:t>analysed</w:t>
      </w:r>
      <w:proofErr w:type="spellEnd"/>
      <w:r>
        <w:rPr>
          <w:rFonts w:ascii="Arial" w:eastAsia="宋体" w:hAnsi="Arial" w:cs="Arial"/>
          <w:sz w:val="21"/>
          <w:szCs w:val="21"/>
          <w:lang w:bidi="ar"/>
        </w:rPr>
        <w:t xml:space="preserve"> by flow cytometry to measure the knockdown effi</w:t>
      </w:r>
      <w:r>
        <w:rPr>
          <w:rFonts w:ascii="Arial" w:eastAsia="宋体" w:hAnsi="Arial" w:cs="Arial"/>
          <w:sz w:val="21"/>
          <w:szCs w:val="21"/>
          <w:lang w:bidi="ar"/>
        </w:rPr>
        <w:t xml:space="preserve">ciency. To construct a stable cell line overexpressing CD99, a cDNA </w:t>
      </w:r>
      <w:r>
        <w:rPr>
          <w:rFonts w:ascii="Arial" w:eastAsia="宋体" w:hAnsi="Arial" w:cs="Arial"/>
          <w:sz w:val="21"/>
          <w:szCs w:val="21"/>
          <w:lang w:bidi="ar"/>
        </w:rPr>
        <w:lastRenderedPageBreak/>
        <w:t>expression construct encoding the wild-type form of CD99 was transfected into NIH-3T3 cell lines by using Lipofectamine (</w:t>
      </w:r>
      <w:proofErr w:type="spellStart"/>
      <w:r>
        <w:rPr>
          <w:rFonts w:ascii="Arial" w:eastAsia="宋体" w:hAnsi="Arial" w:cs="Arial"/>
          <w:sz w:val="21"/>
          <w:szCs w:val="21"/>
          <w:lang w:bidi="ar"/>
        </w:rPr>
        <w:t>Invitrogen,USA</w:t>
      </w:r>
      <w:proofErr w:type="spellEnd"/>
      <w:r>
        <w:rPr>
          <w:rFonts w:ascii="Arial" w:eastAsia="宋体" w:hAnsi="Arial" w:cs="Arial"/>
          <w:sz w:val="21"/>
          <w:szCs w:val="21"/>
          <w:lang w:bidi="ar"/>
        </w:rPr>
        <w:t>) according to the manufacturer’s instructions. The o</w:t>
      </w:r>
      <w:r>
        <w:rPr>
          <w:rFonts w:ascii="Arial" w:eastAsia="宋体" w:hAnsi="Arial" w:cs="Arial"/>
          <w:sz w:val="21"/>
          <w:szCs w:val="21"/>
          <w:lang w:bidi="ar"/>
        </w:rPr>
        <w:t>verexpression efficiency of NIH-3T3-hCD99 was measured by flow cytometry as described above.</w:t>
      </w:r>
    </w:p>
    <w:p w14:paraId="4040CCBF" w14:textId="77777777" w:rsidR="00E95A27" w:rsidRDefault="00E95A27">
      <w:pPr>
        <w:autoSpaceDE w:val="0"/>
        <w:autoSpaceDN w:val="0"/>
        <w:jc w:val="left"/>
        <w:rPr>
          <w:rFonts w:ascii="Arial" w:eastAsia="Arial" w:hAnsi="Arial" w:cs="Arial"/>
          <w:b/>
          <w:bCs/>
          <w:kern w:val="0"/>
          <w:sz w:val="22"/>
          <w:lang w:bidi="ar"/>
        </w:rPr>
      </w:pPr>
    </w:p>
    <w:p w14:paraId="10FB88F1" w14:textId="77777777" w:rsidR="00E95A27" w:rsidRDefault="00655E8C">
      <w:pPr>
        <w:autoSpaceDE w:val="0"/>
        <w:autoSpaceDN w:val="0"/>
        <w:jc w:val="left"/>
        <w:rPr>
          <w:rFonts w:ascii="Arial" w:hAnsi="Arial" w:cs="Arial"/>
          <w:b/>
          <w:bCs/>
        </w:rPr>
      </w:pPr>
      <w:r>
        <w:rPr>
          <w:rFonts w:ascii="Arial" w:eastAsia="Arial" w:hAnsi="Arial" w:cs="Arial"/>
          <w:b/>
          <w:bCs/>
          <w:kern w:val="0"/>
          <w:sz w:val="22"/>
          <w:lang w:bidi="ar"/>
        </w:rPr>
        <w:t>Biolayer interferometry (BLI)</w:t>
      </w:r>
    </w:p>
    <w:p w14:paraId="1CC138F4"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To </w:t>
      </w:r>
      <w:proofErr w:type="spellStart"/>
      <w:r>
        <w:rPr>
          <w:rFonts w:ascii="Arial" w:eastAsia="宋体" w:hAnsi="Arial" w:cs="Arial"/>
          <w:sz w:val="21"/>
          <w:szCs w:val="21"/>
          <w:lang w:bidi="ar"/>
        </w:rPr>
        <w:t>analyse</w:t>
      </w:r>
      <w:proofErr w:type="spellEnd"/>
      <w:r>
        <w:rPr>
          <w:rFonts w:ascii="Arial" w:eastAsia="宋体" w:hAnsi="Arial" w:cs="Arial"/>
          <w:sz w:val="21"/>
          <w:szCs w:val="21"/>
          <w:lang w:bidi="ar"/>
        </w:rPr>
        <w:t xml:space="preserve"> the binding kinetics of the anti-CD99 </w:t>
      </w:r>
      <w:proofErr w:type="spellStart"/>
      <w:r>
        <w:rPr>
          <w:rFonts w:ascii="Arial" w:eastAsia="宋体" w:hAnsi="Arial" w:cs="Arial"/>
          <w:sz w:val="21"/>
          <w:szCs w:val="21"/>
          <w:lang w:bidi="ar"/>
        </w:rPr>
        <w:t>scFv</w:t>
      </w:r>
      <w:proofErr w:type="spellEnd"/>
      <w:r>
        <w:rPr>
          <w:rFonts w:ascii="Arial" w:eastAsia="宋体" w:hAnsi="Arial" w:cs="Arial"/>
          <w:sz w:val="21"/>
          <w:szCs w:val="21"/>
          <w:lang w:bidi="ar"/>
        </w:rPr>
        <w:t xml:space="preserve"> or </w:t>
      </w:r>
      <w:proofErr w:type="spellStart"/>
      <w:r>
        <w:rPr>
          <w:rFonts w:ascii="Arial" w:eastAsia="宋体" w:hAnsi="Arial" w:cs="Arial"/>
          <w:sz w:val="21"/>
          <w:szCs w:val="21"/>
          <w:lang w:bidi="ar"/>
        </w:rPr>
        <w:t>antibodys</w:t>
      </w:r>
      <w:proofErr w:type="spellEnd"/>
      <w:r>
        <w:rPr>
          <w:rFonts w:ascii="Arial" w:eastAsia="宋体" w:hAnsi="Arial" w:cs="Arial"/>
          <w:sz w:val="21"/>
          <w:szCs w:val="21"/>
          <w:lang w:bidi="ar"/>
        </w:rPr>
        <w:t xml:space="preserve"> with CD99 protein, we performed biolayer </w:t>
      </w:r>
      <w:r>
        <w:rPr>
          <w:rFonts w:ascii="Arial" w:eastAsia="宋体" w:hAnsi="Arial" w:cs="Arial"/>
          <w:sz w:val="21"/>
          <w:szCs w:val="21"/>
          <w:lang w:bidi="ar"/>
        </w:rPr>
        <w:t xml:space="preserve">interferometry on an Octet QK system against anti-CD99 </w:t>
      </w:r>
      <w:proofErr w:type="spellStart"/>
      <w:r>
        <w:rPr>
          <w:rFonts w:ascii="Arial" w:eastAsia="宋体" w:hAnsi="Arial" w:cs="Arial"/>
          <w:sz w:val="21"/>
          <w:szCs w:val="21"/>
          <w:lang w:bidi="ar"/>
        </w:rPr>
        <w:t>scFv</w:t>
      </w:r>
      <w:proofErr w:type="spellEnd"/>
      <w:r>
        <w:rPr>
          <w:rFonts w:ascii="Arial" w:eastAsia="宋体" w:hAnsi="Arial" w:cs="Arial"/>
          <w:sz w:val="21"/>
          <w:szCs w:val="21"/>
          <w:lang w:bidi="ar"/>
        </w:rPr>
        <w:t xml:space="preserve">. The biosensor was coated with streptavidin, and the CD99 protein was biotinylated. Then, the CD99 protein was immobilized onto the biosensor by biotin-streptavidin interactions. After removal of </w:t>
      </w:r>
      <w:r>
        <w:rPr>
          <w:rFonts w:ascii="Arial" w:eastAsia="宋体" w:hAnsi="Arial" w:cs="Arial"/>
          <w:sz w:val="21"/>
          <w:szCs w:val="21"/>
          <w:lang w:bidi="ar"/>
        </w:rPr>
        <w:t xml:space="preserve">excess biotin, anti-CD99 </w:t>
      </w:r>
      <w:proofErr w:type="spellStart"/>
      <w:r>
        <w:rPr>
          <w:rFonts w:ascii="Arial" w:eastAsia="宋体" w:hAnsi="Arial" w:cs="Arial"/>
          <w:sz w:val="21"/>
          <w:szCs w:val="21"/>
          <w:lang w:bidi="ar"/>
        </w:rPr>
        <w:t>scFv</w:t>
      </w:r>
      <w:proofErr w:type="spellEnd"/>
      <w:r>
        <w:rPr>
          <w:rFonts w:ascii="Arial" w:eastAsia="宋体" w:hAnsi="Arial" w:cs="Arial"/>
          <w:sz w:val="21"/>
          <w:szCs w:val="21"/>
          <w:lang w:bidi="ar"/>
        </w:rPr>
        <w:t xml:space="preserve"> or </w:t>
      </w:r>
      <w:proofErr w:type="spellStart"/>
      <w:r>
        <w:rPr>
          <w:rFonts w:ascii="Arial" w:eastAsia="宋体" w:hAnsi="Arial" w:cs="Arial"/>
          <w:sz w:val="21"/>
          <w:szCs w:val="21"/>
          <w:lang w:bidi="ar"/>
        </w:rPr>
        <w:t>antibodys</w:t>
      </w:r>
      <w:proofErr w:type="spellEnd"/>
      <w:r>
        <w:rPr>
          <w:rFonts w:ascii="Arial" w:eastAsia="宋体" w:hAnsi="Arial" w:cs="Arial"/>
          <w:sz w:val="21"/>
          <w:szCs w:val="21"/>
          <w:lang w:bidi="ar"/>
        </w:rPr>
        <w:t xml:space="preserve"> was injected over the surface of the biosensor for association. Then, </w:t>
      </w:r>
      <w:proofErr w:type="spellStart"/>
      <w:r>
        <w:rPr>
          <w:rFonts w:ascii="Arial" w:eastAsia="宋体" w:hAnsi="Arial" w:cs="Arial"/>
          <w:sz w:val="21"/>
          <w:szCs w:val="21"/>
          <w:lang w:bidi="ar"/>
        </w:rPr>
        <w:t>ForteBio</w:t>
      </w:r>
      <w:proofErr w:type="spellEnd"/>
      <w:r>
        <w:rPr>
          <w:rFonts w:ascii="Arial" w:eastAsia="宋体" w:hAnsi="Arial" w:cs="Arial"/>
          <w:sz w:val="21"/>
          <w:szCs w:val="21"/>
          <w:lang w:bidi="ar"/>
        </w:rPr>
        <w:t xml:space="preserve"> </w:t>
      </w:r>
      <w:proofErr w:type="spellStart"/>
      <w:r>
        <w:rPr>
          <w:rFonts w:ascii="Arial" w:eastAsia="宋体" w:hAnsi="Arial" w:cs="Arial"/>
          <w:sz w:val="21"/>
          <w:szCs w:val="21"/>
          <w:lang w:bidi="ar"/>
        </w:rPr>
        <w:t>BLItz</w:t>
      </w:r>
      <w:proofErr w:type="spellEnd"/>
      <w:r>
        <w:rPr>
          <w:rFonts w:ascii="Arial" w:eastAsia="宋体" w:hAnsi="Arial" w:cs="Arial"/>
          <w:sz w:val="21"/>
          <w:szCs w:val="21"/>
          <w:lang w:bidi="ar"/>
        </w:rPr>
        <w:t xml:space="preserve"> was used to assess the binding following the protocol. All BLI experiments were repeated at least three times, and the affinitie</w:t>
      </w:r>
      <w:r>
        <w:rPr>
          <w:rFonts w:ascii="Arial" w:eastAsia="宋体" w:hAnsi="Arial" w:cs="Arial"/>
          <w:sz w:val="21"/>
          <w:szCs w:val="21"/>
          <w:lang w:bidi="ar"/>
        </w:rPr>
        <w:t xml:space="preserve">s of CD99 and anti-CD99 </w:t>
      </w:r>
      <w:proofErr w:type="spellStart"/>
      <w:r>
        <w:rPr>
          <w:rFonts w:ascii="Arial" w:eastAsia="宋体" w:hAnsi="Arial" w:cs="Arial"/>
          <w:sz w:val="21"/>
          <w:szCs w:val="21"/>
          <w:lang w:bidi="ar"/>
        </w:rPr>
        <w:t>scFv</w:t>
      </w:r>
      <w:proofErr w:type="spellEnd"/>
      <w:r>
        <w:rPr>
          <w:rFonts w:ascii="Arial" w:eastAsia="宋体" w:hAnsi="Arial" w:cs="Arial"/>
          <w:sz w:val="21"/>
          <w:szCs w:val="21"/>
          <w:lang w:bidi="ar"/>
        </w:rPr>
        <w:t xml:space="preserve"> or </w:t>
      </w:r>
      <w:proofErr w:type="spellStart"/>
      <w:r>
        <w:rPr>
          <w:rFonts w:ascii="Arial" w:eastAsia="宋体" w:hAnsi="Arial" w:cs="Arial"/>
          <w:sz w:val="21"/>
          <w:szCs w:val="21"/>
          <w:lang w:bidi="ar"/>
        </w:rPr>
        <w:t>antibodys</w:t>
      </w:r>
      <w:proofErr w:type="spellEnd"/>
      <w:r>
        <w:rPr>
          <w:rFonts w:ascii="Arial" w:eastAsia="宋体" w:hAnsi="Arial" w:cs="Arial"/>
          <w:sz w:val="21"/>
          <w:szCs w:val="21"/>
          <w:lang w:bidi="ar"/>
        </w:rPr>
        <w:t xml:space="preserve"> were determined by binding curves using GraphPad Prism.</w:t>
      </w:r>
    </w:p>
    <w:p w14:paraId="3BB2B358"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 </w:t>
      </w:r>
    </w:p>
    <w:p w14:paraId="5197147A" w14:textId="77777777" w:rsidR="00E95A27" w:rsidRDefault="00655E8C">
      <w:pPr>
        <w:autoSpaceDE w:val="0"/>
        <w:autoSpaceDN w:val="0"/>
        <w:jc w:val="left"/>
        <w:rPr>
          <w:rFonts w:ascii="Arial" w:hAnsi="Arial" w:cs="Arial"/>
          <w:b/>
          <w:bCs/>
        </w:rPr>
      </w:pPr>
      <w:r>
        <w:rPr>
          <w:rFonts w:ascii="Arial" w:eastAsia="Arial" w:hAnsi="Arial" w:cs="Arial"/>
          <w:b/>
          <w:bCs/>
          <w:kern w:val="0"/>
          <w:sz w:val="22"/>
          <w:lang w:bidi="ar"/>
        </w:rPr>
        <w:t>Flow cytometry</w:t>
      </w:r>
    </w:p>
    <w:p w14:paraId="2BF98089"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All reagents and antibodies for flow cytometric analysis were purchased from </w:t>
      </w:r>
      <w:proofErr w:type="spellStart"/>
      <w:r>
        <w:rPr>
          <w:rFonts w:ascii="Arial" w:eastAsia="宋体" w:hAnsi="Arial" w:cs="Arial"/>
          <w:sz w:val="21"/>
          <w:szCs w:val="21"/>
          <w:lang w:bidi="ar"/>
        </w:rPr>
        <w:t>Biolegend</w:t>
      </w:r>
      <w:proofErr w:type="spellEnd"/>
      <w:r>
        <w:rPr>
          <w:rFonts w:ascii="Arial" w:eastAsia="宋体" w:hAnsi="Arial" w:cs="Arial"/>
          <w:sz w:val="21"/>
          <w:szCs w:val="21"/>
          <w:lang w:bidi="ar"/>
        </w:rPr>
        <w:t>/BD/R&amp;D unless stated otherwise. Flow cytometry was per</w:t>
      </w:r>
      <w:r>
        <w:rPr>
          <w:rFonts w:ascii="Arial" w:eastAsia="宋体" w:hAnsi="Arial" w:cs="Arial"/>
          <w:sz w:val="21"/>
          <w:szCs w:val="21"/>
          <w:lang w:bidi="ar"/>
        </w:rPr>
        <w:t xml:space="preserve">formed using a Beckman </w:t>
      </w:r>
      <w:proofErr w:type="spellStart"/>
      <w:r>
        <w:rPr>
          <w:rFonts w:ascii="Arial" w:eastAsia="宋体" w:hAnsi="Arial" w:cs="Arial"/>
          <w:sz w:val="21"/>
          <w:szCs w:val="21"/>
          <w:lang w:bidi="ar"/>
        </w:rPr>
        <w:t>CytoFLEX</w:t>
      </w:r>
      <w:proofErr w:type="spellEnd"/>
      <w:r>
        <w:rPr>
          <w:rFonts w:ascii="Arial" w:eastAsia="宋体" w:hAnsi="Arial" w:cs="Arial"/>
          <w:sz w:val="21"/>
          <w:szCs w:val="21"/>
          <w:lang w:bidi="ar"/>
        </w:rPr>
        <w:t xml:space="preserve"> flow cytometer. FACS sorting was performed using a BD </w:t>
      </w:r>
      <w:proofErr w:type="spellStart"/>
      <w:r>
        <w:rPr>
          <w:rFonts w:ascii="Arial" w:eastAsia="宋体" w:hAnsi="Arial" w:cs="Arial"/>
          <w:sz w:val="21"/>
          <w:szCs w:val="21"/>
          <w:lang w:bidi="ar"/>
        </w:rPr>
        <w:t>FACSAria</w:t>
      </w:r>
      <w:proofErr w:type="spellEnd"/>
      <w:r>
        <w:rPr>
          <w:rFonts w:ascii="Arial" w:eastAsia="宋体" w:hAnsi="Arial" w:cs="Arial"/>
          <w:sz w:val="21"/>
          <w:szCs w:val="21"/>
          <w:lang w:bidi="ar"/>
        </w:rPr>
        <w:t xml:space="preserve"> (BD Biosciences, USA). Cell lines were incubated with antibodies at the recommended dilution on ice for 30 mins in the dark and then washed twice with PBS contai</w:t>
      </w:r>
      <w:r>
        <w:rPr>
          <w:rFonts w:ascii="Arial" w:eastAsia="宋体" w:hAnsi="Arial" w:cs="Arial"/>
          <w:sz w:val="21"/>
          <w:szCs w:val="21"/>
          <w:lang w:bidi="ar"/>
        </w:rPr>
        <w:t>ning 2% FBS (Gibco, USA). PB and BM were lysed with red blood cell (RBC) lysis buffer to remove the red blood cells to obtain mononuclear cell suspensions and prepared through the process described above. Cells were subsequently stained with 7-AAD to exclu</w:t>
      </w:r>
      <w:r>
        <w:rPr>
          <w:rFonts w:ascii="Arial" w:eastAsia="宋体" w:hAnsi="Arial" w:cs="Arial"/>
          <w:sz w:val="21"/>
          <w:szCs w:val="21"/>
          <w:lang w:bidi="ar"/>
        </w:rPr>
        <w:t xml:space="preserve">de dead cells. Positive events were determined by isotype control gating for each antibody. The efficiency of anti-CD99 CAR transduction was calculated using </w:t>
      </w:r>
      <w:proofErr w:type="spellStart"/>
      <w:r>
        <w:rPr>
          <w:rFonts w:ascii="Arial" w:eastAsia="宋体" w:hAnsi="Arial" w:cs="Arial"/>
          <w:sz w:val="21"/>
          <w:szCs w:val="21"/>
          <w:lang w:bidi="ar"/>
        </w:rPr>
        <w:t>StrepII</w:t>
      </w:r>
      <w:proofErr w:type="spellEnd"/>
      <w:r>
        <w:rPr>
          <w:rFonts w:ascii="Arial" w:eastAsia="宋体" w:hAnsi="Arial" w:cs="Arial"/>
          <w:sz w:val="21"/>
          <w:szCs w:val="21"/>
          <w:lang w:bidi="ar"/>
        </w:rPr>
        <w:t>. Surface antigens from cell lines and blood samples were stained with different antibodies</w:t>
      </w:r>
      <w:r>
        <w:rPr>
          <w:rFonts w:ascii="Arial" w:eastAsia="宋体" w:hAnsi="Arial" w:cs="Arial"/>
          <w:sz w:val="21"/>
          <w:szCs w:val="21"/>
          <w:lang w:bidi="ar"/>
        </w:rPr>
        <w:t xml:space="preserve">. Information pertaining to all antibodies used in this study is shown in Antibody Table showed below. Data analysis was carried out using </w:t>
      </w:r>
      <w:proofErr w:type="spellStart"/>
      <w:r>
        <w:rPr>
          <w:rFonts w:ascii="Arial" w:eastAsia="宋体" w:hAnsi="Arial" w:cs="Arial"/>
          <w:sz w:val="21"/>
          <w:szCs w:val="21"/>
          <w:lang w:bidi="ar"/>
        </w:rPr>
        <w:t>FlowJo</w:t>
      </w:r>
      <w:proofErr w:type="spellEnd"/>
      <w:r>
        <w:rPr>
          <w:rFonts w:ascii="Arial" w:eastAsia="宋体" w:hAnsi="Arial" w:cs="Arial"/>
          <w:sz w:val="21"/>
          <w:szCs w:val="21"/>
          <w:lang w:bidi="ar"/>
        </w:rPr>
        <w:t xml:space="preserve"> (v10.0.7, </w:t>
      </w:r>
      <w:proofErr w:type="spellStart"/>
      <w:r>
        <w:rPr>
          <w:rFonts w:ascii="Arial" w:eastAsia="宋体" w:hAnsi="Arial" w:cs="Arial"/>
          <w:sz w:val="21"/>
          <w:szCs w:val="21"/>
          <w:lang w:bidi="ar"/>
        </w:rPr>
        <w:t>FlowJo</w:t>
      </w:r>
      <w:proofErr w:type="spellEnd"/>
      <w:r>
        <w:rPr>
          <w:rFonts w:ascii="Arial" w:eastAsia="宋体" w:hAnsi="Arial" w:cs="Arial"/>
          <w:sz w:val="21"/>
          <w:szCs w:val="21"/>
          <w:lang w:bidi="ar"/>
        </w:rPr>
        <w:t>, LLC, Ashland, OR, USA).</w:t>
      </w:r>
    </w:p>
    <w:p w14:paraId="1DC4D70C" w14:textId="77777777" w:rsidR="00E95A27" w:rsidRDefault="00E95A27">
      <w:pPr>
        <w:autoSpaceDE w:val="0"/>
        <w:autoSpaceDN w:val="0"/>
        <w:rPr>
          <w:rFonts w:ascii="Arial" w:eastAsia="宋体" w:hAnsi="Arial" w:cs="Arial"/>
          <w:szCs w:val="21"/>
          <w:lang w:bidi="ar"/>
        </w:rPr>
      </w:pPr>
    </w:p>
    <w:p w14:paraId="237AA195" w14:textId="77777777" w:rsidR="00E95A27" w:rsidRDefault="00655E8C">
      <w:pPr>
        <w:autoSpaceDE w:val="0"/>
        <w:autoSpaceDN w:val="0"/>
        <w:jc w:val="left"/>
        <w:rPr>
          <w:rFonts w:ascii="Arial" w:hAnsi="Arial" w:cs="Arial"/>
          <w:b/>
          <w:bCs/>
          <w:color w:val="000000"/>
        </w:rPr>
      </w:pPr>
      <w:r>
        <w:rPr>
          <w:rFonts w:ascii="Arial" w:eastAsia="Arial" w:hAnsi="Arial" w:cs="Arial"/>
          <w:b/>
          <w:bCs/>
          <w:color w:val="000000"/>
          <w:kern w:val="0"/>
          <w:sz w:val="22"/>
          <w:lang w:bidi="ar"/>
        </w:rPr>
        <w:t>Histopathology and immunohistochemistry (IHC)</w:t>
      </w:r>
    </w:p>
    <w:p w14:paraId="329589C7"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For histopathology, s</w:t>
      </w:r>
      <w:r>
        <w:rPr>
          <w:rFonts w:ascii="Arial" w:eastAsia="宋体" w:hAnsi="Arial" w:cs="Arial"/>
          <w:sz w:val="21"/>
          <w:szCs w:val="21"/>
          <w:lang w:bidi="ar"/>
        </w:rPr>
        <w:t xml:space="preserve">pleen, liver and other tissues from xenograft mice were collected at the days indicated, dipped in 4% formalin-fixed overnight, paraffin embedded, 4–5-μm-thick sections obtained by microtome, and then stained with </w:t>
      </w:r>
      <w:proofErr w:type="spellStart"/>
      <w:r>
        <w:rPr>
          <w:rFonts w:ascii="Arial" w:eastAsia="宋体" w:hAnsi="Arial" w:cs="Arial"/>
          <w:sz w:val="21"/>
          <w:szCs w:val="21"/>
          <w:lang w:bidi="ar"/>
        </w:rPr>
        <w:t>haematoxylin</w:t>
      </w:r>
      <w:proofErr w:type="spellEnd"/>
      <w:r>
        <w:rPr>
          <w:rFonts w:ascii="Arial" w:eastAsia="宋体" w:hAnsi="Arial" w:cs="Arial"/>
          <w:sz w:val="21"/>
          <w:szCs w:val="21"/>
          <w:lang w:bidi="ar"/>
        </w:rPr>
        <w:t xml:space="preserve"> and eosin (H&amp;E). H&amp;E-stained </w:t>
      </w:r>
      <w:r>
        <w:rPr>
          <w:rFonts w:ascii="Arial" w:eastAsia="宋体" w:hAnsi="Arial" w:cs="Arial"/>
          <w:sz w:val="21"/>
          <w:szCs w:val="21"/>
          <w:lang w:bidi="ar"/>
        </w:rPr>
        <w:t xml:space="preserve">tissue samples were measured on a Zeiss </w:t>
      </w:r>
      <w:proofErr w:type="spellStart"/>
      <w:r>
        <w:rPr>
          <w:rFonts w:ascii="Arial" w:eastAsia="宋体" w:hAnsi="Arial" w:cs="Arial"/>
          <w:sz w:val="21"/>
          <w:szCs w:val="21"/>
          <w:lang w:bidi="ar"/>
        </w:rPr>
        <w:t>Axio</w:t>
      </w:r>
      <w:proofErr w:type="spellEnd"/>
      <w:r>
        <w:rPr>
          <w:rFonts w:ascii="Arial" w:eastAsia="宋体" w:hAnsi="Arial" w:cs="Arial"/>
          <w:sz w:val="21"/>
          <w:szCs w:val="21"/>
          <w:lang w:bidi="ar"/>
        </w:rPr>
        <w:t xml:space="preserve"> Imager M2m microscope. Images were captured with a 10x Plan-</w:t>
      </w:r>
      <w:proofErr w:type="spellStart"/>
      <w:r>
        <w:rPr>
          <w:rFonts w:ascii="Arial" w:eastAsia="宋体" w:hAnsi="Arial" w:cs="Arial"/>
          <w:sz w:val="21"/>
          <w:szCs w:val="21"/>
          <w:lang w:bidi="ar"/>
        </w:rPr>
        <w:t>Neofluar</w:t>
      </w:r>
      <w:proofErr w:type="spellEnd"/>
      <w:r>
        <w:rPr>
          <w:rFonts w:ascii="Arial" w:eastAsia="宋体" w:hAnsi="Arial" w:cs="Arial"/>
          <w:sz w:val="21"/>
          <w:szCs w:val="21"/>
          <w:lang w:bidi="ar"/>
        </w:rPr>
        <w:t xml:space="preserve"> NA 0.3 objective and processed with software. For IHC, tissue sections obtained as above were deparaffinized and rehydrated for antigen retrie</w:t>
      </w:r>
      <w:r>
        <w:rPr>
          <w:rFonts w:ascii="Arial" w:eastAsia="宋体" w:hAnsi="Arial" w:cs="Arial"/>
          <w:sz w:val="21"/>
          <w:szCs w:val="21"/>
          <w:lang w:bidi="ar"/>
        </w:rPr>
        <w:t>val, blocked with 10% goat serum in PBS and stained with primary labelled antibodies according to standard procedures. Then, secondary antibodies were used, and the binding was measured with the VIEW DAB Detection Kit.</w:t>
      </w:r>
    </w:p>
    <w:p w14:paraId="2DD3570F"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 </w:t>
      </w:r>
    </w:p>
    <w:p w14:paraId="1FBFA408" w14:textId="77777777" w:rsidR="00E95A27" w:rsidRDefault="00655E8C">
      <w:pPr>
        <w:autoSpaceDE w:val="0"/>
        <w:autoSpaceDN w:val="0"/>
        <w:jc w:val="left"/>
        <w:rPr>
          <w:rFonts w:ascii="Arial" w:hAnsi="Arial" w:cs="Arial"/>
          <w:b/>
          <w:bCs/>
        </w:rPr>
      </w:pPr>
      <w:r>
        <w:rPr>
          <w:rFonts w:ascii="Arial" w:eastAsia="Arial" w:hAnsi="Arial" w:cs="Arial"/>
          <w:b/>
          <w:bCs/>
          <w:kern w:val="0"/>
          <w:sz w:val="22"/>
          <w:lang w:bidi="ar"/>
        </w:rPr>
        <w:t>Cytotoxicity assay</w:t>
      </w:r>
    </w:p>
    <w:p w14:paraId="1604889F" w14:textId="3D513FDB"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The cytotoxicity</w:t>
      </w:r>
      <w:r>
        <w:rPr>
          <w:rFonts w:ascii="Arial" w:eastAsia="宋体" w:hAnsi="Arial" w:cs="Arial"/>
          <w:sz w:val="21"/>
          <w:szCs w:val="21"/>
          <w:lang w:bidi="ar"/>
        </w:rPr>
        <w:t xml:space="preserve"> of CAR T cells was measured by the </w:t>
      </w:r>
      <w:proofErr w:type="spellStart"/>
      <w:r>
        <w:rPr>
          <w:rFonts w:ascii="Arial" w:eastAsia="宋体" w:hAnsi="Arial" w:cs="Arial"/>
          <w:sz w:val="21"/>
          <w:szCs w:val="21"/>
          <w:lang w:bidi="ar"/>
        </w:rPr>
        <w:t>calcein</w:t>
      </w:r>
      <w:proofErr w:type="spellEnd"/>
      <w:r>
        <w:rPr>
          <w:rFonts w:ascii="Arial" w:eastAsia="宋体" w:hAnsi="Arial" w:cs="Arial"/>
          <w:sz w:val="21"/>
          <w:szCs w:val="21"/>
          <w:lang w:bidi="ar"/>
        </w:rPr>
        <w:t xml:space="preserve"> release assay with all </w:t>
      </w:r>
      <w:r>
        <w:rPr>
          <w:rFonts w:ascii="Arial" w:eastAsia="宋体" w:hAnsi="Arial" w:cs="Arial"/>
          <w:sz w:val="21"/>
          <w:szCs w:val="21"/>
          <w:lang w:bidi="ar"/>
        </w:rPr>
        <w:lastRenderedPageBreak/>
        <w:t xml:space="preserve">assays performed in triplicate. Target cells were labelled with 25 µM </w:t>
      </w:r>
      <w:proofErr w:type="spellStart"/>
      <w:r>
        <w:rPr>
          <w:rFonts w:ascii="Arial" w:eastAsia="宋体" w:hAnsi="Arial" w:cs="Arial"/>
          <w:sz w:val="21"/>
          <w:szCs w:val="21"/>
          <w:lang w:bidi="ar"/>
        </w:rPr>
        <w:t>calcein</w:t>
      </w:r>
      <w:proofErr w:type="spellEnd"/>
      <w:r>
        <w:rPr>
          <w:rFonts w:ascii="Arial" w:eastAsia="宋体" w:hAnsi="Arial" w:cs="Arial"/>
          <w:sz w:val="21"/>
          <w:szCs w:val="21"/>
          <w:lang w:bidi="ar"/>
        </w:rPr>
        <w:t>-AM (Aladdin, China) at 37°C for 30 mins, washed three times and then co-cultured with effector cells at the ind</w:t>
      </w:r>
      <w:r>
        <w:rPr>
          <w:rFonts w:ascii="Arial" w:eastAsia="宋体" w:hAnsi="Arial" w:cs="Arial"/>
          <w:sz w:val="21"/>
          <w:szCs w:val="21"/>
          <w:lang w:bidi="ar"/>
        </w:rPr>
        <w:t xml:space="preserve">icated E:T ratios of 25:1, 5:1, and 1:1 in 96-well plates. After 2.5 h of co-incubation, the supernatant was harvested, and the fluorescence intensity (FI) of the </w:t>
      </w:r>
      <w:proofErr w:type="spellStart"/>
      <w:r>
        <w:rPr>
          <w:rFonts w:ascii="Arial" w:eastAsia="宋体" w:hAnsi="Arial" w:cs="Arial"/>
          <w:sz w:val="21"/>
          <w:szCs w:val="21"/>
          <w:lang w:bidi="ar"/>
        </w:rPr>
        <w:t>calcein</w:t>
      </w:r>
      <w:proofErr w:type="spellEnd"/>
      <w:r>
        <w:rPr>
          <w:rFonts w:ascii="Arial" w:eastAsia="宋体" w:hAnsi="Arial" w:cs="Arial"/>
          <w:sz w:val="21"/>
          <w:szCs w:val="21"/>
          <w:lang w:bidi="ar"/>
        </w:rPr>
        <w:t xml:space="preserve"> released into the media was quantified using a microplate reader (PerkinElmer Victor </w:t>
      </w:r>
      <w:r>
        <w:rPr>
          <w:rFonts w:ascii="Arial" w:eastAsia="宋体" w:hAnsi="Arial" w:cs="Arial"/>
          <w:sz w:val="21"/>
          <w:szCs w:val="21"/>
          <w:lang w:bidi="ar"/>
        </w:rPr>
        <w:t xml:space="preserve">X3,USA). The </w:t>
      </w:r>
      <w:proofErr w:type="spellStart"/>
      <w:r>
        <w:rPr>
          <w:rFonts w:ascii="Arial" w:eastAsia="宋体" w:hAnsi="Arial" w:cs="Arial"/>
          <w:sz w:val="21"/>
          <w:szCs w:val="21"/>
          <w:lang w:bidi="ar"/>
        </w:rPr>
        <w:t>tumour</w:t>
      </w:r>
      <w:proofErr w:type="spellEnd"/>
      <w:r>
        <w:rPr>
          <w:rFonts w:ascii="Arial" w:eastAsia="宋体" w:hAnsi="Arial" w:cs="Arial"/>
          <w:sz w:val="21"/>
          <w:szCs w:val="21"/>
          <w:lang w:bidi="ar"/>
        </w:rPr>
        <w:t xml:space="preserve"> killing efficiency was calculated as previously reported</w:t>
      </w:r>
      <w:r>
        <w:rPr>
          <w:rFonts w:ascii="Arial" w:eastAsia="宋体" w:hAnsi="Arial" w:cs="Arial"/>
          <w:sz w:val="21"/>
          <w:szCs w:val="21"/>
          <w:lang w:bidi="ar"/>
        </w:rPr>
        <w:fldChar w:fldCharType="begin"/>
      </w:r>
      <w:r>
        <w:rPr>
          <w:rFonts w:ascii="Arial" w:eastAsia="宋体" w:hAnsi="Arial" w:cs="Arial"/>
          <w:sz w:val="21"/>
          <w:szCs w:val="21"/>
          <w:lang w:bidi="ar"/>
        </w:rPr>
        <w:instrText xml:space="preserve"> ADDIN EN.CITE &lt;EndNote&gt;&lt;Cite&gt;&lt;Author&gt;Li&lt;/Author&gt;&lt;Year&gt;2021&lt;/Year&gt;&lt;RecNum&gt;130&lt;/RecNum&gt;&lt;DisplayText&gt;&lt;style face="superscript"&gt;2&lt;/style&gt;&lt;/DisplayText&gt;&lt;record&gt;&lt;rec-number&gt;130&lt;/rec-number&gt;&lt;foreign-keys&gt;&lt;key app="EN" db-id="ax29pxfr52d5f9ev9en5pzegtx0sx0zsd2dp" timestamp="1618040384"&gt;130&lt;/key&gt;&lt;/foreign-keys&gt;&lt;ref-type name="Journal Article"&gt;17&lt;/ref-type&gt;&lt;contributors&gt;&lt;authors&gt;&lt;author&gt;Li, Chunrui&lt;/author&gt;&lt;author&gt;Cao, Wenyue&lt;/author&gt;&lt;author&gt;Que, Yimei&lt;/author&gt;&lt;author&gt;Wang, Qiuxiang&lt;/author&gt;&lt;author&gt;Xiao, Yi&lt;/author&gt;&lt;author&gt;Gu, Chaojiang&lt;/author&gt;&lt;author&gt;Wang, Di&lt;/author&gt;&lt;author&gt;Wang, Jue&lt;/author&gt;&lt;author&gt;Jiang, Lijun&lt;/author&gt;&lt;author&gt;Xu, Hao&lt;/author&gt;&lt;author&gt;Xu, Jinhuan&lt;/author&gt;&lt;author&gt;Zhou, Xiaoxi&lt;/author&gt;&lt;author&gt;Hong, Zhenya&lt;/author&gt;&lt;author&gt;Wang, Na&lt;/author&gt;&lt;author&gt;Huang, Liang&lt;/author&gt;&lt;author&gt;Zhang, Shangkun&lt;/author&gt;&lt;author&gt;Chen, Liting&lt;/author&gt;&lt;author&gt;Mao, Xia&lt;/author&gt;&lt;author&gt;Xiao, Min&lt;/author&gt;&lt;author&gt;Zhang, Wei&lt;/author&gt;&lt;author&gt;Meng, Li&lt;/author&gt;&lt;author&gt;Cao, Yang&lt;/author&gt;&lt;author&gt;Zhang, Tongcun&lt;/author&gt;&lt;author&gt;Li, Jian&lt;/author&gt;&lt;author&gt;Zhou, Jianfeng&lt;/author&gt;&lt;/authors&gt;&lt;/contributors&gt;&lt;titles&gt;&lt;title&gt;A phase I study of anti-BCMA CAR T cell therapy in relapsed/refractory multiple myeloma and plasma cell leukemia&lt;/title&gt;&lt;secondary-title&gt;Clinical and Translational Medicine&lt;/secondary-title&gt;&lt;/titles&gt;&lt;periodical&gt;&lt;full-title&gt;Clinical and Translational Medicine&lt;/full-title&gt;&lt;/periodical&gt;&lt;pages&gt;e346&lt;/pages&gt;&lt;volume&gt;11&lt;/volume&gt;&lt;number&gt;3&lt;/number&gt;&lt;dates&gt;&lt;year&gt;2021&lt;/year&gt;&lt;/dates&gt;&lt;isbn&gt;2001-1326&lt;/isbn&gt;&lt;urls&gt;&lt;related-urls&gt;&lt;url&gt;https://onlinelibrary.wiley.com/doi/abs/10.1002/ctm2.346&lt;/url&gt;&lt;/related-urls&gt;&lt;/urls&gt;&lt;/record&gt;&lt;/Cite&gt;&lt;/EndNote&gt;</w:instrText>
      </w:r>
      <w:r>
        <w:rPr>
          <w:rFonts w:ascii="Arial" w:eastAsia="宋体" w:hAnsi="Arial" w:cs="Arial"/>
          <w:sz w:val="21"/>
          <w:szCs w:val="21"/>
          <w:lang w:bidi="ar"/>
        </w:rPr>
        <w:fldChar w:fldCharType="separate"/>
      </w:r>
      <w:r w:rsidRPr="00655E8C">
        <w:rPr>
          <w:rFonts w:ascii="Arial" w:eastAsia="宋体" w:hAnsi="Arial" w:cs="Arial"/>
          <w:noProof/>
          <w:sz w:val="21"/>
          <w:szCs w:val="21"/>
          <w:vertAlign w:val="superscript"/>
          <w:lang w:bidi="ar"/>
        </w:rPr>
        <w:t>2</w:t>
      </w:r>
      <w:r>
        <w:rPr>
          <w:rFonts w:ascii="Arial" w:eastAsia="宋体" w:hAnsi="Arial" w:cs="Arial"/>
          <w:sz w:val="21"/>
          <w:szCs w:val="21"/>
          <w:lang w:bidi="ar"/>
        </w:rPr>
        <w:fldChar w:fldCharType="end"/>
      </w:r>
      <w:r>
        <w:rPr>
          <w:rFonts w:ascii="Arial" w:eastAsia="宋体" w:hAnsi="Arial" w:cs="Arial"/>
          <w:sz w:val="21"/>
          <w:szCs w:val="21"/>
          <w:lang w:bidi="ar"/>
        </w:rPr>
        <w:t>.</w:t>
      </w:r>
    </w:p>
    <w:p w14:paraId="46F9FAB4"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 </w:t>
      </w:r>
    </w:p>
    <w:p w14:paraId="7F13950B" w14:textId="77777777" w:rsidR="00E95A27" w:rsidRDefault="00655E8C">
      <w:pPr>
        <w:autoSpaceDE w:val="0"/>
        <w:autoSpaceDN w:val="0"/>
        <w:jc w:val="left"/>
        <w:rPr>
          <w:rFonts w:ascii="Arial" w:hAnsi="Arial" w:cs="Arial"/>
          <w:b/>
          <w:bCs/>
        </w:rPr>
      </w:pPr>
      <w:r>
        <w:rPr>
          <w:rFonts w:ascii="Arial" w:eastAsia="Arial" w:hAnsi="Arial" w:cs="Arial"/>
          <w:b/>
          <w:bCs/>
          <w:kern w:val="0"/>
          <w:sz w:val="22"/>
          <w:lang w:bidi="ar"/>
        </w:rPr>
        <w:t>Real-time quantitative PCR (qPCR)</w:t>
      </w:r>
    </w:p>
    <w:p w14:paraId="2D49B60B" w14:textId="77777777" w:rsidR="00E95A27" w:rsidRDefault="00655E8C">
      <w:pPr>
        <w:pStyle w:val="ab"/>
        <w:ind w:firstLineChars="200" w:firstLine="480"/>
        <w:rPr>
          <w:rFonts w:ascii="Arial" w:eastAsia="宋体" w:hAnsi="Arial" w:cs="Arial"/>
          <w:sz w:val="21"/>
          <w:szCs w:val="21"/>
          <w:lang w:bidi="ar"/>
        </w:rPr>
      </w:pPr>
      <w:r>
        <w:rPr>
          <w:rFonts w:ascii="Arial" w:eastAsia="宋体" w:hAnsi="Arial" w:cs="Arial"/>
          <w:szCs w:val="21"/>
          <w:lang w:bidi="ar"/>
        </w:rPr>
        <w:t>The copy number of anti-CD99 CAR T was analyzed by quantitative PCR. Gen</w:t>
      </w:r>
      <w:r>
        <w:rPr>
          <w:rFonts w:ascii="Arial" w:eastAsia="宋体" w:hAnsi="Arial" w:cs="Arial"/>
          <w:szCs w:val="21"/>
          <w:lang w:bidi="ar"/>
        </w:rPr>
        <w:t>omic DNA from CAR T cells was isolated using a DNA Isolation kit and diluted to a concentration of 100 ng/</w:t>
      </w:r>
      <w:proofErr w:type="spellStart"/>
      <w:r>
        <w:rPr>
          <w:rFonts w:ascii="Arial" w:eastAsia="宋体" w:hAnsi="Arial" w:cs="Arial"/>
          <w:szCs w:val="21"/>
          <w:lang w:bidi="ar"/>
        </w:rPr>
        <w:t>uL</w:t>
      </w:r>
      <w:proofErr w:type="spellEnd"/>
      <w:r>
        <w:rPr>
          <w:rFonts w:ascii="Arial" w:eastAsia="宋体" w:hAnsi="Arial" w:cs="Arial"/>
          <w:szCs w:val="21"/>
          <w:lang w:bidi="ar"/>
        </w:rPr>
        <w:t>, according to the manufacturer’s instructions. qPCR was carried out with primers (CD99 CAR primer,_F:5’-CTTCGCAGCCTATCGCTCCAA-3’, R:5’-ACTTCACTCTCA</w:t>
      </w:r>
      <w:r>
        <w:rPr>
          <w:rFonts w:ascii="Arial" w:eastAsia="宋体" w:hAnsi="Arial" w:cs="Arial"/>
          <w:szCs w:val="21"/>
          <w:lang w:bidi="ar"/>
        </w:rPr>
        <w:t xml:space="preserve">GTTCACATCCTCC-3) using SYBR Green (Thermo Fisher, USA). The anti-CD99 CAR genome copy </w:t>
      </w:r>
      <w:proofErr w:type="spellStart"/>
      <w:r>
        <w:rPr>
          <w:rFonts w:ascii="Arial" w:eastAsia="宋体" w:hAnsi="Arial" w:cs="Arial"/>
          <w:szCs w:val="21"/>
          <w:lang w:bidi="ar"/>
        </w:rPr>
        <w:t>numbor</w:t>
      </w:r>
      <w:proofErr w:type="spellEnd"/>
      <w:r>
        <w:rPr>
          <w:rFonts w:ascii="Arial" w:eastAsia="宋体" w:hAnsi="Arial" w:cs="Arial"/>
          <w:szCs w:val="21"/>
          <w:lang w:bidi="ar"/>
        </w:rPr>
        <w:t xml:space="preserve"> was normalized to the standard linear equation, which was obtained from serially diluted </w:t>
      </w:r>
      <w:bookmarkStart w:id="2" w:name="OLE_LINK3"/>
      <w:r>
        <w:rPr>
          <w:rFonts w:ascii="Arial" w:eastAsia="宋体" w:hAnsi="Arial" w:cs="Arial"/>
          <w:szCs w:val="21"/>
          <w:lang w:bidi="ar"/>
        </w:rPr>
        <w:t xml:space="preserve">Anti-CD99 CAR plasmid </w:t>
      </w:r>
      <w:bookmarkStart w:id="3" w:name="OLE_LINK4"/>
      <w:r>
        <w:rPr>
          <w:rFonts w:ascii="Arial" w:eastAsia="宋体" w:hAnsi="Arial" w:cs="Arial"/>
          <w:szCs w:val="21"/>
          <w:lang w:bidi="ar"/>
        </w:rPr>
        <w:t>standard DNA</w:t>
      </w:r>
      <w:bookmarkEnd w:id="2"/>
      <w:bookmarkEnd w:id="3"/>
      <w:r>
        <w:rPr>
          <w:rFonts w:ascii="Arial" w:eastAsia="宋体" w:hAnsi="Arial" w:cs="Arial"/>
          <w:szCs w:val="21"/>
          <w:lang w:bidi="ar"/>
        </w:rPr>
        <w:t xml:space="preserve"> (from 10</w:t>
      </w:r>
      <w:r>
        <w:rPr>
          <w:rFonts w:ascii="Arial" w:eastAsia="宋体" w:hAnsi="Arial" w:cs="Arial"/>
          <w:szCs w:val="21"/>
          <w:vertAlign w:val="superscript"/>
          <w:lang w:bidi="ar"/>
        </w:rPr>
        <w:t>1</w:t>
      </w:r>
      <w:r>
        <w:rPr>
          <w:rFonts w:ascii="Arial" w:eastAsia="宋体" w:hAnsi="Arial" w:cs="Arial"/>
          <w:szCs w:val="21"/>
          <w:lang w:bidi="ar"/>
        </w:rPr>
        <w:t>-10</w:t>
      </w:r>
      <w:r>
        <w:rPr>
          <w:rFonts w:ascii="Arial" w:eastAsia="宋体" w:hAnsi="Arial" w:cs="Arial"/>
          <w:szCs w:val="21"/>
          <w:vertAlign w:val="superscript"/>
          <w:lang w:bidi="ar"/>
        </w:rPr>
        <w:t xml:space="preserve">8 </w:t>
      </w:r>
      <w:r>
        <w:rPr>
          <w:rFonts w:ascii="Arial" w:eastAsia="宋体" w:hAnsi="Arial" w:cs="Arial"/>
          <w:szCs w:val="21"/>
          <w:lang w:bidi="ar"/>
        </w:rPr>
        <w:t xml:space="preserve">fold series). The </w:t>
      </w:r>
      <w:r>
        <w:rPr>
          <w:rFonts w:ascii="Arial" w:eastAsia="宋体" w:hAnsi="Arial" w:cs="Arial"/>
          <w:szCs w:val="21"/>
          <w:lang w:bidi="ar"/>
        </w:rPr>
        <w:t>results were reported as copies of the transgene per µg genomic DNA.</w:t>
      </w:r>
    </w:p>
    <w:p w14:paraId="7FD97EF6" w14:textId="77777777" w:rsidR="00E95A27" w:rsidRDefault="00E95A27">
      <w:pPr>
        <w:autoSpaceDE w:val="0"/>
        <w:autoSpaceDN w:val="0"/>
        <w:ind w:firstLineChars="200" w:firstLine="440"/>
        <w:jc w:val="left"/>
        <w:rPr>
          <w:rFonts w:ascii="Arial" w:eastAsia="Arial" w:hAnsi="Arial" w:cs="Arial"/>
          <w:kern w:val="0"/>
          <w:sz w:val="22"/>
          <w:lang w:bidi="ar"/>
        </w:rPr>
      </w:pPr>
    </w:p>
    <w:p w14:paraId="55E8A1B2" w14:textId="77777777" w:rsidR="00E95A27" w:rsidRDefault="00655E8C">
      <w:pPr>
        <w:autoSpaceDE w:val="0"/>
        <w:autoSpaceDN w:val="0"/>
        <w:jc w:val="left"/>
        <w:rPr>
          <w:rFonts w:ascii="Arial" w:hAnsi="Arial" w:cs="Arial"/>
          <w:b/>
          <w:bCs/>
        </w:rPr>
      </w:pPr>
      <w:r>
        <w:rPr>
          <w:rFonts w:ascii="Arial" w:eastAsia="Arial" w:hAnsi="Arial" w:cs="Arial"/>
          <w:b/>
          <w:bCs/>
          <w:kern w:val="0"/>
          <w:sz w:val="22"/>
          <w:lang w:bidi="ar"/>
        </w:rPr>
        <w:t>Mouse model</w:t>
      </w:r>
    </w:p>
    <w:p w14:paraId="58900D18"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Mouse experiments were performed with equal numbers of 6-to 8-week-old NOD/SCID/IL-2Rγ-null (NCG) mice (Jiangsu </w:t>
      </w:r>
      <w:proofErr w:type="spellStart"/>
      <w:r>
        <w:rPr>
          <w:rFonts w:ascii="Arial" w:eastAsia="宋体" w:hAnsi="Arial" w:cs="Arial"/>
          <w:sz w:val="21"/>
          <w:szCs w:val="21"/>
          <w:lang w:bidi="ar"/>
        </w:rPr>
        <w:t>GemPharmatech</w:t>
      </w:r>
      <w:proofErr w:type="spellEnd"/>
      <w:r>
        <w:rPr>
          <w:rFonts w:ascii="Arial" w:eastAsia="宋体" w:hAnsi="Arial" w:cs="Arial"/>
          <w:sz w:val="21"/>
          <w:szCs w:val="21"/>
          <w:lang w:bidi="ar"/>
        </w:rPr>
        <w:t xml:space="preserve"> Co, </w:t>
      </w:r>
      <w:proofErr w:type="spellStart"/>
      <w:r>
        <w:rPr>
          <w:rFonts w:ascii="Arial" w:eastAsia="宋体" w:hAnsi="Arial" w:cs="Arial"/>
          <w:sz w:val="21"/>
          <w:szCs w:val="21"/>
          <w:lang w:bidi="ar"/>
        </w:rPr>
        <w:t>Ltd,China</w:t>
      </w:r>
      <w:proofErr w:type="spellEnd"/>
      <w:r>
        <w:rPr>
          <w:rFonts w:ascii="Arial" w:eastAsia="宋体" w:hAnsi="Arial" w:cs="Arial"/>
          <w:sz w:val="21"/>
          <w:szCs w:val="21"/>
          <w:lang w:bidi="ar"/>
        </w:rPr>
        <w:t>) with the approval of the Animal E</w:t>
      </w:r>
      <w:r>
        <w:rPr>
          <w:rFonts w:ascii="Arial" w:eastAsia="宋体" w:hAnsi="Arial" w:cs="Arial"/>
          <w:sz w:val="21"/>
          <w:szCs w:val="21"/>
          <w:lang w:bidi="ar"/>
        </w:rPr>
        <w:t>thics Committee of Wuhan University of Science and Technology.</w:t>
      </w:r>
    </w:p>
    <w:p w14:paraId="29532CFC"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To establish CDX mouse models, mice were sub-lethally irradiated and intravenously injected with 5x10</w:t>
      </w:r>
      <w:r>
        <w:rPr>
          <w:rFonts w:ascii="Arial" w:eastAsia="宋体" w:hAnsi="Arial" w:cs="Arial"/>
          <w:sz w:val="21"/>
          <w:szCs w:val="21"/>
          <w:vertAlign w:val="superscript"/>
          <w:lang w:bidi="ar"/>
        </w:rPr>
        <w:t>6</w:t>
      </w:r>
      <w:r>
        <w:rPr>
          <w:rFonts w:ascii="Arial" w:eastAsia="宋体" w:hAnsi="Arial" w:cs="Arial"/>
          <w:sz w:val="21"/>
          <w:szCs w:val="21"/>
          <w:lang w:bidi="ar"/>
        </w:rPr>
        <w:t xml:space="preserve"> </w:t>
      </w:r>
      <w:proofErr w:type="spellStart"/>
      <w:r>
        <w:rPr>
          <w:rFonts w:ascii="Arial" w:eastAsia="宋体" w:hAnsi="Arial" w:cs="Arial"/>
          <w:sz w:val="21"/>
          <w:szCs w:val="21"/>
          <w:lang w:bidi="ar"/>
        </w:rPr>
        <w:t>Jurkat</w:t>
      </w:r>
      <w:proofErr w:type="spellEnd"/>
      <w:r>
        <w:rPr>
          <w:rFonts w:ascii="Arial" w:eastAsia="宋体" w:hAnsi="Arial" w:cs="Arial"/>
          <w:sz w:val="21"/>
          <w:szCs w:val="21"/>
          <w:lang w:bidi="ar"/>
        </w:rPr>
        <w:t xml:space="preserve"> cells or 2x10</w:t>
      </w:r>
      <w:r>
        <w:rPr>
          <w:rFonts w:ascii="Arial" w:eastAsia="宋体" w:hAnsi="Arial" w:cs="Arial"/>
          <w:sz w:val="21"/>
          <w:szCs w:val="21"/>
          <w:vertAlign w:val="superscript"/>
          <w:lang w:bidi="ar"/>
        </w:rPr>
        <w:t>6</w:t>
      </w:r>
      <w:r>
        <w:rPr>
          <w:rFonts w:ascii="Arial" w:eastAsia="宋体" w:hAnsi="Arial" w:cs="Arial"/>
          <w:sz w:val="21"/>
          <w:szCs w:val="21"/>
          <w:lang w:bidi="ar"/>
        </w:rPr>
        <w:t xml:space="preserve"> MOLT-4 cells. The T-ALL cell lines used were transduced with </w:t>
      </w:r>
      <w:bookmarkStart w:id="4" w:name="OLE_LINK10"/>
      <w:r>
        <w:rPr>
          <w:rFonts w:ascii="Arial" w:eastAsia="宋体" w:hAnsi="Arial" w:cs="Arial"/>
          <w:sz w:val="21"/>
          <w:szCs w:val="21"/>
          <w:lang w:bidi="ar"/>
        </w:rPr>
        <w:t>pLVX</w:t>
      </w:r>
      <w:bookmarkEnd w:id="4"/>
      <w:r>
        <w:rPr>
          <w:rFonts w:ascii="Arial" w:eastAsia="宋体" w:hAnsi="Arial" w:cs="Arial"/>
          <w:sz w:val="21"/>
          <w:szCs w:val="21"/>
          <w:lang w:bidi="ar"/>
        </w:rPr>
        <w:t>-EF</w:t>
      </w:r>
      <w:r>
        <w:rPr>
          <w:rFonts w:ascii="Arial" w:eastAsia="宋体" w:hAnsi="Arial" w:cs="Arial"/>
          <w:sz w:val="21"/>
          <w:szCs w:val="21"/>
          <w:lang w:bidi="ar"/>
        </w:rPr>
        <w:t xml:space="preserve">1α-Luciferase-T2A-GFP (this paper) lentiviral vectors. Following engraftment, we monitored </w:t>
      </w:r>
      <w:proofErr w:type="spellStart"/>
      <w:r>
        <w:rPr>
          <w:rFonts w:ascii="Arial" w:eastAsia="宋体" w:hAnsi="Arial" w:cs="Arial"/>
          <w:sz w:val="21"/>
          <w:szCs w:val="21"/>
          <w:lang w:bidi="ar"/>
        </w:rPr>
        <w:t>tumour</w:t>
      </w:r>
      <w:proofErr w:type="spellEnd"/>
      <w:r>
        <w:rPr>
          <w:rFonts w:ascii="Arial" w:eastAsia="宋体" w:hAnsi="Arial" w:cs="Arial"/>
          <w:sz w:val="21"/>
          <w:szCs w:val="21"/>
          <w:lang w:bidi="ar"/>
        </w:rPr>
        <w:t xml:space="preserve"> progression by </w:t>
      </w:r>
      <w:proofErr w:type="spellStart"/>
      <w:r>
        <w:rPr>
          <w:rFonts w:ascii="Arial" w:eastAsia="宋体" w:hAnsi="Arial" w:cs="Arial"/>
          <w:sz w:val="21"/>
          <w:szCs w:val="21"/>
          <w:lang w:bidi="ar"/>
        </w:rPr>
        <w:t>analysing</w:t>
      </w:r>
      <w:proofErr w:type="spellEnd"/>
      <w:r>
        <w:rPr>
          <w:rFonts w:ascii="Arial" w:eastAsia="宋体" w:hAnsi="Arial" w:cs="Arial"/>
          <w:sz w:val="21"/>
          <w:szCs w:val="21"/>
          <w:lang w:bidi="ar"/>
        </w:rPr>
        <w:t xml:space="preserve"> the ratio of </w:t>
      </w:r>
      <w:proofErr w:type="spellStart"/>
      <w:r>
        <w:rPr>
          <w:rFonts w:ascii="Arial" w:eastAsia="宋体" w:hAnsi="Arial" w:cs="Arial"/>
          <w:sz w:val="21"/>
          <w:szCs w:val="21"/>
          <w:lang w:bidi="ar"/>
        </w:rPr>
        <w:t>Jurkat</w:t>
      </w:r>
      <w:proofErr w:type="spellEnd"/>
      <w:r>
        <w:rPr>
          <w:rFonts w:ascii="Arial" w:eastAsia="宋体" w:hAnsi="Arial" w:cs="Arial"/>
          <w:sz w:val="21"/>
          <w:szCs w:val="21"/>
          <w:lang w:bidi="ar"/>
        </w:rPr>
        <w:t xml:space="preserve"> or MOLT-4 cells in the PBMCs of mice by flow cytometry. The luciferase signals by bioluminescent imaging on day 3</w:t>
      </w:r>
      <w:r>
        <w:rPr>
          <w:rFonts w:ascii="Arial" w:eastAsia="宋体" w:hAnsi="Arial" w:cs="Arial"/>
          <w:sz w:val="21"/>
          <w:szCs w:val="21"/>
          <w:lang w:bidi="ar"/>
        </w:rPr>
        <w:t xml:space="preserve"> were distributed evenly across the groups: one group received 5x10</w:t>
      </w:r>
      <w:r>
        <w:rPr>
          <w:rFonts w:ascii="Arial" w:eastAsia="宋体" w:hAnsi="Arial" w:cs="Arial"/>
          <w:sz w:val="21"/>
          <w:szCs w:val="21"/>
          <w:vertAlign w:val="superscript"/>
          <w:lang w:bidi="ar"/>
        </w:rPr>
        <w:t>6</w:t>
      </w:r>
      <w:r>
        <w:rPr>
          <w:rFonts w:ascii="Arial" w:eastAsia="宋体" w:hAnsi="Arial" w:cs="Arial"/>
          <w:sz w:val="21"/>
          <w:szCs w:val="21"/>
          <w:lang w:bidi="ar"/>
        </w:rPr>
        <w:t xml:space="preserve"> anti-CD99 CAR T cells, and one group received 5x10</w:t>
      </w:r>
      <w:r>
        <w:rPr>
          <w:rFonts w:ascii="Arial" w:eastAsia="宋体" w:hAnsi="Arial" w:cs="Arial"/>
          <w:sz w:val="21"/>
          <w:szCs w:val="21"/>
          <w:vertAlign w:val="superscript"/>
          <w:lang w:bidi="ar"/>
        </w:rPr>
        <w:t>6</w:t>
      </w:r>
      <w:r>
        <w:rPr>
          <w:rFonts w:ascii="Arial" w:eastAsia="宋体" w:hAnsi="Arial" w:cs="Arial"/>
          <w:sz w:val="21"/>
          <w:szCs w:val="21"/>
          <w:lang w:bidi="ar"/>
        </w:rPr>
        <w:t xml:space="preserve"> non-transduced T cells. Imaging of mice was acquired with a </w:t>
      </w:r>
      <w:proofErr w:type="spellStart"/>
      <w:r>
        <w:rPr>
          <w:rFonts w:ascii="Arial" w:eastAsia="宋体" w:hAnsi="Arial" w:cs="Arial"/>
          <w:sz w:val="21"/>
          <w:szCs w:val="21"/>
          <w:lang w:bidi="ar"/>
        </w:rPr>
        <w:t>Xenogen</w:t>
      </w:r>
      <w:proofErr w:type="spellEnd"/>
      <w:r>
        <w:rPr>
          <w:rFonts w:ascii="Arial" w:eastAsia="宋体" w:hAnsi="Arial" w:cs="Arial"/>
          <w:sz w:val="21"/>
          <w:szCs w:val="21"/>
          <w:lang w:bidi="ar"/>
        </w:rPr>
        <w:t xml:space="preserve"> IVIS 200 instrument (Perkin Elmer, USA) and </w:t>
      </w:r>
      <w:proofErr w:type="spellStart"/>
      <w:r>
        <w:rPr>
          <w:rFonts w:ascii="Arial" w:eastAsia="宋体" w:hAnsi="Arial" w:cs="Arial"/>
          <w:sz w:val="21"/>
          <w:szCs w:val="21"/>
          <w:lang w:bidi="ar"/>
        </w:rPr>
        <w:t>analysed</w:t>
      </w:r>
      <w:proofErr w:type="spellEnd"/>
      <w:r>
        <w:rPr>
          <w:rFonts w:ascii="Arial" w:eastAsia="宋体" w:hAnsi="Arial" w:cs="Arial"/>
          <w:sz w:val="21"/>
          <w:szCs w:val="21"/>
          <w:lang w:bidi="ar"/>
        </w:rPr>
        <w:t xml:space="preserve"> using Living I</w:t>
      </w:r>
      <w:r>
        <w:rPr>
          <w:rFonts w:ascii="Arial" w:eastAsia="宋体" w:hAnsi="Arial" w:cs="Arial"/>
          <w:sz w:val="21"/>
          <w:szCs w:val="21"/>
          <w:lang w:bidi="ar"/>
        </w:rPr>
        <w:t>mage software (PerkinElmer, USA). The PB of animals was assessed every 7 days by flow cytometry. Studies were terminated by euthanasia of mice at day 43, and the spleens and livers were processed for weight measurement and IHC staining.</w:t>
      </w:r>
    </w:p>
    <w:p w14:paraId="76F17C29" w14:textId="77777777" w:rsidR="00E95A27" w:rsidRDefault="00655E8C">
      <w:pPr>
        <w:pStyle w:val="ab"/>
        <w:ind w:firstLineChars="200" w:firstLine="420"/>
        <w:rPr>
          <w:rFonts w:ascii="Arial" w:eastAsia="宋体" w:hAnsi="Arial" w:cs="Arial"/>
          <w:sz w:val="21"/>
          <w:szCs w:val="21"/>
          <w:lang w:bidi="ar"/>
        </w:rPr>
      </w:pPr>
      <w:bookmarkStart w:id="5" w:name="OLE_LINK2"/>
      <w:bookmarkStart w:id="6" w:name="OLE_LINK1"/>
      <w:bookmarkEnd w:id="5"/>
      <w:r>
        <w:rPr>
          <w:rFonts w:ascii="Arial" w:eastAsia="宋体" w:hAnsi="Arial" w:cs="Arial"/>
          <w:sz w:val="21"/>
          <w:szCs w:val="21"/>
          <w:lang w:bidi="ar"/>
        </w:rPr>
        <w:t xml:space="preserve">For the </w:t>
      </w:r>
      <w:bookmarkEnd w:id="6"/>
      <w:r>
        <w:rPr>
          <w:rFonts w:ascii="Arial" w:eastAsia="宋体" w:hAnsi="Arial" w:cs="Arial"/>
          <w:sz w:val="21"/>
          <w:szCs w:val="21"/>
          <w:lang w:bidi="ar"/>
        </w:rPr>
        <w:t>PDX mouse m</w:t>
      </w:r>
      <w:r>
        <w:rPr>
          <w:rFonts w:ascii="Arial" w:eastAsia="宋体" w:hAnsi="Arial" w:cs="Arial"/>
          <w:sz w:val="21"/>
          <w:szCs w:val="21"/>
          <w:lang w:bidi="ar"/>
        </w:rPr>
        <w:t>odels, briefly, the mice were sub-lethally irradiated and intravenously injected with 5x10</w:t>
      </w:r>
      <w:r>
        <w:rPr>
          <w:rFonts w:ascii="Arial" w:eastAsia="宋体" w:hAnsi="Arial" w:cs="Arial"/>
          <w:sz w:val="21"/>
          <w:szCs w:val="21"/>
          <w:vertAlign w:val="superscript"/>
          <w:lang w:bidi="ar"/>
        </w:rPr>
        <w:t>5</w:t>
      </w:r>
      <w:r>
        <w:rPr>
          <w:rFonts w:ascii="Arial" w:eastAsia="宋体" w:hAnsi="Arial" w:cs="Arial"/>
          <w:sz w:val="21"/>
          <w:szCs w:val="21"/>
          <w:lang w:bidi="ar"/>
        </w:rPr>
        <w:t xml:space="preserve"> fresh T-ALL cells from patients. After 3 days, the mice were randomized into groups and intravenously injected with 5x10</w:t>
      </w:r>
      <w:r>
        <w:rPr>
          <w:rFonts w:ascii="Arial" w:eastAsia="宋体" w:hAnsi="Arial" w:cs="Arial"/>
          <w:sz w:val="21"/>
          <w:szCs w:val="21"/>
          <w:vertAlign w:val="superscript"/>
          <w:lang w:bidi="ar"/>
        </w:rPr>
        <w:t>6</w:t>
      </w:r>
      <w:r>
        <w:rPr>
          <w:rFonts w:ascii="Arial" w:eastAsia="宋体" w:hAnsi="Arial" w:cs="Arial"/>
          <w:sz w:val="21"/>
          <w:szCs w:val="21"/>
          <w:lang w:bidi="ar"/>
        </w:rPr>
        <w:t xml:space="preserve"> anti-CD99 CAR T cells or 5x10</w:t>
      </w:r>
      <w:r>
        <w:rPr>
          <w:rFonts w:ascii="Arial" w:eastAsia="宋体" w:hAnsi="Arial" w:cs="Arial"/>
          <w:sz w:val="21"/>
          <w:szCs w:val="21"/>
          <w:vertAlign w:val="superscript"/>
          <w:lang w:bidi="ar"/>
        </w:rPr>
        <w:t>6</w:t>
      </w:r>
      <w:r>
        <w:rPr>
          <w:rFonts w:ascii="Arial" w:eastAsia="宋体" w:hAnsi="Arial" w:cs="Arial"/>
          <w:sz w:val="21"/>
          <w:szCs w:val="21"/>
          <w:lang w:bidi="ar"/>
        </w:rPr>
        <w:t xml:space="preserve"> non-transdu</w:t>
      </w:r>
      <w:r>
        <w:rPr>
          <w:rFonts w:ascii="Arial" w:eastAsia="宋体" w:hAnsi="Arial" w:cs="Arial"/>
          <w:sz w:val="21"/>
          <w:szCs w:val="21"/>
          <w:lang w:bidi="ar"/>
        </w:rPr>
        <w:t xml:space="preserve">ced T cells. We also collected PB at different stages of </w:t>
      </w:r>
      <w:proofErr w:type="spellStart"/>
      <w:r>
        <w:rPr>
          <w:rFonts w:ascii="Arial" w:eastAsia="宋体" w:hAnsi="Arial" w:cs="Arial"/>
          <w:sz w:val="21"/>
          <w:szCs w:val="21"/>
          <w:lang w:bidi="ar"/>
        </w:rPr>
        <w:t>tumour</w:t>
      </w:r>
      <w:proofErr w:type="spellEnd"/>
      <w:r>
        <w:rPr>
          <w:rFonts w:ascii="Arial" w:eastAsia="宋体" w:hAnsi="Arial" w:cs="Arial"/>
          <w:sz w:val="21"/>
          <w:szCs w:val="21"/>
          <w:lang w:bidi="ar"/>
        </w:rPr>
        <w:t xml:space="preserve"> progression, monitored the CAR copy number at each time point and performed other experiments as described.</w:t>
      </w:r>
      <w:bookmarkStart w:id="7" w:name="OLE_LINK17"/>
      <w:bookmarkStart w:id="8" w:name="OLE_LINK16"/>
      <w:bookmarkEnd w:id="7"/>
      <w:bookmarkEnd w:id="8"/>
    </w:p>
    <w:p w14:paraId="29352F13" w14:textId="77777777" w:rsidR="00E95A27" w:rsidRDefault="00E95A27">
      <w:pPr>
        <w:autoSpaceDE w:val="0"/>
        <w:autoSpaceDN w:val="0"/>
        <w:jc w:val="left"/>
        <w:rPr>
          <w:rFonts w:ascii="Arial" w:hAnsi="Arial" w:cs="Arial"/>
          <w:b/>
          <w:bCs/>
          <w:color w:val="000000"/>
        </w:rPr>
      </w:pPr>
    </w:p>
    <w:p w14:paraId="785BC13E" w14:textId="77777777" w:rsidR="00E95A27" w:rsidRDefault="00655E8C">
      <w:pPr>
        <w:autoSpaceDE w:val="0"/>
        <w:autoSpaceDN w:val="0"/>
        <w:jc w:val="left"/>
        <w:rPr>
          <w:rFonts w:ascii="Arial" w:hAnsi="Arial" w:cs="Arial"/>
          <w:color w:val="FFC000"/>
        </w:rPr>
      </w:pPr>
      <w:r>
        <w:rPr>
          <w:rFonts w:ascii="Arial" w:eastAsia="Arial" w:hAnsi="Arial" w:cs="Arial"/>
          <w:b/>
          <w:bCs/>
          <w:kern w:val="0"/>
          <w:sz w:val="22"/>
          <w:lang w:bidi="ar"/>
        </w:rPr>
        <w:t>Statistical analysis</w:t>
      </w:r>
    </w:p>
    <w:p w14:paraId="73116374" w14:textId="77777777" w:rsidR="00E95A27" w:rsidRDefault="00655E8C">
      <w:pPr>
        <w:pStyle w:val="ab"/>
        <w:ind w:firstLineChars="200" w:firstLine="420"/>
        <w:rPr>
          <w:rFonts w:ascii="Arial" w:eastAsia="宋体" w:hAnsi="Arial" w:cs="Arial"/>
          <w:sz w:val="21"/>
          <w:szCs w:val="21"/>
          <w:lang w:bidi="ar"/>
        </w:rPr>
      </w:pPr>
      <w:r>
        <w:rPr>
          <w:rFonts w:ascii="Arial" w:eastAsia="宋体" w:hAnsi="Arial" w:cs="Arial"/>
          <w:sz w:val="21"/>
          <w:szCs w:val="21"/>
          <w:lang w:bidi="ar"/>
        </w:rPr>
        <w:t xml:space="preserve">Prism 8.0 (GraphPad Software) was used for data analysis. </w:t>
      </w:r>
      <w:r>
        <w:rPr>
          <w:rFonts w:ascii="Arial" w:eastAsia="宋体" w:hAnsi="Arial" w:cs="Arial"/>
          <w:i/>
          <w:iCs/>
          <w:sz w:val="21"/>
          <w:szCs w:val="21"/>
          <w:lang w:bidi="ar"/>
        </w:rPr>
        <w:t>t</w:t>
      </w:r>
      <w:r>
        <w:rPr>
          <w:rFonts w:ascii="Arial" w:eastAsia="宋体" w:hAnsi="Arial" w:cs="Arial"/>
          <w:sz w:val="21"/>
          <w:szCs w:val="21"/>
          <w:lang w:bidi="ar"/>
        </w:rPr>
        <w:t xml:space="preserve">-test or Two-way analysis of variance (ANOVA) was used to determine the significance of the differences between </w:t>
      </w:r>
      <w:r>
        <w:rPr>
          <w:rFonts w:ascii="Arial" w:eastAsia="宋体" w:hAnsi="Arial" w:cs="Arial"/>
          <w:sz w:val="21"/>
          <w:szCs w:val="21"/>
          <w:lang w:bidi="ar"/>
        </w:rPr>
        <w:lastRenderedPageBreak/>
        <w:t xml:space="preserve">means in experiments. Survival curves were generated using the Kaplan-Meier method. </w:t>
      </w:r>
      <w:r>
        <w:rPr>
          <w:rFonts w:ascii="Arial" w:eastAsia="宋体" w:hAnsi="Arial" w:cs="Arial"/>
          <w:i/>
          <w:iCs/>
          <w:sz w:val="21"/>
          <w:szCs w:val="21"/>
          <w:lang w:bidi="ar"/>
        </w:rPr>
        <w:t>p</w:t>
      </w:r>
      <w:r>
        <w:rPr>
          <w:rFonts w:ascii="Arial" w:eastAsia="宋体" w:hAnsi="Arial" w:cs="Arial"/>
          <w:sz w:val="21"/>
          <w:szCs w:val="21"/>
          <w:lang w:bidi="ar"/>
        </w:rPr>
        <w:t>&lt;0.05 was considered statistically significant.</w:t>
      </w:r>
    </w:p>
    <w:p w14:paraId="7D2143C3" w14:textId="77777777" w:rsidR="00E95A27" w:rsidRDefault="00E95A27">
      <w:pPr>
        <w:rPr>
          <w:rFonts w:ascii="Arial" w:hAnsi="Arial" w:cs="Arial"/>
        </w:rPr>
      </w:pPr>
    </w:p>
    <w:p w14:paraId="00317BF7" w14:textId="77777777" w:rsidR="00E95A27" w:rsidRDefault="00655E8C">
      <w:pPr>
        <w:spacing w:afterLines="50" w:after="156"/>
        <w:rPr>
          <w:rFonts w:ascii="Arial" w:hAnsi="Arial" w:cs="Arial"/>
          <w:sz w:val="22"/>
        </w:rPr>
      </w:pPr>
      <w:proofErr w:type="spellStart"/>
      <w:r>
        <w:rPr>
          <w:rStyle w:val="fontstyle01"/>
          <w:rFonts w:ascii="Arial" w:hAnsi="Arial" w:cs="Arial"/>
          <w:sz w:val="22"/>
          <w:szCs w:val="22"/>
        </w:rPr>
        <w:t>Antibodys</w:t>
      </w:r>
      <w:proofErr w:type="spellEnd"/>
      <w:r>
        <w:rPr>
          <w:rStyle w:val="fontstyle01"/>
          <w:rFonts w:ascii="Arial" w:hAnsi="Arial" w:cs="Arial"/>
          <w:sz w:val="22"/>
          <w:szCs w:val="22"/>
        </w:rPr>
        <w:t xml:space="preserve"> </w:t>
      </w:r>
      <w:r>
        <w:rPr>
          <w:rStyle w:val="fontstyle01"/>
          <w:rFonts w:ascii="Arial" w:hAnsi="Arial" w:cs="Arial"/>
          <w:sz w:val="22"/>
          <w:szCs w:val="22"/>
        </w:rPr>
        <w:t>Table</w:t>
      </w:r>
    </w:p>
    <w:tbl>
      <w:tblPr>
        <w:tblStyle w:val="ae"/>
        <w:tblW w:w="7366" w:type="dxa"/>
        <w:jc w:val="center"/>
        <w:tblLook w:val="04A0" w:firstRow="1" w:lastRow="0" w:firstColumn="1" w:lastColumn="0" w:noHBand="0" w:noVBand="1"/>
      </w:tblPr>
      <w:tblGrid>
        <w:gridCol w:w="1878"/>
        <w:gridCol w:w="1843"/>
        <w:gridCol w:w="1559"/>
        <w:gridCol w:w="2086"/>
      </w:tblGrid>
      <w:tr w:rsidR="00E95A27" w14:paraId="7F36A8B9" w14:textId="77777777">
        <w:trPr>
          <w:jc w:val="center"/>
        </w:trPr>
        <w:tc>
          <w:tcPr>
            <w:tcW w:w="1878" w:type="dxa"/>
            <w:vAlign w:val="center"/>
          </w:tcPr>
          <w:p w14:paraId="056D6A68" w14:textId="77777777" w:rsidR="00E95A27" w:rsidRDefault="00655E8C">
            <w:pPr>
              <w:ind w:firstLineChars="200" w:firstLine="420"/>
              <w:jc w:val="center"/>
              <w:rPr>
                <w:rFonts w:ascii="Arial" w:hAnsi="Arial" w:cs="Arial"/>
              </w:rPr>
            </w:pPr>
            <w:r>
              <w:rPr>
                <w:rFonts w:ascii="Arial" w:hAnsi="Arial" w:cs="Arial"/>
              </w:rPr>
              <w:t>Target</w:t>
            </w:r>
          </w:p>
        </w:tc>
        <w:tc>
          <w:tcPr>
            <w:tcW w:w="1843" w:type="dxa"/>
            <w:vAlign w:val="center"/>
          </w:tcPr>
          <w:p w14:paraId="5197C9AF" w14:textId="77777777" w:rsidR="00E95A27" w:rsidRDefault="00655E8C">
            <w:pPr>
              <w:ind w:firstLineChars="200" w:firstLine="420"/>
              <w:jc w:val="center"/>
              <w:rPr>
                <w:rFonts w:ascii="Arial" w:hAnsi="Arial" w:cs="Arial"/>
              </w:rPr>
            </w:pPr>
            <w:r>
              <w:rPr>
                <w:rFonts w:ascii="Arial" w:hAnsi="Arial" w:cs="Arial"/>
              </w:rPr>
              <w:t>Pathway</w:t>
            </w:r>
          </w:p>
        </w:tc>
        <w:tc>
          <w:tcPr>
            <w:tcW w:w="1559" w:type="dxa"/>
            <w:vAlign w:val="center"/>
          </w:tcPr>
          <w:p w14:paraId="472125BC" w14:textId="77777777" w:rsidR="00E95A27" w:rsidRDefault="00655E8C">
            <w:pPr>
              <w:ind w:firstLineChars="200" w:firstLine="420"/>
              <w:jc w:val="center"/>
              <w:rPr>
                <w:rFonts w:ascii="Arial" w:hAnsi="Arial" w:cs="Arial"/>
              </w:rPr>
            </w:pPr>
            <w:r>
              <w:rPr>
                <w:rFonts w:ascii="Arial" w:hAnsi="Arial" w:cs="Arial"/>
              </w:rPr>
              <w:t>Clone</w:t>
            </w:r>
          </w:p>
        </w:tc>
        <w:tc>
          <w:tcPr>
            <w:tcW w:w="2086" w:type="dxa"/>
            <w:vAlign w:val="center"/>
          </w:tcPr>
          <w:p w14:paraId="5DB18B37" w14:textId="77777777" w:rsidR="00E95A27" w:rsidRDefault="00655E8C">
            <w:pPr>
              <w:ind w:firstLineChars="200" w:firstLine="420"/>
              <w:jc w:val="center"/>
              <w:rPr>
                <w:rFonts w:ascii="Arial" w:hAnsi="Arial" w:cs="Arial"/>
              </w:rPr>
            </w:pPr>
            <w:r>
              <w:rPr>
                <w:rFonts w:ascii="Arial" w:hAnsi="Arial" w:cs="Arial"/>
              </w:rPr>
              <w:t>Supplier</w:t>
            </w:r>
          </w:p>
        </w:tc>
      </w:tr>
      <w:tr w:rsidR="00E95A27" w14:paraId="176EFE27" w14:textId="77777777">
        <w:trPr>
          <w:jc w:val="center"/>
        </w:trPr>
        <w:tc>
          <w:tcPr>
            <w:tcW w:w="1878" w:type="dxa"/>
            <w:vAlign w:val="center"/>
          </w:tcPr>
          <w:p w14:paraId="6EF3C90D" w14:textId="77777777" w:rsidR="00E95A27" w:rsidRDefault="00655E8C">
            <w:pPr>
              <w:ind w:firstLineChars="200" w:firstLine="420"/>
              <w:jc w:val="center"/>
              <w:rPr>
                <w:rFonts w:ascii="Arial" w:hAnsi="Arial" w:cs="Arial"/>
              </w:rPr>
            </w:pPr>
            <w:r>
              <w:rPr>
                <w:rFonts w:ascii="Arial" w:hAnsi="Arial" w:cs="Arial"/>
              </w:rPr>
              <w:t>CD3</w:t>
            </w:r>
          </w:p>
        </w:tc>
        <w:tc>
          <w:tcPr>
            <w:tcW w:w="1843" w:type="dxa"/>
            <w:vAlign w:val="center"/>
          </w:tcPr>
          <w:p w14:paraId="1974DDB4" w14:textId="77777777" w:rsidR="00E95A27" w:rsidRDefault="00655E8C">
            <w:pPr>
              <w:ind w:firstLineChars="200" w:firstLine="420"/>
              <w:jc w:val="center"/>
              <w:rPr>
                <w:rFonts w:ascii="Arial" w:hAnsi="Arial" w:cs="Arial"/>
              </w:rPr>
            </w:pPr>
            <w:r>
              <w:rPr>
                <w:rFonts w:ascii="Arial" w:hAnsi="Arial" w:cs="Arial"/>
              </w:rPr>
              <w:t>PE</w:t>
            </w:r>
          </w:p>
        </w:tc>
        <w:tc>
          <w:tcPr>
            <w:tcW w:w="1559" w:type="dxa"/>
            <w:vAlign w:val="center"/>
          </w:tcPr>
          <w:p w14:paraId="3369FE1C" w14:textId="77777777" w:rsidR="00E95A27" w:rsidRDefault="00655E8C">
            <w:pPr>
              <w:ind w:firstLineChars="200" w:firstLine="420"/>
              <w:jc w:val="center"/>
              <w:rPr>
                <w:rFonts w:ascii="Arial" w:hAnsi="Arial" w:cs="Arial"/>
              </w:rPr>
            </w:pPr>
            <w:r>
              <w:rPr>
                <w:rFonts w:ascii="Arial" w:hAnsi="Arial" w:cs="Arial"/>
              </w:rPr>
              <w:t>UCHT1</w:t>
            </w:r>
          </w:p>
        </w:tc>
        <w:tc>
          <w:tcPr>
            <w:tcW w:w="2086" w:type="dxa"/>
            <w:vAlign w:val="center"/>
          </w:tcPr>
          <w:p w14:paraId="04464919"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023D282A" w14:textId="77777777">
        <w:trPr>
          <w:jc w:val="center"/>
        </w:trPr>
        <w:tc>
          <w:tcPr>
            <w:tcW w:w="1878" w:type="dxa"/>
            <w:vAlign w:val="center"/>
          </w:tcPr>
          <w:p w14:paraId="1818EF3E" w14:textId="77777777" w:rsidR="00E95A27" w:rsidRDefault="00655E8C">
            <w:pPr>
              <w:ind w:firstLineChars="200" w:firstLine="420"/>
              <w:jc w:val="center"/>
              <w:rPr>
                <w:rFonts w:ascii="Arial" w:hAnsi="Arial" w:cs="Arial"/>
              </w:rPr>
            </w:pPr>
            <w:r>
              <w:rPr>
                <w:rFonts w:ascii="Arial" w:hAnsi="Arial" w:cs="Arial"/>
              </w:rPr>
              <w:t>CD3</w:t>
            </w:r>
          </w:p>
        </w:tc>
        <w:tc>
          <w:tcPr>
            <w:tcW w:w="1843" w:type="dxa"/>
            <w:vAlign w:val="center"/>
          </w:tcPr>
          <w:p w14:paraId="0F9EE588" w14:textId="77777777" w:rsidR="00E95A27" w:rsidRDefault="00655E8C">
            <w:pPr>
              <w:ind w:firstLineChars="200" w:firstLine="420"/>
              <w:jc w:val="center"/>
              <w:rPr>
                <w:rFonts w:ascii="Arial" w:hAnsi="Arial" w:cs="Arial"/>
              </w:rPr>
            </w:pPr>
            <w:r>
              <w:rPr>
                <w:rFonts w:ascii="Arial" w:hAnsi="Arial" w:cs="Arial"/>
              </w:rPr>
              <w:t>FITC</w:t>
            </w:r>
          </w:p>
        </w:tc>
        <w:tc>
          <w:tcPr>
            <w:tcW w:w="1559" w:type="dxa"/>
            <w:vAlign w:val="center"/>
          </w:tcPr>
          <w:p w14:paraId="5DD85B3C" w14:textId="77777777" w:rsidR="00E95A27" w:rsidRDefault="00655E8C">
            <w:pPr>
              <w:ind w:firstLineChars="200" w:firstLine="420"/>
              <w:jc w:val="center"/>
              <w:rPr>
                <w:rFonts w:ascii="Arial" w:hAnsi="Arial" w:cs="Arial"/>
              </w:rPr>
            </w:pPr>
            <w:r>
              <w:rPr>
                <w:rFonts w:ascii="Arial" w:hAnsi="Arial" w:cs="Arial"/>
              </w:rPr>
              <w:t>UCHT1</w:t>
            </w:r>
          </w:p>
        </w:tc>
        <w:tc>
          <w:tcPr>
            <w:tcW w:w="2086" w:type="dxa"/>
            <w:vAlign w:val="center"/>
          </w:tcPr>
          <w:p w14:paraId="5030FBEA"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2A699EB9" w14:textId="77777777">
        <w:trPr>
          <w:jc w:val="center"/>
        </w:trPr>
        <w:tc>
          <w:tcPr>
            <w:tcW w:w="1878" w:type="dxa"/>
            <w:vAlign w:val="center"/>
          </w:tcPr>
          <w:p w14:paraId="7F3A72CD" w14:textId="77777777" w:rsidR="00E95A27" w:rsidRDefault="00655E8C">
            <w:pPr>
              <w:ind w:firstLineChars="200" w:firstLine="420"/>
              <w:jc w:val="center"/>
              <w:rPr>
                <w:rFonts w:ascii="Arial" w:hAnsi="Arial" w:cs="Arial"/>
              </w:rPr>
            </w:pPr>
            <w:r>
              <w:rPr>
                <w:rFonts w:ascii="Arial" w:hAnsi="Arial" w:cs="Arial"/>
              </w:rPr>
              <w:t>CD3</w:t>
            </w:r>
          </w:p>
        </w:tc>
        <w:tc>
          <w:tcPr>
            <w:tcW w:w="1843" w:type="dxa"/>
            <w:vAlign w:val="center"/>
          </w:tcPr>
          <w:p w14:paraId="00530E60" w14:textId="77777777" w:rsidR="00E95A27" w:rsidRDefault="00655E8C">
            <w:pPr>
              <w:ind w:firstLineChars="200" w:firstLine="420"/>
              <w:jc w:val="center"/>
              <w:rPr>
                <w:rFonts w:ascii="Arial" w:hAnsi="Arial" w:cs="Arial"/>
              </w:rPr>
            </w:pPr>
            <w:r>
              <w:rPr>
                <w:rFonts w:ascii="Arial" w:hAnsi="Arial" w:cs="Arial"/>
              </w:rPr>
              <w:t>APC</w:t>
            </w:r>
          </w:p>
        </w:tc>
        <w:tc>
          <w:tcPr>
            <w:tcW w:w="1559" w:type="dxa"/>
            <w:vAlign w:val="center"/>
          </w:tcPr>
          <w:p w14:paraId="0D5B32A6" w14:textId="77777777" w:rsidR="00E95A27" w:rsidRDefault="00655E8C">
            <w:pPr>
              <w:ind w:firstLineChars="200" w:firstLine="420"/>
              <w:jc w:val="center"/>
              <w:rPr>
                <w:rFonts w:ascii="Arial" w:hAnsi="Arial" w:cs="Arial"/>
              </w:rPr>
            </w:pPr>
            <w:r>
              <w:rPr>
                <w:rFonts w:ascii="Arial" w:hAnsi="Arial" w:cs="Arial"/>
              </w:rPr>
              <w:t>UCHT1</w:t>
            </w:r>
          </w:p>
        </w:tc>
        <w:tc>
          <w:tcPr>
            <w:tcW w:w="2086" w:type="dxa"/>
            <w:vAlign w:val="center"/>
          </w:tcPr>
          <w:p w14:paraId="7EB2BF80"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0980277C" w14:textId="77777777">
        <w:trPr>
          <w:jc w:val="center"/>
        </w:trPr>
        <w:tc>
          <w:tcPr>
            <w:tcW w:w="1878" w:type="dxa"/>
            <w:vAlign w:val="center"/>
          </w:tcPr>
          <w:p w14:paraId="30FAE99D" w14:textId="77777777" w:rsidR="00E95A27" w:rsidRDefault="00655E8C">
            <w:pPr>
              <w:ind w:firstLineChars="200" w:firstLine="420"/>
              <w:jc w:val="center"/>
              <w:rPr>
                <w:rFonts w:ascii="Arial" w:hAnsi="Arial" w:cs="Arial"/>
              </w:rPr>
            </w:pPr>
            <w:r>
              <w:rPr>
                <w:rFonts w:ascii="Arial" w:hAnsi="Arial" w:cs="Arial"/>
              </w:rPr>
              <w:t>CD4</w:t>
            </w:r>
          </w:p>
        </w:tc>
        <w:tc>
          <w:tcPr>
            <w:tcW w:w="1843" w:type="dxa"/>
            <w:vAlign w:val="center"/>
          </w:tcPr>
          <w:p w14:paraId="24E0EDAD" w14:textId="77777777" w:rsidR="00E95A27" w:rsidRDefault="00655E8C">
            <w:pPr>
              <w:ind w:firstLineChars="200" w:firstLine="420"/>
              <w:jc w:val="center"/>
              <w:rPr>
                <w:rFonts w:ascii="Arial" w:hAnsi="Arial" w:cs="Arial"/>
              </w:rPr>
            </w:pPr>
            <w:r>
              <w:rPr>
                <w:rFonts w:ascii="Arial" w:hAnsi="Arial" w:cs="Arial"/>
              </w:rPr>
              <w:t>APC</w:t>
            </w:r>
          </w:p>
        </w:tc>
        <w:tc>
          <w:tcPr>
            <w:tcW w:w="1559" w:type="dxa"/>
            <w:vAlign w:val="center"/>
          </w:tcPr>
          <w:p w14:paraId="640ABDD1" w14:textId="77777777" w:rsidR="00E95A27" w:rsidRDefault="00655E8C">
            <w:pPr>
              <w:ind w:firstLineChars="200" w:firstLine="420"/>
              <w:jc w:val="center"/>
              <w:rPr>
                <w:rFonts w:ascii="Arial" w:hAnsi="Arial" w:cs="Arial"/>
              </w:rPr>
            </w:pPr>
            <w:r>
              <w:rPr>
                <w:rFonts w:ascii="Arial" w:hAnsi="Arial" w:cs="Arial"/>
              </w:rPr>
              <w:t>A161A1</w:t>
            </w:r>
          </w:p>
        </w:tc>
        <w:tc>
          <w:tcPr>
            <w:tcW w:w="2086" w:type="dxa"/>
            <w:vAlign w:val="center"/>
          </w:tcPr>
          <w:p w14:paraId="0B20EF11"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6A2E8599" w14:textId="77777777">
        <w:trPr>
          <w:jc w:val="center"/>
        </w:trPr>
        <w:tc>
          <w:tcPr>
            <w:tcW w:w="1878" w:type="dxa"/>
            <w:vAlign w:val="center"/>
          </w:tcPr>
          <w:p w14:paraId="14777E64" w14:textId="77777777" w:rsidR="00E95A27" w:rsidRDefault="00655E8C">
            <w:pPr>
              <w:ind w:firstLineChars="200" w:firstLine="420"/>
              <w:jc w:val="center"/>
              <w:rPr>
                <w:rFonts w:ascii="Arial" w:hAnsi="Arial" w:cs="Arial"/>
              </w:rPr>
            </w:pPr>
            <w:r>
              <w:rPr>
                <w:rFonts w:ascii="Arial" w:hAnsi="Arial" w:cs="Arial"/>
              </w:rPr>
              <w:t>CD4</w:t>
            </w:r>
          </w:p>
        </w:tc>
        <w:tc>
          <w:tcPr>
            <w:tcW w:w="1843" w:type="dxa"/>
            <w:vAlign w:val="center"/>
          </w:tcPr>
          <w:p w14:paraId="47387A99" w14:textId="77777777" w:rsidR="00E95A27" w:rsidRDefault="00655E8C">
            <w:pPr>
              <w:ind w:firstLineChars="200" w:firstLine="420"/>
              <w:jc w:val="center"/>
              <w:rPr>
                <w:rFonts w:ascii="Arial" w:hAnsi="Arial" w:cs="Arial"/>
              </w:rPr>
            </w:pPr>
            <w:r>
              <w:rPr>
                <w:rFonts w:ascii="Arial" w:hAnsi="Arial" w:cs="Arial"/>
              </w:rPr>
              <w:t>FITC</w:t>
            </w:r>
          </w:p>
        </w:tc>
        <w:tc>
          <w:tcPr>
            <w:tcW w:w="1559" w:type="dxa"/>
            <w:vAlign w:val="center"/>
          </w:tcPr>
          <w:p w14:paraId="5CC4293B" w14:textId="77777777" w:rsidR="00E95A27" w:rsidRDefault="00655E8C">
            <w:pPr>
              <w:ind w:firstLineChars="200" w:firstLine="420"/>
              <w:jc w:val="center"/>
              <w:rPr>
                <w:rFonts w:ascii="Arial" w:hAnsi="Arial" w:cs="Arial"/>
              </w:rPr>
            </w:pPr>
            <w:r>
              <w:rPr>
                <w:rFonts w:ascii="Arial" w:hAnsi="Arial" w:cs="Arial"/>
              </w:rPr>
              <w:t>A161A1</w:t>
            </w:r>
          </w:p>
        </w:tc>
        <w:tc>
          <w:tcPr>
            <w:tcW w:w="2086" w:type="dxa"/>
            <w:vAlign w:val="center"/>
          </w:tcPr>
          <w:p w14:paraId="6C6E9A9E"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59CA1E0A" w14:textId="77777777">
        <w:trPr>
          <w:jc w:val="center"/>
        </w:trPr>
        <w:tc>
          <w:tcPr>
            <w:tcW w:w="1878" w:type="dxa"/>
            <w:vAlign w:val="center"/>
          </w:tcPr>
          <w:p w14:paraId="15C8357F" w14:textId="77777777" w:rsidR="00E95A27" w:rsidRDefault="00655E8C">
            <w:pPr>
              <w:ind w:firstLineChars="200" w:firstLine="420"/>
              <w:jc w:val="center"/>
              <w:rPr>
                <w:rFonts w:ascii="Arial" w:hAnsi="Arial" w:cs="Arial"/>
              </w:rPr>
            </w:pPr>
            <w:r>
              <w:rPr>
                <w:rFonts w:ascii="Arial" w:hAnsi="Arial" w:cs="Arial"/>
              </w:rPr>
              <w:t>CD5</w:t>
            </w:r>
          </w:p>
        </w:tc>
        <w:tc>
          <w:tcPr>
            <w:tcW w:w="1843" w:type="dxa"/>
            <w:vAlign w:val="center"/>
          </w:tcPr>
          <w:p w14:paraId="3CB906BA" w14:textId="77777777" w:rsidR="00E95A27" w:rsidRDefault="00655E8C">
            <w:pPr>
              <w:ind w:firstLineChars="200" w:firstLine="420"/>
              <w:jc w:val="center"/>
              <w:rPr>
                <w:rFonts w:ascii="Arial" w:hAnsi="Arial" w:cs="Arial"/>
              </w:rPr>
            </w:pPr>
            <w:r>
              <w:rPr>
                <w:rFonts w:ascii="Arial" w:hAnsi="Arial" w:cs="Arial"/>
              </w:rPr>
              <w:t>APC</w:t>
            </w:r>
          </w:p>
        </w:tc>
        <w:tc>
          <w:tcPr>
            <w:tcW w:w="1559" w:type="dxa"/>
            <w:vAlign w:val="center"/>
          </w:tcPr>
          <w:p w14:paraId="2143F340" w14:textId="77777777" w:rsidR="00E95A27" w:rsidRDefault="00655E8C">
            <w:pPr>
              <w:ind w:firstLineChars="200" w:firstLine="420"/>
              <w:jc w:val="center"/>
              <w:rPr>
                <w:rFonts w:ascii="Arial" w:hAnsi="Arial" w:cs="Arial"/>
              </w:rPr>
            </w:pPr>
            <w:r>
              <w:rPr>
                <w:rFonts w:ascii="Arial" w:hAnsi="Arial" w:cs="Arial"/>
              </w:rPr>
              <w:t>UCHT2</w:t>
            </w:r>
          </w:p>
        </w:tc>
        <w:tc>
          <w:tcPr>
            <w:tcW w:w="2086" w:type="dxa"/>
            <w:vAlign w:val="center"/>
          </w:tcPr>
          <w:p w14:paraId="46D7A462"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621849DE" w14:textId="77777777">
        <w:trPr>
          <w:jc w:val="center"/>
        </w:trPr>
        <w:tc>
          <w:tcPr>
            <w:tcW w:w="1878" w:type="dxa"/>
            <w:vAlign w:val="center"/>
          </w:tcPr>
          <w:p w14:paraId="39EF48B0" w14:textId="77777777" w:rsidR="00E95A27" w:rsidRDefault="00655E8C">
            <w:pPr>
              <w:ind w:firstLineChars="200" w:firstLine="420"/>
              <w:jc w:val="center"/>
              <w:rPr>
                <w:rFonts w:ascii="Arial" w:hAnsi="Arial" w:cs="Arial"/>
              </w:rPr>
            </w:pPr>
            <w:r>
              <w:rPr>
                <w:rFonts w:ascii="Arial" w:hAnsi="Arial" w:cs="Arial"/>
              </w:rPr>
              <w:t>CD7</w:t>
            </w:r>
          </w:p>
        </w:tc>
        <w:tc>
          <w:tcPr>
            <w:tcW w:w="1843" w:type="dxa"/>
            <w:vAlign w:val="center"/>
          </w:tcPr>
          <w:p w14:paraId="2BC466B9" w14:textId="77777777" w:rsidR="00E95A27" w:rsidRDefault="00655E8C">
            <w:pPr>
              <w:ind w:firstLineChars="200" w:firstLine="420"/>
              <w:jc w:val="center"/>
              <w:rPr>
                <w:rFonts w:ascii="Arial" w:hAnsi="Arial" w:cs="Arial"/>
              </w:rPr>
            </w:pPr>
            <w:r>
              <w:rPr>
                <w:rFonts w:ascii="Arial" w:hAnsi="Arial" w:cs="Arial"/>
              </w:rPr>
              <w:t>BV421</w:t>
            </w:r>
          </w:p>
        </w:tc>
        <w:tc>
          <w:tcPr>
            <w:tcW w:w="1559" w:type="dxa"/>
            <w:vAlign w:val="center"/>
          </w:tcPr>
          <w:p w14:paraId="28A5986E" w14:textId="77777777" w:rsidR="00E95A27" w:rsidRDefault="00655E8C">
            <w:pPr>
              <w:ind w:firstLineChars="200" w:firstLine="420"/>
              <w:jc w:val="center"/>
              <w:rPr>
                <w:rFonts w:ascii="Arial" w:hAnsi="Arial" w:cs="Arial"/>
              </w:rPr>
            </w:pPr>
            <w:r>
              <w:rPr>
                <w:rFonts w:ascii="Arial" w:hAnsi="Arial" w:cs="Arial"/>
              </w:rPr>
              <w:t>M-T701</w:t>
            </w:r>
          </w:p>
        </w:tc>
        <w:tc>
          <w:tcPr>
            <w:tcW w:w="2086" w:type="dxa"/>
            <w:vAlign w:val="center"/>
          </w:tcPr>
          <w:p w14:paraId="73D589E7" w14:textId="77777777" w:rsidR="00E95A27" w:rsidRDefault="00655E8C">
            <w:pPr>
              <w:ind w:firstLineChars="200" w:firstLine="420"/>
              <w:jc w:val="center"/>
              <w:rPr>
                <w:rFonts w:ascii="Arial" w:hAnsi="Arial" w:cs="Arial"/>
              </w:rPr>
            </w:pPr>
            <w:r>
              <w:rPr>
                <w:rFonts w:ascii="Arial" w:hAnsi="Arial" w:cs="Arial"/>
              </w:rPr>
              <w:t>BD</w:t>
            </w:r>
          </w:p>
        </w:tc>
      </w:tr>
      <w:tr w:rsidR="00E95A27" w14:paraId="137017F9" w14:textId="77777777">
        <w:trPr>
          <w:jc w:val="center"/>
        </w:trPr>
        <w:tc>
          <w:tcPr>
            <w:tcW w:w="1878" w:type="dxa"/>
            <w:vAlign w:val="center"/>
          </w:tcPr>
          <w:p w14:paraId="58D6B9AA" w14:textId="77777777" w:rsidR="00E95A27" w:rsidRDefault="00655E8C">
            <w:pPr>
              <w:ind w:firstLineChars="200" w:firstLine="420"/>
              <w:jc w:val="center"/>
              <w:rPr>
                <w:rFonts w:ascii="Arial" w:hAnsi="Arial" w:cs="Arial"/>
              </w:rPr>
            </w:pPr>
            <w:r>
              <w:rPr>
                <w:rFonts w:ascii="Arial" w:hAnsi="Arial" w:cs="Arial"/>
              </w:rPr>
              <w:t>CD8</w:t>
            </w:r>
          </w:p>
        </w:tc>
        <w:tc>
          <w:tcPr>
            <w:tcW w:w="1843" w:type="dxa"/>
            <w:vAlign w:val="center"/>
          </w:tcPr>
          <w:p w14:paraId="409D9DCD" w14:textId="77777777" w:rsidR="00E95A27" w:rsidRDefault="00655E8C">
            <w:pPr>
              <w:ind w:firstLineChars="200" w:firstLine="420"/>
              <w:jc w:val="center"/>
              <w:rPr>
                <w:rFonts w:ascii="Arial" w:hAnsi="Arial" w:cs="Arial"/>
              </w:rPr>
            </w:pPr>
            <w:r>
              <w:rPr>
                <w:rFonts w:ascii="Arial" w:hAnsi="Arial" w:cs="Arial"/>
              </w:rPr>
              <w:t>BV421</w:t>
            </w:r>
          </w:p>
        </w:tc>
        <w:tc>
          <w:tcPr>
            <w:tcW w:w="1559" w:type="dxa"/>
            <w:vAlign w:val="center"/>
          </w:tcPr>
          <w:p w14:paraId="79BBA2A7" w14:textId="77777777" w:rsidR="00E95A27" w:rsidRDefault="00655E8C">
            <w:pPr>
              <w:ind w:firstLineChars="200" w:firstLine="420"/>
              <w:jc w:val="center"/>
              <w:rPr>
                <w:rFonts w:ascii="Arial" w:hAnsi="Arial" w:cs="Arial"/>
              </w:rPr>
            </w:pPr>
            <w:r>
              <w:rPr>
                <w:rFonts w:ascii="Arial" w:hAnsi="Arial" w:cs="Arial"/>
              </w:rPr>
              <w:t>SK1</w:t>
            </w:r>
          </w:p>
        </w:tc>
        <w:tc>
          <w:tcPr>
            <w:tcW w:w="2086" w:type="dxa"/>
            <w:vAlign w:val="center"/>
          </w:tcPr>
          <w:p w14:paraId="2E5BD110"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6F41CD81" w14:textId="77777777">
        <w:trPr>
          <w:jc w:val="center"/>
        </w:trPr>
        <w:tc>
          <w:tcPr>
            <w:tcW w:w="1878" w:type="dxa"/>
            <w:vAlign w:val="center"/>
          </w:tcPr>
          <w:p w14:paraId="4E547808" w14:textId="77777777" w:rsidR="00E95A27" w:rsidRDefault="00655E8C">
            <w:pPr>
              <w:ind w:firstLineChars="200" w:firstLine="420"/>
              <w:jc w:val="center"/>
              <w:rPr>
                <w:rFonts w:ascii="Arial" w:hAnsi="Arial" w:cs="Arial"/>
              </w:rPr>
            </w:pPr>
            <w:r>
              <w:rPr>
                <w:rFonts w:ascii="Arial" w:hAnsi="Arial" w:cs="Arial"/>
              </w:rPr>
              <w:t>CD19</w:t>
            </w:r>
          </w:p>
        </w:tc>
        <w:tc>
          <w:tcPr>
            <w:tcW w:w="1843" w:type="dxa"/>
            <w:vAlign w:val="center"/>
          </w:tcPr>
          <w:p w14:paraId="198DBD2D" w14:textId="77777777" w:rsidR="00E95A27" w:rsidRDefault="00655E8C">
            <w:pPr>
              <w:ind w:firstLineChars="200" w:firstLine="420"/>
              <w:jc w:val="center"/>
              <w:rPr>
                <w:rFonts w:ascii="Arial" w:hAnsi="Arial" w:cs="Arial"/>
              </w:rPr>
            </w:pPr>
            <w:r>
              <w:rPr>
                <w:rFonts w:ascii="Arial" w:hAnsi="Arial" w:cs="Arial"/>
              </w:rPr>
              <w:t>APC</w:t>
            </w:r>
          </w:p>
        </w:tc>
        <w:tc>
          <w:tcPr>
            <w:tcW w:w="1559" w:type="dxa"/>
            <w:vAlign w:val="center"/>
          </w:tcPr>
          <w:p w14:paraId="6D9F1AE5" w14:textId="77777777" w:rsidR="00E95A27" w:rsidRDefault="00655E8C">
            <w:pPr>
              <w:ind w:firstLineChars="200" w:firstLine="420"/>
              <w:jc w:val="center"/>
              <w:rPr>
                <w:rFonts w:ascii="Arial" w:hAnsi="Arial" w:cs="Arial"/>
              </w:rPr>
            </w:pPr>
            <w:r>
              <w:rPr>
                <w:rFonts w:ascii="Arial" w:hAnsi="Arial" w:cs="Arial"/>
              </w:rPr>
              <w:t>HIB19</w:t>
            </w:r>
          </w:p>
        </w:tc>
        <w:tc>
          <w:tcPr>
            <w:tcW w:w="2086" w:type="dxa"/>
            <w:vAlign w:val="center"/>
          </w:tcPr>
          <w:p w14:paraId="0BD7C233"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3FD30DF3" w14:textId="77777777">
        <w:trPr>
          <w:jc w:val="center"/>
        </w:trPr>
        <w:tc>
          <w:tcPr>
            <w:tcW w:w="1878" w:type="dxa"/>
            <w:vAlign w:val="center"/>
          </w:tcPr>
          <w:p w14:paraId="4A75C9CB" w14:textId="77777777" w:rsidR="00E95A27" w:rsidRDefault="00655E8C">
            <w:pPr>
              <w:ind w:firstLineChars="200" w:firstLine="420"/>
              <w:jc w:val="center"/>
              <w:rPr>
                <w:rFonts w:ascii="Arial" w:hAnsi="Arial" w:cs="Arial"/>
              </w:rPr>
            </w:pPr>
            <w:r>
              <w:rPr>
                <w:rFonts w:ascii="Arial" w:hAnsi="Arial" w:cs="Arial"/>
              </w:rPr>
              <w:t>CD25</w:t>
            </w:r>
          </w:p>
        </w:tc>
        <w:tc>
          <w:tcPr>
            <w:tcW w:w="1843" w:type="dxa"/>
            <w:vAlign w:val="center"/>
          </w:tcPr>
          <w:p w14:paraId="23CB5B5F" w14:textId="77777777" w:rsidR="00E95A27" w:rsidRDefault="00655E8C">
            <w:pPr>
              <w:ind w:firstLineChars="200" w:firstLine="420"/>
              <w:jc w:val="center"/>
              <w:rPr>
                <w:rFonts w:ascii="Arial" w:hAnsi="Arial" w:cs="Arial"/>
              </w:rPr>
            </w:pPr>
            <w:r>
              <w:rPr>
                <w:rFonts w:ascii="Arial" w:hAnsi="Arial" w:cs="Arial"/>
              </w:rPr>
              <w:t>PE</w:t>
            </w:r>
          </w:p>
        </w:tc>
        <w:tc>
          <w:tcPr>
            <w:tcW w:w="1559" w:type="dxa"/>
            <w:vAlign w:val="center"/>
          </w:tcPr>
          <w:p w14:paraId="4B7D1132" w14:textId="77777777" w:rsidR="00E95A27" w:rsidRDefault="00655E8C">
            <w:pPr>
              <w:ind w:firstLineChars="200" w:firstLine="420"/>
              <w:jc w:val="center"/>
              <w:rPr>
                <w:rFonts w:ascii="Arial" w:hAnsi="Arial" w:cs="Arial"/>
              </w:rPr>
            </w:pPr>
            <w:r>
              <w:rPr>
                <w:rFonts w:ascii="Arial" w:hAnsi="Arial" w:cs="Arial"/>
              </w:rPr>
              <w:t>BC96</w:t>
            </w:r>
          </w:p>
        </w:tc>
        <w:tc>
          <w:tcPr>
            <w:tcW w:w="2086" w:type="dxa"/>
            <w:vAlign w:val="center"/>
          </w:tcPr>
          <w:p w14:paraId="18098229"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61452F58" w14:textId="77777777">
        <w:trPr>
          <w:jc w:val="center"/>
        </w:trPr>
        <w:tc>
          <w:tcPr>
            <w:tcW w:w="1878" w:type="dxa"/>
            <w:vAlign w:val="center"/>
          </w:tcPr>
          <w:p w14:paraId="1ECAFFD1" w14:textId="77777777" w:rsidR="00E95A27" w:rsidRDefault="00655E8C">
            <w:pPr>
              <w:ind w:firstLineChars="200" w:firstLine="420"/>
              <w:jc w:val="center"/>
              <w:rPr>
                <w:rFonts w:ascii="Arial" w:hAnsi="Arial" w:cs="Arial"/>
              </w:rPr>
            </w:pPr>
            <w:r>
              <w:rPr>
                <w:rFonts w:ascii="Arial" w:hAnsi="Arial" w:cs="Arial"/>
              </w:rPr>
              <w:t>CD69</w:t>
            </w:r>
          </w:p>
        </w:tc>
        <w:tc>
          <w:tcPr>
            <w:tcW w:w="1843" w:type="dxa"/>
            <w:vAlign w:val="center"/>
          </w:tcPr>
          <w:p w14:paraId="6CC4B4EA" w14:textId="77777777" w:rsidR="00E95A27" w:rsidRDefault="00655E8C">
            <w:pPr>
              <w:ind w:firstLineChars="200" w:firstLine="420"/>
              <w:jc w:val="center"/>
              <w:rPr>
                <w:rFonts w:ascii="Arial" w:hAnsi="Arial" w:cs="Arial"/>
              </w:rPr>
            </w:pPr>
            <w:r>
              <w:rPr>
                <w:rFonts w:ascii="Arial" w:hAnsi="Arial" w:cs="Arial"/>
              </w:rPr>
              <w:t>APC</w:t>
            </w:r>
          </w:p>
        </w:tc>
        <w:tc>
          <w:tcPr>
            <w:tcW w:w="1559" w:type="dxa"/>
            <w:vAlign w:val="center"/>
          </w:tcPr>
          <w:p w14:paraId="515D537E" w14:textId="77777777" w:rsidR="00E95A27" w:rsidRDefault="00655E8C">
            <w:pPr>
              <w:ind w:firstLineChars="200" w:firstLine="420"/>
              <w:jc w:val="center"/>
              <w:rPr>
                <w:rFonts w:ascii="Arial" w:hAnsi="Arial" w:cs="Arial"/>
              </w:rPr>
            </w:pPr>
            <w:r>
              <w:rPr>
                <w:rFonts w:ascii="Arial" w:hAnsi="Arial" w:cs="Arial"/>
              </w:rPr>
              <w:t>FN50</w:t>
            </w:r>
          </w:p>
        </w:tc>
        <w:tc>
          <w:tcPr>
            <w:tcW w:w="2086" w:type="dxa"/>
            <w:vAlign w:val="center"/>
          </w:tcPr>
          <w:p w14:paraId="0458E491"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284D3D98" w14:textId="77777777">
        <w:trPr>
          <w:jc w:val="center"/>
        </w:trPr>
        <w:tc>
          <w:tcPr>
            <w:tcW w:w="1878" w:type="dxa"/>
            <w:vAlign w:val="center"/>
          </w:tcPr>
          <w:p w14:paraId="3636244D" w14:textId="77777777" w:rsidR="00E95A27" w:rsidRDefault="00655E8C">
            <w:pPr>
              <w:ind w:firstLineChars="200" w:firstLine="420"/>
              <w:jc w:val="center"/>
              <w:rPr>
                <w:rFonts w:ascii="Arial" w:hAnsi="Arial" w:cs="Arial"/>
              </w:rPr>
            </w:pPr>
            <w:r>
              <w:rPr>
                <w:rFonts w:ascii="Arial" w:hAnsi="Arial" w:cs="Arial"/>
              </w:rPr>
              <w:t>CD69</w:t>
            </w:r>
          </w:p>
        </w:tc>
        <w:tc>
          <w:tcPr>
            <w:tcW w:w="1843" w:type="dxa"/>
            <w:vAlign w:val="center"/>
          </w:tcPr>
          <w:p w14:paraId="561B75F0" w14:textId="77777777" w:rsidR="00E95A27" w:rsidRDefault="00655E8C">
            <w:pPr>
              <w:ind w:firstLineChars="200" w:firstLine="420"/>
              <w:jc w:val="center"/>
              <w:rPr>
                <w:rFonts w:ascii="Arial" w:hAnsi="Arial" w:cs="Arial"/>
              </w:rPr>
            </w:pPr>
            <w:r>
              <w:rPr>
                <w:rFonts w:ascii="Arial" w:hAnsi="Arial" w:cs="Arial"/>
              </w:rPr>
              <w:t>PE</w:t>
            </w:r>
          </w:p>
        </w:tc>
        <w:tc>
          <w:tcPr>
            <w:tcW w:w="1559" w:type="dxa"/>
            <w:vAlign w:val="center"/>
          </w:tcPr>
          <w:p w14:paraId="76885B77" w14:textId="77777777" w:rsidR="00E95A27" w:rsidRDefault="00655E8C">
            <w:pPr>
              <w:ind w:firstLineChars="200" w:firstLine="420"/>
              <w:jc w:val="center"/>
              <w:rPr>
                <w:rFonts w:ascii="Arial" w:hAnsi="Arial" w:cs="Arial"/>
              </w:rPr>
            </w:pPr>
            <w:r>
              <w:rPr>
                <w:rFonts w:ascii="Arial" w:hAnsi="Arial" w:cs="Arial"/>
              </w:rPr>
              <w:t>FN50</w:t>
            </w:r>
          </w:p>
        </w:tc>
        <w:tc>
          <w:tcPr>
            <w:tcW w:w="2086" w:type="dxa"/>
            <w:vAlign w:val="center"/>
          </w:tcPr>
          <w:p w14:paraId="6829D7EB"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38A62D4B" w14:textId="77777777">
        <w:trPr>
          <w:jc w:val="center"/>
        </w:trPr>
        <w:tc>
          <w:tcPr>
            <w:tcW w:w="1878" w:type="dxa"/>
            <w:vAlign w:val="center"/>
          </w:tcPr>
          <w:p w14:paraId="3640C749" w14:textId="77777777" w:rsidR="00E95A27" w:rsidRDefault="00655E8C">
            <w:pPr>
              <w:ind w:firstLineChars="200" w:firstLine="420"/>
              <w:jc w:val="center"/>
              <w:rPr>
                <w:rFonts w:ascii="Arial" w:hAnsi="Arial" w:cs="Arial"/>
              </w:rPr>
            </w:pPr>
            <w:r>
              <w:rPr>
                <w:rFonts w:ascii="Arial" w:hAnsi="Arial" w:cs="Arial"/>
              </w:rPr>
              <w:t>CD33</w:t>
            </w:r>
          </w:p>
        </w:tc>
        <w:tc>
          <w:tcPr>
            <w:tcW w:w="1843" w:type="dxa"/>
            <w:vAlign w:val="center"/>
          </w:tcPr>
          <w:p w14:paraId="6E2A17E7" w14:textId="77777777" w:rsidR="00E95A27" w:rsidRDefault="00655E8C">
            <w:pPr>
              <w:ind w:firstLineChars="200" w:firstLine="420"/>
              <w:jc w:val="center"/>
              <w:rPr>
                <w:rFonts w:ascii="Arial" w:hAnsi="Arial" w:cs="Arial"/>
              </w:rPr>
            </w:pPr>
            <w:r>
              <w:rPr>
                <w:rFonts w:ascii="Arial" w:hAnsi="Arial" w:cs="Arial"/>
              </w:rPr>
              <w:t>FITC</w:t>
            </w:r>
          </w:p>
        </w:tc>
        <w:tc>
          <w:tcPr>
            <w:tcW w:w="1559" w:type="dxa"/>
            <w:vAlign w:val="center"/>
          </w:tcPr>
          <w:p w14:paraId="5FE3F7B2" w14:textId="77777777" w:rsidR="00E95A27" w:rsidRDefault="00655E8C">
            <w:pPr>
              <w:ind w:firstLineChars="200" w:firstLine="420"/>
              <w:jc w:val="center"/>
              <w:rPr>
                <w:rFonts w:ascii="Arial" w:hAnsi="Arial" w:cs="Arial"/>
              </w:rPr>
            </w:pPr>
            <w:r>
              <w:rPr>
                <w:rFonts w:ascii="Arial" w:hAnsi="Arial" w:cs="Arial"/>
              </w:rPr>
              <w:t>HIM3-4</w:t>
            </w:r>
          </w:p>
        </w:tc>
        <w:tc>
          <w:tcPr>
            <w:tcW w:w="2086" w:type="dxa"/>
            <w:vAlign w:val="center"/>
          </w:tcPr>
          <w:p w14:paraId="47A24E64"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05DA586A" w14:textId="77777777">
        <w:trPr>
          <w:jc w:val="center"/>
        </w:trPr>
        <w:tc>
          <w:tcPr>
            <w:tcW w:w="1878" w:type="dxa"/>
            <w:vAlign w:val="center"/>
          </w:tcPr>
          <w:p w14:paraId="5A245D5A" w14:textId="77777777" w:rsidR="00E95A27" w:rsidRDefault="00655E8C">
            <w:pPr>
              <w:ind w:firstLineChars="200" w:firstLine="420"/>
              <w:jc w:val="center"/>
              <w:rPr>
                <w:rFonts w:ascii="Arial" w:hAnsi="Arial" w:cs="Arial"/>
              </w:rPr>
            </w:pPr>
            <w:r>
              <w:rPr>
                <w:rFonts w:ascii="Arial" w:hAnsi="Arial" w:cs="Arial"/>
              </w:rPr>
              <w:t>CD34</w:t>
            </w:r>
          </w:p>
        </w:tc>
        <w:tc>
          <w:tcPr>
            <w:tcW w:w="1843" w:type="dxa"/>
            <w:vAlign w:val="center"/>
          </w:tcPr>
          <w:p w14:paraId="401E2DFF" w14:textId="77777777" w:rsidR="00E95A27" w:rsidRDefault="00655E8C">
            <w:pPr>
              <w:ind w:firstLineChars="200" w:firstLine="420"/>
              <w:jc w:val="center"/>
              <w:rPr>
                <w:rFonts w:ascii="Arial" w:hAnsi="Arial" w:cs="Arial"/>
              </w:rPr>
            </w:pPr>
            <w:r>
              <w:rPr>
                <w:rFonts w:ascii="Arial" w:hAnsi="Arial" w:cs="Arial"/>
              </w:rPr>
              <w:t>BV421</w:t>
            </w:r>
          </w:p>
        </w:tc>
        <w:tc>
          <w:tcPr>
            <w:tcW w:w="1559" w:type="dxa"/>
            <w:vAlign w:val="center"/>
          </w:tcPr>
          <w:p w14:paraId="60D7637B" w14:textId="77777777" w:rsidR="00E95A27" w:rsidRDefault="00655E8C">
            <w:pPr>
              <w:ind w:firstLineChars="200" w:firstLine="420"/>
              <w:jc w:val="center"/>
              <w:rPr>
                <w:rFonts w:ascii="Arial" w:hAnsi="Arial" w:cs="Arial"/>
              </w:rPr>
            </w:pPr>
            <w:r>
              <w:rPr>
                <w:rFonts w:ascii="Arial" w:hAnsi="Arial" w:cs="Arial"/>
              </w:rPr>
              <w:t>581</w:t>
            </w:r>
          </w:p>
        </w:tc>
        <w:tc>
          <w:tcPr>
            <w:tcW w:w="2086" w:type="dxa"/>
            <w:vAlign w:val="center"/>
          </w:tcPr>
          <w:p w14:paraId="42104957" w14:textId="77777777" w:rsidR="00E95A27" w:rsidRDefault="00655E8C">
            <w:pPr>
              <w:ind w:firstLineChars="200" w:firstLine="420"/>
              <w:jc w:val="center"/>
              <w:rPr>
                <w:rFonts w:ascii="Arial" w:hAnsi="Arial" w:cs="Arial"/>
              </w:rPr>
            </w:pPr>
            <w:r>
              <w:rPr>
                <w:rFonts w:ascii="Arial" w:hAnsi="Arial" w:cs="Arial"/>
              </w:rPr>
              <w:t>BD</w:t>
            </w:r>
          </w:p>
        </w:tc>
      </w:tr>
      <w:tr w:rsidR="00E95A27" w14:paraId="17427091" w14:textId="77777777">
        <w:trPr>
          <w:jc w:val="center"/>
        </w:trPr>
        <w:tc>
          <w:tcPr>
            <w:tcW w:w="1878" w:type="dxa"/>
            <w:vAlign w:val="center"/>
          </w:tcPr>
          <w:p w14:paraId="247E8AC3" w14:textId="77777777" w:rsidR="00E95A27" w:rsidRDefault="00655E8C">
            <w:pPr>
              <w:ind w:firstLineChars="200" w:firstLine="420"/>
              <w:jc w:val="center"/>
              <w:rPr>
                <w:rFonts w:ascii="Arial" w:hAnsi="Arial" w:cs="Arial"/>
              </w:rPr>
            </w:pPr>
            <w:r>
              <w:rPr>
                <w:rFonts w:ascii="Arial" w:hAnsi="Arial" w:cs="Arial"/>
              </w:rPr>
              <w:t>CD38</w:t>
            </w:r>
          </w:p>
        </w:tc>
        <w:tc>
          <w:tcPr>
            <w:tcW w:w="1843" w:type="dxa"/>
            <w:vAlign w:val="center"/>
          </w:tcPr>
          <w:p w14:paraId="259E33C8" w14:textId="77777777" w:rsidR="00E95A27" w:rsidRDefault="00655E8C">
            <w:pPr>
              <w:ind w:firstLineChars="200" w:firstLine="420"/>
              <w:jc w:val="center"/>
              <w:rPr>
                <w:rFonts w:ascii="Arial" w:hAnsi="Arial" w:cs="Arial"/>
              </w:rPr>
            </w:pPr>
            <w:r>
              <w:rPr>
                <w:rFonts w:ascii="Arial" w:hAnsi="Arial" w:cs="Arial"/>
              </w:rPr>
              <w:t>PE-Cy™7</w:t>
            </w:r>
          </w:p>
        </w:tc>
        <w:tc>
          <w:tcPr>
            <w:tcW w:w="1559" w:type="dxa"/>
            <w:vAlign w:val="center"/>
          </w:tcPr>
          <w:p w14:paraId="41354A6F" w14:textId="77777777" w:rsidR="00E95A27" w:rsidRDefault="00655E8C">
            <w:pPr>
              <w:ind w:firstLineChars="200" w:firstLine="420"/>
              <w:jc w:val="center"/>
              <w:rPr>
                <w:rFonts w:ascii="Arial" w:hAnsi="Arial" w:cs="Arial"/>
              </w:rPr>
            </w:pPr>
            <w:r>
              <w:rPr>
                <w:rFonts w:ascii="Arial" w:hAnsi="Arial" w:cs="Arial"/>
              </w:rPr>
              <w:t>HIT2</w:t>
            </w:r>
          </w:p>
        </w:tc>
        <w:tc>
          <w:tcPr>
            <w:tcW w:w="2086" w:type="dxa"/>
            <w:vAlign w:val="center"/>
          </w:tcPr>
          <w:p w14:paraId="347568CE" w14:textId="77777777" w:rsidR="00E95A27" w:rsidRDefault="00655E8C">
            <w:pPr>
              <w:ind w:firstLineChars="200" w:firstLine="420"/>
              <w:jc w:val="center"/>
              <w:rPr>
                <w:rFonts w:ascii="Arial" w:hAnsi="Arial" w:cs="Arial"/>
              </w:rPr>
            </w:pPr>
            <w:r>
              <w:rPr>
                <w:rFonts w:ascii="Arial" w:hAnsi="Arial" w:cs="Arial"/>
              </w:rPr>
              <w:t>BD</w:t>
            </w:r>
          </w:p>
        </w:tc>
      </w:tr>
      <w:tr w:rsidR="00E95A27" w14:paraId="2DAFA3EF" w14:textId="77777777">
        <w:trPr>
          <w:jc w:val="center"/>
        </w:trPr>
        <w:tc>
          <w:tcPr>
            <w:tcW w:w="1878" w:type="dxa"/>
            <w:vAlign w:val="center"/>
          </w:tcPr>
          <w:p w14:paraId="6AE53A52" w14:textId="77777777" w:rsidR="00E95A27" w:rsidRDefault="00655E8C">
            <w:pPr>
              <w:ind w:firstLineChars="200" w:firstLine="420"/>
              <w:jc w:val="center"/>
              <w:rPr>
                <w:rFonts w:ascii="Arial" w:hAnsi="Arial" w:cs="Arial"/>
              </w:rPr>
            </w:pPr>
            <w:r>
              <w:rPr>
                <w:rFonts w:ascii="Arial" w:hAnsi="Arial" w:cs="Arial"/>
              </w:rPr>
              <w:t>CD45</w:t>
            </w:r>
          </w:p>
        </w:tc>
        <w:tc>
          <w:tcPr>
            <w:tcW w:w="1843" w:type="dxa"/>
            <w:vAlign w:val="center"/>
          </w:tcPr>
          <w:p w14:paraId="76FB5F36" w14:textId="77777777" w:rsidR="00E95A27" w:rsidRDefault="00655E8C">
            <w:pPr>
              <w:ind w:firstLineChars="200" w:firstLine="420"/>
              <w:jc w:val="center"/>
              <w:rPr>
                <w:rFonts w:ascii="Arial" w:hAnsi="Arial" w:cs="Arial"/>
              </w:rPr>
            </w:pPr>
            <w:r>
              <w:rPr>
                <w:rFonts w:ascii="Arial" w:hAnsi="Arial" w:cs="Arial"/>
              </w:rPr>
              <w:t>PE</w:t>
            </w:r>
          </w:p>
        </w:tc>
        <w:tc>
          <w:tcPr>
            <w:tcW w:w="1559" w:type="dxa"/>
            <w:vAlign w:val="center"/>
          </w:tcPr>
          <w:p w14:paraId="24808B89" w14:textId="77777777" w:rsidR="00E95A27" w:rsidRDefault="00655E8C">
            <w:pPr>
              <w:ind w:firstLineChars="200" w:firstLine="420"/>
              <w:jc w:val="center"/>
              <w:rPr>
                <w:rFonts w:ascii="Arial" w:hAnsi="Arial" w:cs="Arial"/>
              </w:rPr>
            </w:pPr>
            <w:r>
              <w:rPr>
                <w:rFonts w:ascii="Arial" w:hAnsi="Arial" w:cs="Arial"/>
              </w:rPr>
              <w:t>H130</w:t>
            </w:r>
          </w:p>
        </w:tc>
        <w:tc>
          <w:tcPr>
            <w:tcW w:w="2086" w:type="dxa"/>
            <w:vAlign w:val="center"/>
          </w:tcPr>
          <w:p w14:paraId="7275D66A"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4B1C5136" w14:textId="77777777">
        <w:trPr>
          <w:jc w:val="center"/>
        </w:trPr>
        <w:tc>
          <w:tcPr>
            <w:tcW w:w="1878" w:type="dxa"/>
            <w:vAlign w:val="center"/>
          </w:tcPr>
          <w:p w14:paraId="4630D261" w14:textId="77777777" w:rsidR="00E95A27" w:rsidRDefault="00655E8C">
            <w:pPr>
              <w:ind w:firstLineChars="200" w:firstLine="420"/>
              <w:jc w:val="center"/>
              <w:rPr>
                <w:rFonts w:ascii="Arial" w:hAnsi="Arial" w:cs="Arial"/>
              </w:rPr>
            </w:pPr>
            <w:r>
              <w:rPr>
                <w:rFonts w:ascii="Arial" w:hAnsi="Arial" w:cs="Arial"/>
              </w:rPr>
              <w:t>CD45RA</w:t>
            </w:r>
          </w:p>
        </w:tc>
        <w:tc>
          <w:tcPr>
            <w:tcW w:w="1843" w:type="dxa"/>
            <w:vAlign w:val="center"/>
          </w:tcPr>
          <w:p w14:paraId="5A03A2D0" w14:textId="77777777" w:rsidR="00E95A27" w:rsidRDefault="00655E8C">
            <w:pPr>
              <w:ind w:firstLineChars="200" w:firstLine="420"/>
              <w:jc w:val="center"/>
              <w:rPr>
                <w:rFonts w:ascii="Arial" w:hAnsi="Arial" w:cs="Arial"/>
              </w:rPr>
            </w:pPr>
            <w:r>
              <w:rPr>
                <w:rFonts w:ascii="Arial" w:hAnsi="Arial" w:cs="Arial"/>
              </w:rPr>
              <w:t>APC</w:t>
            </w:r>
          </w:p>
        </w:tc>
        <w:tc>
          <w:tcPr>
            <w:tcW w:w="1559" w:type="dxa"/>
            <w:vAlign w:val="center"/>
          </w:tcPr>
          <w:p w14:paraId="5889DBA7" w14:textId="77777777" w:rsidR="00E95A27" w:rsidRDefault="00655E8C">
            <w:pPr>
              <w:ind w:firstLineChars="200" w:firstLine="420"/>
              <w:jc w:val="center"/>
              <w:rPr>
                <w:rFonts w:ascii="Arial" w:hAnsi="Arial" w:cs="Arial"/>
              </w:rPr>
            </w:pPr>
            <w:r>
              <w:rPr>
                <w:rFonts w:ascii="Arial" w:hAnsi="Arial" w:cs="Arial"/>
              </w:rPr>
              <w:t>HI100</w:t>
            </w:r>
          </w:p>
        </w:tc>
        <w:tc>
          <w:tcPr>
            <w:tcW w:w="2086" w:type="dxa"/>
            <w:vAlign w:val="center"/>
          </w:tcPr>
          <w:p w14:paraId="3BBC8A8F"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32A083C7" w14:textId="77777777">
        <w:trPr>
          <w:jc w:val="center"/>
        </w:trPr>
        <w:tc>
          <w:tcPr>
            <w:tcW w:w="1878" w:type="dxa"/>
            <w:vAlign w:val="center"/>
          </w:tcPr>
          <w:p w14:paraId="1864667A" w14:textId="77777777" w:rsidR="00E95A27" w:rsidRDefault="00655E8C">
            <w:pPr>
              <w:ind w:firstLineChars="200" w:firstLine="420"/>
              <w:jc w:val="center"/>
              <w:rPr>
                <w:rFonts w:ascii="Arial" w:hAnsi="Arial" w:cs="Arial"/>
              </w:rPr>
            </w:pPr>
            <w:r>
              <w:rPr>
                <w:rFonts w:ascii="Arial" w:hAnsi="Arial" w:cs="Arial"/>
              </w:rPr>
              <w:t>CD45RA</w:t>
            </w:r>
          </w:p>
        </w:tc>
        <w:tc>
          <w:tcPr>
            <w:tcW w:w="1843" w:type="dxa"/>
            <w:vAlign w:val="center"/>
          </w:tcPr>
          <w:p w14:paraId="5EBC1256" w14:textId="77777777" w:rsidR="00E95A27" w:rsidRDefault="00655E8C">
            <w:pPr>
              <w:ind w:firstLineChars="200" w:firstLine="420"/>
              <w:jc w:val="center"/>
              <w:rPr>
                <w:rFonts w:ascii="Arial" w:hAnsi="Arial" w:cs="Arial"/>
              </w:rPr>
            </w:pPr>
            <w:r>
              <w:rPr>
                <w:rFonts w:ascii="Arial" w:hAnsi="Arial" w:cs="Arial"/>
              </w:rPr>
              <w:t>PE-Cy™7</w:t>
            </w:r>
          </w:p>
        </w:tc>
        <w:tc>
          <w:tcPr>
            <w:tcW w:w="1559" w:type="dxa"/>
            <w:vAlign w:val="center"/>
          </w:tcPr>
          <w:p w14:paraId="70185A09" w14:textId="77777777" w:rsidR="00E95A27" w:rsidRDefault="00655E8C">
            <w:pPr>
              <w:ind w:firstLineChars="200" w:firstLine="420"/>
              <w:jc w:val="center"/>
              <w:rPr>
                <w:rFonts w:ascii="Arial" w:hAnsi="Arial" w:cs="Arial"/>
              </w:rPr>
            </w:pPr>
            <w:r>
              <w:rPr>
                <w:rFonts w:ascii="Arial" w:hAnsi="Arial" w:cs="Arial"/>
              </w:rPr>
              <w:t>5H9</w:t>
            </w:r>
          </w:p>
        </w:tc>
        <w:tc>
          <w:tcPr>
            <w:tcW w:w="2086" w:type="dxa"/>
            <w:vAlign w:val="center"/>
          </w:tcPr>
          <w:p w14:paraId="71430194" w14:textId="77777777" w:rsidR="00E95A27" w:rsidRDefault="00655E8C">
            <w:pPr>
              <w:ind w:firstLineChars="200" w:firstLine="420"/>
              <w:jc w:val="center"/>
              <w:rPr>
                <w:rFonts w:ascii="Arial" w:hAnsi="Arial" w:cs="Arial"/>
              </w:rPr>
            </w:pPr>
            <w:r>
              <w:rPr>
                <w:rFonts w:ascii="Arial" w:hAnsi="Arial" w:cs="Arial"/>
              </w:rPr>
              <w:t>BD</w:t>
            </w:r>
          </w:p>
        </w:tc>
      </w:tr>
      <w:tr w:rsidR="00E95A27" w14:paraId="6EE27CF2" w14:textId="77777777">
        <w:trPr>
          <w:jc w:val="center"/>
        </w:trPr>
        <w:tc>
          <w:tcPr>
            <w:tcW w:w="1878" w:type="dxa"/>
            <w:vAlign w:val="center"/>
          </w:tcPr>
          <w:p w14:paraId="52EC2A41" w14:textId="77777777" w:rsidR="00E95A27" w:rsidRDefault="00655E8C">
            <w:pPr>
              <w:ind w:firstLineChars="200" w:firstLine="420"/>
              <w:jc w:val="center"/>
              <w:rPr>
                <w:rFonts w:ascii="Arial" w:hAnsi="Arial" w:cs="Arial"/>
              </w:rPr>
            </w:pPr>
            <w:r>
              <w:rPr>
                <w:rFonts w:ascii="Arial" w:hAnsi="Arial" w:cs="Arial"/>
              </w:rPr>
              <w:t>CCR7</w:t>
            </w:r>
          </w:p>
        </w:tc>
        <w:tc>
          <w:tcPr>
            <w:tcW w:w="1843" w:type="dxa"/>
            <w:vAlign w:val="center"/>
          </w:tcPr>
          <w:p w14:paraId="491DEBF6" w14:textId="77777777" w:rsidR="00E95A27" w:rsidRDefault="00655E8C">
            <w:pPr>
              <w:ind w:firstLineChars="200" w:firstLine="420"/>
              <w:jc w:val="center"/>
              <w:rPr>
                <w:rFonts w:ascii="Arial" w:hAnsi="Arial" w:cs="Arial"/>
              </w:rPr>
            </w:pPr>
            <w:r>
              <w:rPr>
                <w:rFonts w:ascii="Arial" w:hAnsi="Arial" w:cs="Arial"/>
              </w:rPr>
              <w:t>FITC</w:t>
            </w:r>
          </w:p>
        </w:tc>
        <w:tc>
          <w:tcPr>
            <w:tcW w:w="1559" w:type="dxa"/>
            <w:vAlign w:val="center"/>
          </w:tcPr>
          <w:p w14:paraId="1BF208DF" w14:textId="77777777" w:rsidR="00E95A27" w:rsidRDefault="00655E8C">
            <w:pPr>
              <w:ind w:firstLineChars="200" w:firstLine="420"/>
              <w:jc w:val="center"/>
              <w:rPr>
                <w:rFonts w:ascii="Arial" w:hAnsi="Arial" w:cs="Arial"/>
              </w:rPr>
            </w:pPr>
            <w:r>
              <w:rPr>
                <w:rFonts w:ascii="Arial" w:hAnsi="Arial" w:cs="Arial"/>
              </w:rPr>
              <w:t>G043H7</w:t>
            </w:r>
          </w:p>
        </w:tc>
        <w:tc>
          <w:tcPr>
            <w:tcW w:w="2086" w:type="dxa"/>
            <w:vAlign w:val="center"/>
          </w:tcPr>
          <w:p w14:paraId="2F4B17F2"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4A4B3725" w14:textId="77777777">
        <w:trPr>
          <w:jc w:val="center"/>
        </w:trPr>
        <w:tc>
          <w:tcPr>
            <w:tcW w:w="1878" w:type="dxa"/>
            <w:vAlign w:val="center"/>
          </w:tcPr>
          <w:p w14:paraId="01E04E8C" w14:textId="77777777" w:rsidR="00E95A27" w:rsidRDefault="00655E8C">
            <w:pPr>
              <w:ind w:firstLineChars="200" w:firstLine="420"/>
              <w:jc w:val="center"/>
              <w:rPr>
                <w:rFonts w:ascii="Arial" w:hAnsi="Arial" w:cs="Arial"/>
              </w:rPr>
            </w:pPr>
            <w:r>
              <w:rPr>
                <w:rFonts w:ascii="Arial" w:hAnsi="Arial" w:cs="Arial"/>
              </w:rPr>
              <w:t>CCR7</w:t>
            </w:r>
          </w:p>
        </w:tc>
        <w:tc>
          <w:tcPr>
            <w:tcW w:w="1843" w:type="dxa"/>
            <w:vAlign w:val="center"/>
          </w:tcPr>
          <w:p w14:paraId="15320370" w14:textId="77777777" w:rsidR="00E95A27" w:rsidRDefault="00655E8C">
            <w:pPr>
              <w:ind w:firstLineChars="200" w:firstLine="420"/>
              <w:jc w:val="center"/>
              <w:rPr>
                <w:rFonts w:ascii="Arial" w:hAnsi="Arial" w:cs="Arial"/>
              </w:rPr>
            </w:pPr>
            <w:r>
              <w:rPr>
                <w:rFonts w:ascii="Arial" w:hAnsi="Arial" w:cs="Arial"/>
              </w:rPr>
              <w:t>BV421</w:t>
            </w:r>
          </w:p>
        </w:tc>
        <w:tc>
          <w:tcPr>
            <w:tcW w:w="1559" w:type="dxa"/>
            <w:vAlign w:val="center"/>
          </w:tcPr>
          <w:p w14:paraId="3ABAAA78" w14:textId="77777777" w:rsidR="00E95A27" w:rsidRDefault="00655E8C">
            <w:pPr>
              <w:ind w:firstLineChars="200" w:firstLine="420"/>
              <w:jc w:val="center"/>
              <w:rPr>
                <w:rFonts w:ascii="Arial" w:hAnsi="Arial" w:cs="Arial"/>
              </w:rPr>
            </w:pPr>
            <w:r>
              <w:rPr>
                <w:rFonts w:ascii="Arial" w:hAnsi="Arial" w:cs="Arial"/>
              </w:rPr>
              <w:t>150503</w:t>
            </w:r>
          </w:p>
        </w:tc>
        <w:tc>
          <w:tcPr>
            <w:tcW w:w="2086" w:type="dxa"/>
            <w:vAlign w:val="center"/>
          </w:tcPr>
          <w:p w14:paraId="262A92B7" w14:textId="77777777" w:rsidR="00E95A27" w:rsidRDefault="00655E8C">
            <w:pPr>
              <w:ind w:firstLineChars="200" w:firstLine="420"/>
              <w:jc w:val="center"/>
              <w:rPr>
                <w:rFonts w:ascii="Arial" w:hAnsi="Arial" w:cs="Arial"/>
              </w:rPr>
            </w:pPr>
            <w:r>
              <w:rPr>
                <w:rFonts w:ascii="Arial" w:hAnsi="Arial" w:cs="Arial"/>
              </w:rPr>
              <w:t>BD</w:t>
            </w:r>
          </w:p>
        </w:tc>
      </w:tr>
      <w:tr w:rsidR="00E95A27" w14:paraId="5795B85A" w14:textId="77777777">
        <w:trPr>
          <w:jc w:val="center"/>
        </w:trPr>
        <w:tc>
          <w:tcPr>
            <w:tcW w:w="1878" w:type="dxa"/>
            <w:vAlign w:val="center"/>
          </w:tcPr>
          <w:p w14:paraId="428F56EA" w14:textId="77777777" w:rsidR="00E95A27" w:rsidRDefault="00655E8C">
            <w:pPr>
              <w:ind w:firstLineChars="200" w:firstLine="420"/>
              <w:jc w:val="center"/>
              <w:rPr>
                <w:rFonts w:ascii="Arial" w:hAnsi="Arial" w:cs="Arial"/>
              </w:rPr>
            </w:pPr>
            <w:r>
              <w:rPr>
                <w:rFonts w:ascii="Arial" w:hAnsi="Arial" w:cs="Arial"/>
              </w:rPr>
              <w:t>PD-1</w:t>
            </w:r>
          </w:p>
        </w:tc>
        <w:tc>
          <w:tcPr>
            <w:tcW w:w="1843" w:type="dxa"/>
            <w:vAlign w:val="center"/>
          </w:tcPr>
          <w:p w14:paraId="10062BFF" w14:textId="77777777" w:rsidR="00E95A27" w:rsidRDefault="00655E8C">
            <w:pPr>
              <w:ind w:firstLineChars="200" w:firstLine="420"/>
              <w:jc w:val="center"/>
              <w:rPr>
                <w:rFonts w:ascii="Arial" w:hAnsi="Arial" w:cs="Arial"/>
              </w:rPr>
            </w:pPr>
            <w:r>
              <w:rPr>
                <w:rFonts w:ascii="Arial" w:hAnsi="Arial" w:cs="Arial"/>
              </w:rPr>
              <w:t>APC</w:t>
            </w:r>
          </w:p>
        </w:tc>
        <w:tc>
          <w:tcPr>
            <w:tcW w:w="1559" w:type="dxa"/>
            <w:vAlign w:val="center"/>
          </w:tcPr>
          <w:p w14:paraId="57D29912" w14:textId="77777777" w:rsidR="00E95A27" w:rsidRDefault="00655E8C">
            <w:pPr>
              <w:ind w:firstLineChars="200" w:firstLine="420"/>
              <w:jc w:val="center"/>
              <w:rPr>
                <w:rFonts w:ascii="Arial" w:hAnsi="Arial" w:cs="Arial"/>
              </w:rPr>
            </w:pPr>
            <w:r>
              <w:rPr>
                <w:rFonts w:ascii="Arial" w:hAnsi="Arial" w:cs="Arial"/>
              </w:rPr>
              <w:t>A17188B</w:t>
            </w:r>
          </w:p>
        </w:tc>
        <w:tc>
          <w:tcPr>
            <w:tcW w:w="2086" w:type="dxa"/>
            <w:vAlign w:val="center"/>
          </w:tcPr>
          <w:p w14:paraId="454733A9"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2E132047" w14:textId="77777777">
        <w:trPr>
          <w:jc w:val="center"/>
        </w:trPr>
        <w:tc>
          <w:tcPr>
            <w:tcW w:w="1878" w:type="dxa"/>
            <w:vAlign w:val="center"/>
          </w:tcPr>
          <w:p w14:paraId="25CE4C5C" w14:textId="77777777" w:rsidR="00E95A27" w:rsidRDefault="00655E8C">
            <w:pPr>
              <w:ind w:firstLineChars="200" w:firstLine="420"/>
              <w:jc w:val="center"/>
              <w:rPr>
                <w:rFonts w:ascii="Arial" w:hAnsi="Arial" w:cs="Arial"/>
              </w:rPr>
            </w:pPr>
            <w:r>
              <w:rPr>
                <w:rFonts w:ascii="Arial" w:hAnsi="Arial" w:cs="Arial"/>
              </w:rPr>
              <w:t>PD-1</w:t>
            </w:r>
          </w:p>
        </w:tc>
        <w:tc>
          <w:tcPr>
            <w:tcW w:w="1843" w:type="dxa"/>
            <w:vAlign w:val="center"/>
          </w:tcPr>
          <w:p w14:paraId="76541BF7" w14:textId="77777777" w:rsidR="00E95A27" w:rsidRDefault="00655E8C">
            <w:pPr>
              <w:ind w:firstLineChars="200" w:firstLine="420"/>
              <w:jc w:val="center"/>
              <w:rPr>
                <w:rFonts w:ascii="Arial" w:hAnsi="Arial" w:cs="Arial"/>
              </w:rPr>
            </w:pPr>
            <w:r>
              <w:rPr>
                <w:rFonts w:ascii="Arial" w:hAnsi="Arial" w:cs="Arial"/>
              </w:rPr>
              <w:t>PE</w:t>
            </w:r>
          </w:p>
        </w:tc>
        <w:tc>
          <w:tcPr>
            <w:tcW w:w="1559" w:type="dxa"/>
            <w:vAlign w:val="center"/>
          </w:tcPr>
          <w:p w14:paraId="13C1DBED" w14:textId="77777777" w:rsidR="00E95A27" w:rsidRDefault="00655E8C">
            <w:pPr>
              <w:ind w:firstLineChars="200" w:firstLine="420"/>
              <w:jc w:val="center"/>
              <w:rPr>
                <w:rFonts w:ascii="Arial" w:hAnsi="Arial" w:cs="Arial"/>
              </w:rPr>
            </w:pPr>
            <w:r>
              <w:rPr>
                <w:rFonts w:ascii="Arial" w:hAnsi="Arial" w:cs="Arial"/>
              </w:rPr>
              <w:t>A17188B</w:t>
            </w:r>
          </w:p>
        </w:tc>
        <w:tc>
          <w:tcPr>
            <w:tcW w:w="2086" w:type="dxa"/>
            <w:vAlign w:val="center"/>
          </w:tcPr>
          <w:p w14:paraId="0F1EDD0E"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31DC0AF1" w14:textId="77777777">
        <w:trPr>
          <w:jc w:val="center"/>
        </w:trPr>
        <w:tc>
          <w:tcPr>
            <w:tcW w:w="1878" w:type="dxa"/>
            <w:vAlign w:val="center"/>
          </w:tcPr>
          <w:p w14:paraId="2ECA147E" w14:textId="77777777" w:rsidR="00E95A27" w:rsidRDefault="00655E8C">
            <w:pPr>
              <w:ind w:firstLineChars="200" w:firstLine="420"/>
              <w:jc w:val="center"/>
              <w:rPr>
                <w:rFonts w:ascii="Arial" w:hAnsi="Arial" w:cs="Arial"/>
              </w:rPr>
            </w:pPr>
            <w:r>
              <w:rPr>
                <w:rFonts w:ascii="Arial" w:hAnsi="Arial" w:cs="Arial"/>
              </w:rPr>
              <w:t>CTLA-4</w:t>
            </w:r>
          </w:p>
        </w:tc>
        <w:tc>
          <w:tcPr>
            <w:tcW w:w="1843" w:type="dxa"/>
            <w:vAlign w:val="center"/>
          </w:tcPr>
          <w:p w14:paraId="1980F14E" w14:textId="77777777" w:rsidR="00E95A27" w:rsidRDefault="00655E8C">
            <w:pPr>
              <w:ind w:firstLineChars="200" w:firstLine="420"/>
              <w:jc w:val="center"/>
              <w:rPr>
                <w:rFonts w:ascii="Arial" w:hAnsi="Arial" w:cs="Arial"/>
              </w:rPr>
            </w:pPr>
            <w:r>
              <w:rPr>
                <w:rFonts w:ascii="Arial" w:hAnsi="Arial" w:cs="Arial"/>
              </w:rPr>
              <w:t>BV421</w:t>
            </w:r>
          </w:p>
        </w:tc>
        <w:tc>
          <w:tcPr>
            <w:tcW w:w="1559" w:type="dxa"/>
            <w:vAlign w:val="center"/>
          </w:tcPr>
          <w:p w14:paraId="02B5F46A" w14:textId="77777777" w:rsidR="00E95A27" w:rsidRDefault="00655E8C">
            <w:pPr>
              <w:ind w:firstLineChars="200" w:firstLine="420"/>
              <w:jc w:val="center"/>
              <w:rPr>
                <w:rFonts w:ascii="Arial" w:hAnsi="Arial" w:cs="Arial"/>
              </w:rPr>
            </w:pPr>
            <w:r>
              <w:rPr>
                <w:rFonts w:ascii="Arial" w:hAnsi="Arial" w:cs="Arial"/>
              </w:rPr>
              <w:t>BNI3</w:t>
            </w:r>
          </w:p>
        </w:tc>
        <w:tc>
          <w:tcPr>
            <w:tcW w:w="2086" w:type="dxa"/>
            <w:vAlign w:val="center"/>
          </w:tcPr>
          <w:p w14:paraId="196E2708"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75FFD10E" w14:textId="77777777">
        <w:trPr>
          <w:jc w:val="center"/>
        </w:trPr>
        <w:tc>
          <w:tcPr>
            <w:tcW w:w="1878" w:type="dxa"/>
            <w:vAlign w:val="center"/>
          </w:tcPr>
          <w:p w14:paraId="619C9066" w14:textId="77777777" w:rsidR="00E95A27" w:rsidRDefault="00655E8C">
            <w:pPr>
              <w:ind w:firstLineChars="200" w:firstLine="420"/>
              <w:jc w:val="center"/>
              <w:rPr>
                <w:rFonts w:ascii="Arial" w:hAnsi="Arial" w:cs="Arial"/>
              </w:rPr>
            </w:pPr>
            <w:r>
              <w:rPr>
                <w:rFonts w:ascii="Arial" w:hAnsi="Arial" w:cs="Arial"/>
              </w:rPr>
              <w:t>LAG-3</w:t>
            </w:r>
          </w:p>
        </w:tc>
        <w:tc>
          <w:tcPr>
            <w:tcW w:w="1843" w:type="dxa"/>
            <w:vAlign w:val="center"/>
          </w:tcPr>
          <w:p w14:paraId="4E5C7285" w14:textId="77777777" w:rsidR="00E95A27" w:rsidRDefault="00655E8C">
            <w:pPr>
              <w:ind w:firstLineChars="200" w:firstLine="420"/>
              <w:jc w:val="center"/>
              <w:rPr>
                <w:rFonts w:ascii="Arial" w:hAnsi="Arial" w:cs="Arial"/>
              </w:rPr>
            </w:pPr>
            <w:r>
              <w:rPr>
                <w:rFonts w:ascii="Arial" w:hAnsi="Arial" w:cs="Arial"/>
              </w:rPr>
              <w:t>FITC</w:t>
            </w:r>
          </w:p>
        </w:tc>
        <w:tc>
          <w:tcPr>
            <w:tcW w:w="1559" w:type="dxa"/>
            <w:vAlign w:val="center"/>
          </w:tcPr>
          <w:p w14:paraId="4BA22D82" w14:textId="77777777" w:rsidR="00E95A27" w:rsidRDefault="00655E8C">
            <w:pPr>
              <w:ind w:firstLineChars="200" w:firstLine="420"/>
              <w:jc w:val="center"/>
              <w:rPr>
                <w:rFonts w:ascii="Arial" w:hAnsi="Arial" w:cs="Arial"/>
              </w:rPr>
            </w:pPr>
            <w:r>
              <w:rPr>
                <w:rFonts w:ascii="Arial" w:hAnsi="Arial" w:cs="Arial"/>
              </w:rPr>
              <w:t>7H2C65</w:t>
            </w:r>
          </w:p>
        </w:tc>
        <w:tc>
          <w:tcPr>
            <w:tcW w:w="2086" w:type="dxa"/>
            <w:vAlign w:val="center"/>
          </w:tcPr>
          <w:p w14:paraId="27B8C239"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5ECBCBC0" w14:textId="77777777">
        <w:trPr>
          <w:jc w:val="center"/>
        </w:trPr>
        <w:tc>
          <w:tcPr>
            <w:tcW w:w="1878" w:type="dxa"/>
            <w:vAlign w:val="center"/>
          </w:tcPr>
          <w:p w14:paraId="720409CF" w14:textId="77777777" w:rsidR="00E95A27" w:rsidRDefault="00655E8C">
            <w:pPr>
              <w:ind w:firstLineChars="200" w:firstLine="420"/>
              <w:jc w:val="center"/>
              <w:rPr>
                <w:rFonts w:ascii="Arial" w:hAnsi="Arial" w:cs="Arial"/>
              </w:rPr>
            </w:pPr>
            <w:r>
              <w:rPr>
                <w:rFonts w:ascii="Arial" w:hAnsi="Arial" w:cs="Arial"/>
              </w:rPr>
              <w:t>TIM-3</w:t>
            </w:r>
          </w:p>
        </w:tc>
        <w:tc>
          <w:tcPr>
            <w:tcW w:w="1843" w:type="dxa"/>
            <w:vAlign w:val="center"/>
          </w:tcPr>
          <w:p w14:paraId="1FF930A1" w14:textId="77777777" w:rsidR="00E95A27" w:rsidRDefault="00655E8C">
            <w:pPr>
              <w:ind w:firstLineChars="200" w:firstLine="420"/>
              <w:jc w:val="center"/>
              <w:rPr>
                <w:rFonts w:ascii="Arial" w:hAnsi="Arial" w:cs="Arial"/>
              </w:rPr>
            </w:pPr>
            <w:r>
              <w:rPr>
                <w:rFonts w:ascii="Arial" w:hAnsi="Arial" w:cs="Arial"/>
              </w:rPr>
              <w:t>FITC</w:t>
            </w:r>
          </w:p>
        </w:tc>
        <w:tc>
          <w:tcPr>
            <w:tcW w:w="1559" w:type="dxa"/>
            <w:vAlign w:val="center"/>
          </w:tcPr>
          <w:p w14:paraId="35CB4FA7" w14:textId="77777777" w:rsidR="00E95A27" w:rsidRDefault="00655E8C">
            <w:pPr>
              <w:ind w:firstLineChars="200" w:firstLine="420"/>
              <w:jc w:val="center"/>
              <w:rPr>
                <w:rFonts w:ascii="Arial" w:hAnsi="Arial" w:cs="Arial"/>
              </w:rPr>
            </w:pPr>
            <w:r>
              <w:rPr>
                <w:rFonts w:ascii="Arial" w:hAnsi="Arial" w:cs="Arial"/>
              </w:rPr>
              <w:t>F38-2F2</w:t>
            </w:r>
          </w:p>
        </w:tc>
        <w:tc>
          <w:tcPr>
            <w:tcW w:w="2086" w:type="dxa"/>
            <w:vAlign w:val="center"/>
          </w:tcPr>
          <w:p w14:paraId="53BB983A"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45A36789" w14:textId="77777777">
        <w:trPr>
          <w:jc w:val="center"/>
        </w:trPr>
        <w:tc>
          <w:tcPr>
            <w:tcW w:w="1878" w:type="dxa"/>
            <w:vAlign w:val="center"/>
          </w:tcPr>
          <w:p w14:paraId="4B54670E" w14:textId="77777777" w:rsidR="00E95A27" w:rsidRDefault="00655E8C">
            <w:pPr>
              <w:ind w:firstLineChars="200" w:firstLine="420"/>
              <w:jc w:val="center"/>
              <w:rPr>
                <w:rFonts w:ascii="Arial" w:hAnsi="Arial" w:cs="Arial"/>
              </w:rPr>
            </w:pPr>
            <w:r>
              <w:rPr>
                <w:rFonts w:ascii="Arial" w:hAnsi="Arial" w:cs="Arial"/>
              </w:rPr>
              <w:t>CD99</w:t>
            </w:r>
          </w:p>
        </w:tc>
        <w:tc>
          <w:tcPr>
            <w:tcW w:w="1843" w:type="dxa"/>
            <w:vAlign w:val="center"/>
          </w:tcPr>
          <w:p w14:paraId="000269EB" w14:textId="77777777" w:rsidR="00E95A27" w:rsidRDefault="00655E8C">
            <w:pPr>
              <w:ind w:firstLineChars="200" w:firstLine="420"/>
              <w:jc w:val="center"/>
              <w:rPr>
                <w:rFonts w:ascii="Arial" w:hAnsi="Arial" w:cs="Arial"/>
              </w:rPr>
            </w:pPr>
            <w:r>
              <w:rPr>
                <w:rFonts w:ascii="Arial" w:hAnsi="Arial" w:cs="Arial"/>
              </w:rPr>
              <w:t>FITC</w:t>
            </w:r>
          </w:p>
        </w:tc>
        <w:tc>
          <w:tcPr>
            <w:tcW w:w="1559" w:type="dxa"/>
            <w:vAlign w:val="center"/>
          </w:tcPr>
          <w:p w14:paraId="77A60A13" w14:textId="77777777" w:rsidR="00E95A27" w:rsidRDefault="00655E8C">
            <w:pPr>
              <w:ind w:firstLineChars="200" w:firstLine="420"/>
              <w:jc w:val="center"/>
              <w:rPr>
                <w:rFonts w:ascii="Arial" w:hAnsi="Arial" w:cs="Arial"/>
              </w:rPr>
            </w:pPr>
            <w:r>
              <w:rPr>
                <w:rFonts w:ascii="Arial" w:hAnsi="Arial" w:cs="Arial"/>
              </w:rPr>
              <w:t>3B2/TA8</w:t>
            </w:r>
          </w:p>
        </w:tc>
        <w:tc>
          <w:tcPr>
            <w:tcW w:w="2086" w:type="dxa"/>
            <w:vAlign w:val="center"/>
          </w:tcPr>
          <w:p w14:paraId="37DD7377"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5522C7D1" w14:textId="77777777">
        <w:trPr>
          <w:jc w:val="center"/>
        </w:trPr>
        <w:tc>
          <w:tcPr>
            <w:tcW w:w="1878" w:type="dxa"/>
            <w:vAlign w:val="center"/>
          </w:tcPr>
          <w:p w14:paraId="28C7BB4D" w14:textId="77777777" w:rsidR="00E95A27" w:rsidRDefault="00655E8C">
            <w:pPr>
              <w:ind w:firstLineChars="200" w:firstLine="420"/>
              <w:jc w:val="center"/>
              <w:rPr>
                <w:rFonts w:ascii="Arial" w:hAnsi="Arial" w:cs="Arial"/>
              </w:rPr>
            </w:pPr>
            <w:r>
              <w:rPr>
                <w:rFonts w:ascii="Arial" w:hAnsi="Arial" w:cs="Arial"/>
              </w:rPr>
              <w:t>CD99</w:t>
            </w:r>
          </w:p>
        </w:tc>
        <w:tc>
          <w:tcPr>
            <w:tcW w:w="1843" w:type="dxa"/>
            <w:vAlign w:val="center"/>
          </w:tcPr>
          <w:p w14:paraId="11694C39" w14:textId="77777777" w:rsidR="00E95A27" w:rsidRDefault="00655E8C">
            <w:pPr>
              <w:ind w:firstLineChars="200" w:firstLine="420"/>
              <w:jc w:val="center"/>
              <w:rPr>
                <w:rFonts w:ascii="Arial" w:hAnsi="Arial" w:cs="Arial"/>
              </w:rPr>
            </w:pPr>
            <w:r>
              <w:rPr>
                <w:rFonts w:ascii="Arial" w:hAnsi="Arial" w:cs="Arial"/>
              </w:rPr>
              <w:t>PE</w:t>
            </w:r>
          </w:p>
        </w:tc>
        <w:tc>
          <w:tcPr>
            <w:tcW w:w="1559" w:type="dxa"/>
            <w:vAlign w:val="center"/>
          </w:tcPr>
          <w:p w14:paraId="0F9DD29E" w14:textId="77777777" w:rsidR="00E95A27" w:rsidRDefault="00655E8C">
            <w:pPr>
              <w:ind w:firstLineChars="200" w:firstLine="420"/>
              <w:jc w:val="center"/>
              <w:rPr>
                <w:rFonts w:ascii="Arial" w:hAnsi="Arial" w:cs="Arial"/>
              </w:rPr>
            </w:pPr>
            <w:r>
              <w:rPr>
                <w:rFonts w:ascii="Arial" w:hAnsi="Arial" w:cs="Arial"/>
              </w:rPr>
              <w:t>TU12</w:t>
            </w:r>
          </w:p>
        </w:tc>
        <w:tc>
          <w:tcPr>
            <w:tcW w:w="2086" w:type="dxa"/>
            <w:vAlign w:val="center"/>
          </w:tcPr>
          <w:p w14:paraId="34A5BBCF" w14:textId="77777777" w:rsidR="00E95A27" w:rsidRDefault="00655E8C">
            <w:pPr>
              <w:ind w:firstLineChars="200" w:firstLine="420"/>
              <w:jc w:val="center"/>
              <w:rPr>
                <w:rFonts w:ascii="Arial" w:hAnsi="Arial" w:cs="Arial"/>
              </w:rPr>
            </w:pPr>
            <w:r>
              <w:rPr>
                <w:rFonts w:ascii="Arial" w:hAnsi="Arial" w:cs="Arial"/>
              </w:rPr>
              <w:t>BD</w:t>
            </w:r>
          </w:p>
        </w:tc>
      </w:tr>
      <w:tr w:rsidR="00E95A27" w14:paraId="59885B07" w14:textId="77777777">
        <w:trPr>
          <w:jc w:val="center"/>
        </w:trPr>
        <w:tc>
          <w:tcPr>
            <w:tcW w:w="1878" w:type="dxa"/>
            <w:vAlign w:val="center"/>
          </w:tcPr>
          <w:p w14:paraId="3258920A" w14:textId="77777777" w:rsidR="00E95A27" w:rsidRDefault="00655E8C">
            <w:pPr>
              <w:ind w:firstLineChars="200" w:firstLine="420"/>
              <w:jc w:val="center"/>
              <w:rPr>
                <w:rFonts w:ascii="Arial" w:hAnsi="Arial" w:cs="Arial"/>
              </w:rPr>
            </w:pPr>
            <w:r>
              <w:rPr>
                <w:rFonts w:ascii="Arial" w:hAnsi="Arial" w:cs="Arial"/>
              </w:rPr>
              <w:t>CD99</w:t>
            </w:r>
          </w:p>
        </w:tc>
        <w:tc>
          <w:tcPr>
            <w:tcW w:w="1843" w:type="dxa"/>
            <w:vAlign w:val="center"/>
          </w:tcPr>
          <w:p w14:paraId="0AE75FCE" w14:textId="77777777" w:rsidR="00E95A27" w:rsidRDefault="00655E8C">
            <w:pPr>
              <w:ind w:firstLineChars="200" w:firstLine="420"/>
              <w:jc w:val="center"/>
              <w:rPr>
                <w:rFonts w:ascii="Arial" w:hAnsi="Arial" w:cs="Arial"/>
              </w:rPr>
            </w:pPr>
            <w:r>
              <w:rPr>
                <w:rFonts w:ascii="Arial" w:hAnsi="Arial" w:cs="Arial"/>
              </w:rPr>
              <w:t>/</w:t>
            </w:r>
          </w:p>
        </w:tc>
        <w:tc>
          <w:tcPr>
            <w:tcW w:w="1559" w:type="dxa"/>
            <w:vAlign w:val="center"/>
          </w:tcPr>
          <w:p w14:paraId="695310F7" w14:textId="77777777" w:rsidR="00E95A27" w:rsidRDefault="00655E8C">
            <w:pPr>
              <w:ind w:firstLineChars="200" w:firstLine="420"/>
              <w:jc w:val="center"/>
              <w:rPr>
                <w:rFonts w:ascii="Arial" w:hAnsi="Arial" w:cs="Arial"/>
              </w:rPr>
            </w:pPr>
            <w:r>
              <w:rPr>
                <w:rFonts w:ascii="Arial" w:hAnsi="Arial" w:cs="Arial"/>
              </w:rPr>
              <w:t>12E7</w:t>
            </w:r>
          </w:p>
        </w:tc>
        <w:tc>
          <w:tcPr>
            <w:tcW w:w="2086" w:type="dxa"/>
            <w:vAlign w:val="center"/>
          </w:tcPr>
          <w:p w14:paraId="32BEB73D" w14:textId="77777777" w:rsidR="00E95A27" w:rsidRDefault="00655E8C">
            <w:pPr>
              <w:ind w:firstLineChars="200" w:firstLine="420"/>
              <w:jc w:val="center"/>
              <w:rPr>
                <w:rFonts w:ascii="Arial" w:hAnsi="Arial" w:cs="Arial"/>
              </w:rPr>
            </w:pPr>
            <w:r>
              <w:rPr>
                <w:rFonts w:ascii="Arial" w:hAnsi="Arial" w:cs="Arial"/>
              </w:rPr>
              <w:t>Abcam</w:t>
            </w:r>
          </w:p>
        </w:tc>
      </w:tr>
      <w:tr w:rsidR="00E95A27" w14:paraId="17C76F6E" w14:textId="77777777">
        <w:trPr>
          <w:jc w:val="center"/>
        </w:trPr>
        <w:tc>
          <w:tcPr>
            <w:tcW w:w="1878" w:type="dxa"/>
            <w:vAlign w:val="center"/>
          </w:tcPr>
          <w:p w14:paraId="5F18FA67" w14:textId="77777777" w:rsidR="00E95A27" w:rsidRDefault="00655E8C">
            <w:pPr>
              <w:ind w:firstLineChars="200" w:firstLine="420"/>
              <w:jc w:val="center"/>
              <w:rPr>
                <w:rFonts w:ascii="Arial" w:hAnsi="Arial" w:cs="Arial"/>
              </w:rPr>
            </w:pPr>
            <w:r>
              <w:rPr>
                <w:rFonts w:ascii="Arial" w:hAnsi="Arial" w:cs="Arial"/>
              </w:rPr>
              <w:t>CD99</w:t>
            </w:r>
          </w:p>
        </w:tc>
        <w:tc>
          <w:tcPr>
            <w:tcW w:w="1843" w:type="dxa"/>
            <w:vAlign w:val="center"/>
          </w:tcPr>
          <w:p w14:paraId="5C4B199B" w14:textId="77777777" w:rsidR="00E95A27" w:rsidRDefault="00655E8C">
            <w:pPr>
              <w:ind w:firstLineChars="200" w:firstLine="420"/>
              <w:jc w:val="center"/>
              <w:rPr>
                <w:rFonts w:ascii="Arial" w:hAnsi="Arial" w:cs="Arial"/>
              </w:rPr>
            </w:pPr>
            <w:r>
              <w:rPr>
                <w:rFonts w:ascii="Arial" w:hAnsi="Arial" w:cs="Arial"/>
              </w:rPr>
              <w:t>/</w:t>
            </w:r>
          </w:p>
        </w:tc>
        <w:tc>
          <w:tcPr>
            <w:tcW w:w="1559" w:type="dxa"/>
            <w:vAlign w:val="center"/>
          </w:tcPr>
          <w:p w14:paraId="4822477E" w14:textId="77777777" w:rsidR="00E95A27" w:rsidRDefault="00655E8C">
            <w:pPr>
              <w:ind w:firstLineChars="200" w:firstLine="420"/>
              <w:jc w:val="center"/>
              <w:rPr>
                <w:rFonts w:ascii="Arial" w:hAnsi="Arial" w:cs="Arial"/>
              </w:rPr>
            </w:pPr>
            <w:r>
              <w:rPr>
                <w:rFonts w:ascii="Arial" w:hAnsi="Arial" w:cs="Arial"/>
              </w:rPr>
              <w:t>1021527</w:t>
            </w:r>
          </w:p>
        </w:tc>
        <w:tc>
          <w:tcPr>
            <w:tcW w:w="2086" w:type="dxa"/>
            <w:vAlign w:val="center"/>
          </w:tcPr>
          <w:p w14:paraId="661D9419" w14:textId="77777777" w:rsidR="00E95A27" w:rsidRDefault="00655E8C">
            <w:pPr>
              <w:ind w:firstLineChars="200" w:firstLine="420"/>
              <w:jc w:val="center"/>
              <w:rPr>
                <w:rFonts w:ascii="Arial" w:hAnsi="Arial" w:cs="Arial"/>
              </w:rPr>
            </w:pPr>
            <w:r>
              <w:rPr>
                <w:rFonts w:ascii="Arial" w:hAnsi="Arial" w:cs="Arial"/>
              </w:rPr>
              <w:t>R&amp;D</w:t>
            </w:r>
          </w:p>
        </w:tc>
      </w:tr>
      <w:tr w:rsidR="00E95A27" w14:paraId="383CD961" w14:textId="77777777">
        <w:trPr>
          <w:jc w:val="center"/>
        </w:trPr>
        <w:tc>
          <w:tcPr>
            <w:tcW w:w="1878" w:type="dxa"/>
            <w:vAlign w:val="center"/>
          </w:tcPr>
          <w:p w14:paraId="590A9B76" w14:textId="77777777" w:rsidR="00E95A27" w:rsidRDefault="00655E8C">
            <w:pPr>
              <w:ind w:firstLineChars="200" w:firstLine="420"/>
              <w:jc w:val="center"/>
              <w:rPr>
                <w:rFonts w:ascii="Arial" w:hAnsi="Arial" w:cs="Arial"/>
              </w:rPr>
            </w:pPr>
            <w:r>
              <w:rPr>
                <w:rFonts w:ascii="Arial" w:hAnsi="Arial" w:cs="Arial"/>
              </w:rPr>
              <w:t>STREP II</w:t>
            </w:r>
          </w:p>
        </w:tc>
        <w:tc>
          <w:tcPr>
            <w:tcW w:w="1843" w:type="dxa"/>
            <w:vAlign w:val="center"/>
          </w:tcPr>
          <w:p w14:paraId="06FAE92B" w14:textId="77777777" w:rsidR="00E95A27" w:rsidRDefault="00655E8C">
            <w:pPr>
              <w:ind w:firstLineChars="200" w:firstLine="420"/>
              <w:jc w:val="center"/>
              <w:rPr>
                <w:rFonts w:ascii="Arial" w:hAnsi="Arial" w:cs="Arial"/>
              </w:rPr>
            </w:pPr>
            <w:r>
              <w:rPr>
                <w:rFonts w:ascii="Arial" w:hAnsi="Arial" w:cs="Arial"/>
              </w:rPr>
              <w:t>FITC</w:t>
            </w:r>
          </w:p>
        </w:tc>
        <w:tc>
          <w:tcPr>
            <w:tcW w:w="1559" w:type="dxa"/>
            <w:vAlign w:val="center"/>
          </w:tcPr>
          <w:p w14:paraId="62CFCE4B" w14:textId="77777777" w:rsidR="00E95A27" w:rsidRDefault="00655E8C">
            <w:pPr>
              <w:ind w:firstLineChars="200" w:firstLine="420"/>
              <w:jc w:val="center"/>
              <w:rPr>
                <w:rFonts w:ascii="Arial" w:hAnsi="Arial" w:cs="Arial"/>
              </w:rPr>
            </w:pPr>
            <w:r>
              <w:rPr>
                <w:rFonts w:ascii="Arial" w:hAnsi="Arial" w:cs="Arial"/>
              </w:rPr>
              <w:t>5A9F9</w:t>
            </w:r>
          </w:p>
        </w:tc>
        <w:tc>
          <w:tcPr>
            <w:tcW w:w="2086" w:type="dxa"/>
            <w:vAlign w:val="center"/>
          </w:tcPr>
          <w:p w14:paraId="5929EB83" w14:textId="77777777" w:rsidR="00E95A27" w:rsidRDefault="00655E8C">
            <w:pPr>
              <w:ind w:firstLineChars="200" w:firstLine="420"/>
              <w:jc w:val="center"/>
              <w:rPr>
                <w:rFonts w:ascii="Arial" w:hAnsi="Arial" w:cs="Arial"/>
              </w:rPr>
            </w:pPr>
            <w:proofErr w:type="spellStart"/>
            <w:r>
              <w:rPr>
                <w:rFonts w:ascii="Arial" w:hAnsi="Arial" w:cs="Arial"/>
              </w:rPr>
              <w:t>GenScript</w:t>
            </w:r>
            <w:proofErr w:type="spellEnd"/>
          </w:p>
        </w:tc>
      </w:tr>
      <w:tr w:rsidR="00E95A27" w14:paraId="0D4757C5" w14:textId="77777777">
        <w:trPr>
          <w:jc w:val="center"/>
        </w:trPr>
        <w:tc>
          <w:tcPr>
            <w:tcW w:w="1878" w:type="dxa"/>
            <w:vAlign w:val="center"/>
          </w:tcPr>
          <w:p w14:paraId="116C4172" w14:textId="77777777" w:rsidR="00E95A27" w:rsidRDefault="00655E8C">
            <w:pPr>
              <w:ind w:firstLineChars="200" w:firstLine="420"/>
              <w:jc w:val="center"/>
              <w:rPr>
                <w:rFonts w:ascii="Arial" w:hAnsi="Arial" w:cs="Arial"/>
              </w:rPr>
            </w:pPr>
            <w:r>
              <w:rPr>
                <w:rFonts w:ascii="Arial" w:hAnsi="Arial" w:cs="Arial"/>
              </w:rPr>
              <w:t>7-AAD</w:t>
            </w:r>
          </w:p>
        </w:tc>
        <w:tc>
          <w:tcPr>
            <w:tcW w:w="1843" w:type="dxa"/>
            <w:vAlign w:val="center"/>
          </w:tcPr>
          <w:p w14:paraId="011778C7" w14:textId="77777777" w:rsidR="00E95A27" w:rsidRDefault="00655E8C">
            <w:pPr>
              <w:ind w:firstLineChars="200" w:firstLine="420"/>
              <w:jc w:val="center"/>
              <w:rPr>
                <w:rFonts w:ascii="Arial" w:hAnsi="Arial" w:cs="Arial"/>
              </w:rPr>
            </w:pPr>
            <w:proofErr w:type="spellStart"/>
            <w:r>
              <w:rPr>
                <w:rFonts w:ascii="Arial" w:hAnsi="Arial" w:cs="Arial"/>
              </w:rPr>
              <w:t>PerCP</w:t>
            </w:r>
            <w:proofErr w:type="spellEnd"/>
          </w:p>
        </w:tc>
        <w:tc>
          <w:tcPr>
            <w:tcW w:w="1559" w:type="dxa"/>
            <w:vAlign w:val="center"/>
          </w:tcPr>
          <w:p w14:paraId="7C810CE8" w14:textId="77777777" w:rsidR="00E95A27" w:rsidRDefault="00655E8C">
            <w:pPr>
              <w:ind w:firstLineChars="200" w:firstLine="420"/>
              <w:jc w:val="center"/>
              <w:rPr>
                <w:rFonts w:ascii="Arial" w:hAnsi="Arial" w:cs="Arial"/>
              </w:rPr>
            </w:pPr>
            <w:r>
              <w:rPr>
                <w:rFonts w:ascii="Arial" w:hAnsi="Arial" w:cs="Arial"/>
              </w:rPr>
              <w:t>/</w:t>
            </w:r>
          </w:p>
        </w:tc>
        <w:tc>
          <w:tcPr>
            <w:tcW w:w="2086" w:type="dxa"/>
            <w:vAlign w:val="center"/>
          </w:tcPr>
          <w:p w14:paraId="7DD91D56" w14:textId="77777777" w:rsidR="00E95A27" w:rsidRDefault="00655E8C">
            <w:pPr>
              <w:ind w:firstLineChars="200" w:firstLine="420"/>
              <w:jc w:val="center"/>
              <w:rPr>
                <w:rFonts w:ascii="Arial" w:hAnsi="Arial" w:cs="Arial"/>
              </w:rPr>
            </w:pPr>
            <w:proofErr w:type="spellStart"/>
            <w:r>
              <w:rPr>
                <w:rFonts w:ascii="Arial" w:hAnsi="Arial" w:cs="Arial"/>
              </w:rPr>
              <w:t>Biolegend</w:t>
            </w:r>
            <w:proofErr w:type="spellEnd"/>
          </w:p>
        </w:tc>
      </w:tr>
      <w:tr w:rsidR="00E95A27" w14:paraId="3BFBC7BC" w14:textId="77777777">
        <w:trPr>
          <w:trHeight w:val="680"/>
          <w:jc w:val="center"/>
        </w:trPr>
        <w:tc>
          <w:tcPr>
            <w:tcW w:w="1878" w:type="dxa"/>
            <w:vAlign w:val="center"/>
          </w:tcPr>
          <w:p w14:paraId="04FEC6DC" w14:textId="77777777" w:rsidR="00E95A27" w:rsidRDefault="00655E8C">
            <w:pPr>
              <w:ind w:firstLineChars="200" w:firstLine="420"/>
              <w:jc w:val="center"/>
              <w:rPr>
                <w:rFonts w:ascii="Arial" w:hAnsi="Arial" w:cs="Arial"/>
                <w:szCs w:val="21"/>
              </w:rPr>
            </w:pPr>
            <w:r>
              <w:rPr>
                <w:rFonts w:ascii="Arial" w:hAnsi="Arial" w:cs="Arial"/>
                <w:szCs w:val="21"/>
              </w:rPr>
              <w:t>Goat Anti-Mouse IgG (H+L)</w:t>
            </w:r>
          </w:p>
        </w:tc>
        <w:tc>
          <w:tcPr>
            <w:tcW w:w="1843" w:type="dxa"/>
            <w:vAlign w:val="center"/>
          </w:tcPr>
          <w:p w14:paraId="3D1F926E" w14:textId="77777777" w:rsidR="00E95A27" w:rsidRDefault="00655E8C">
            <w:pPr>
              <w:ind w:firstLineChars="200" w:firstLine="420"/>
              <w:jc w:val="center"/>
              <w:rPr>
                <w:rFonts w:ascii="Arial" w:hAnsi="Arial" w:cs="Arial"/>
              </w:rPr>
            </w:pPr>
            <w:r>
              <w:rPr>
                <w:rFonts w:ascii="Arial" w:hAnsi="Arial" w:cs="Arial"/>
              </w:rPr>
              <w:t>FITC</w:t>
            </w:r>
          </w:p>
        </w:tc>
        <w:tc>
          <w:tcPr>
            <w:tcW w:w="1559" w:type="dxa"/>
            <w:vAlign w:val="center"/>
          </w:tcPr>
          <w:p w14:paraId="7F415BC0" w14:textId="77777777" w:rsidR="00E95A27" w:rsidRDefault="00E95A27">
            <w:pPr>
              <w:ind w:firstLineChars="200" w:firstLine="420"/>
              <w:jc w:val="center"/>
              <w:rPr>
                <w:rFonts w:ascii="Arial" w:hAnsi="Arial" w:cs="Arial"/>
              </w:rPr>
            </w:pPr>
          </w:p>
        </w:tc>
        <w:tc>
          <w:tcPr>
            <w:tcW w:w="2086" w:type="dxa"/>
            <w:vAlign w:val="center"/>
          </w:tcPr>
          <w:p w14:paraId="0969D422" w14:textId="77777777" w:rsidR="00E95A27" w:rsidRDefault="00655E8C">
            <w:pPr>
              <w:ind w:firstLineChars="200" w:firstLine="420"/>
              <w:jc w:val="center"/>
              <w:rPr>
                <w:rFonts w:ascii="Arial" w:hAnsi="Arial" w:cs="Arial"/>
              </w:rPr>
            </w:pPr>
            <w:r>
              <w:rPr>
                <w:rFonts w:ascii="Arial" w:hAnsi="Arial" w:cs="Arial"/>
              </w:rPr>
              <w:t>Jackson</w:t>
            </w:r>
          </w:p>
        </w:tc>
      </w:tr>
    </w:tbl>
    <w:p w14:paraId="452A57A8" w14:textId="77777777" w:rsidR="00E95A27" w:rsidRDefault="00E95A27">
      <w:pPr>
        <w:ind w:firstLineChars="200" w:firstLine="420"/>
        <w:rPr>
          <w:rFonts w:ascii="Arial" w:hAnsi="Arial" w:cs="Arial"/>
        </w:rPr>
        <w:sectPr w:rsidR="00E95A27">
          <w:pgSz w:w="11906" w:h="16838"/>
          <w:pgMar w:top="1440" w:right="1800" w:bottom="1440" w:left="1800" w:header="851" w:footer="992" w:gutter="0"/>
          <w:cols w:space="425"/>
          <w:docGrid w:type="lines" w:linePitch="312"/>
        </w:sectPr>
      </w:pPr>
    </w:p>
    <w:p w14:paraId="04719224" w14:textId="77777777" w:rsidR="00E95A27" w:rsidRDefault="00655E8C">
      <w:pPr>
        <w:autoSpaceDE w:val="0"/>
        <w:autoSpaceDN w:val="0"/>
        <w:jc w:val="left"/>
        <w:rPr>
          <w:rFonts w:ascii="Arial" w:eastAsia="Arial" w:hAnsi="Arial" w:cs="Arial"/>
          <w:b/>
          <w:bCs/>
          <w:kern w:val="0"/>
          <w:sz w:val="22"/>
          <w:lang w:bidi="ar"/>
        </w:rPr>
      </w:pPr>
      <w:r>
        <w:rPr>
          <w:rFonts w:ascii="Arial" w:eastAsia="Arial" w:hAnsi="Arial" w:cs="Arial"/>
          <w:b/>
          <w:bCs/>
          <w:kern w:val="0"/>
          <w:sz w:val="22"/>
          <w:lang w:bidi="ar"/>
        </w:rPr>
        <w:lastRenderedPageBreak/>
        <w:t>Reference</w:t>
      </w:r>
    </w:p>
    <w:p w14:paraId="73A66ADC" w14:textId="77777777" w:rsidR="00655E8C" w:rsidRPr="00655E8C" w:rsidRDefault="00655E8C" w:rsidP="00655E8C">
      <w:pPr>
        <w:pStyle w:val="EndNoteBibliography"/>
        <w:ind w:left="720" w:hanging="720"/>
        <w:rPr>
          <w:noProof/>
        </w:rPr>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Pr="00655E8C">
        <w:rPr>
          <w:noProof/>
        </w:rPr>
        <w:t>1</w:t>
      </w:r>
      <w:r w:rsidRPr="00655E8C">
        <w:rPr>
          <w:noProof/>
        </w:rPr>
        <w:tab/>
        <w:t>Neelapu, S. S.</w:t>
      </w:r>
      <w:r w:rsidRPr="00655E8C">
        <w:rPr>
          <w:i/>
          <w:noProof/>
        </w:rPr>
        <w:t xml:space="preserve"> et al.</w:t>
      </w:r>
      <w:r w:rsidRPr="00655E8C">
        <w:rPr>
          <w:noProof/>
        </w:rPr>
        <w:t xml:space="preserve"> Chimeric antigen receptor T-cell therapy — assessment and management of toxicities. </w:t>
      </w:r>
      <w:r w:rsidRPr="00655E8C">
        <w:rPr>
          <w:i/>
          <w:noProof/>
        </w:rPr>
        <w:t>Nature Reviews Clinical Oncology</w:t>
      </w:r>
      <w:r w:rsidRPr="00655E8C">
        <w:rPr>
          <w:noProof/>
        </w:rPr>
        <w:t xml:space="preserve"> </w:t>
      </w:r>
      <w:r w:rsidRPr="00655E8C">
        <w:rPr>
          <w:b/>
          <w:noProof/>
        </w:rPr>
        <w:t>15</w:t>
      </w:r>
      <w:r w:rsidRPr="00655E8C">
        <w:rPr>
          <w:noProof/>
        </w:rPr>
        <w:t>, 47-62 (2018).</w:t>
      </w:r>
    </w:p>
    <w:p w14:paraId="590C35BC" w14:textId="77777777" w:rsidR="00655E8C" w:rsidRPr="00655E8C" w:rsidRDefault="00655E8C" w:rsidP="00655E8C">
      <w:pPr>
        <w:pStyle w:val="EndNoteBibliography"/>
        <w:ind w:left="720" w:hanging="720"/>
        <w:rPr>
          <w:noProof/>
        </w:rPr>
      </w:pPr>
      <w:r w:rsidRPr="00655E8C">
        <w:rPr>
          <w:noProof/>
        </w:rPr>
        <w:t>2</w:t>
      </w:r>
      <w:r w:rsidRPr="00655E8C">
        <w:rPr>
          <w:noProof/>
        </w:rPr>
        <w:tab/>
        <w:t>Li, C.</w:t>
      </w:r>
      <w:r w:rsidRPr="00655E8C">
        <w:rPr>
          <w:i/>
          <w:noProof/>
        </w:rPr>
        <w:t xml:space="preserve"> et al.</w:t>
      </w:r>
      <w:r w:rsidRPr="00655E8C">
        <w:rPr>
          <w:noProof/>
        </w:rPr>
        <w:t xml:space="preserve"> A phase I study of anti-BCMA CAR T cell therapy in relapsed/refractory multiple myeloma and plasma cell leukemia. </w:t>
      </w:r>
      <w:r w:rsidRPr="00655E8C">
        <w:rPr>
          <w:i/>
          <w:noProof/>
        </w:rPr>
        <w:t>Clinical and Translational Medicine</w:t>
      </w:r>
      <w:r w:rsidRPr="00655E8C">
        <w:rPr>
          <w:noProof/>
        </w:rPr>
        <w:t xml:space="preserve"> </w:t>
      </w:r>
      <w:r w:rsidRPr="00655E8C">
        <w:rPr>
          <w:b/>
          <w:noProof/>
        </w:rPr>
        <w:t>11</w:t>
      </w:r>
      <w:r w:rsidRPr="00655E8C">
        <w:rPr>
          <w:noProof/>
        </w:rPr>
        <w:t>, e346 (2021).</w:t>
      </w:r>
    </w:p>
    <w:p w14:paraId="5D0ED260" w14:textId="0B41093E" w:rsidR="00E95A27" w:rsidRDefault="00655E8C">
      <w:pPr>
        <w:rPr>
          <w:rFonts w:ascii="Arial" w:hAnsi="Arial" w:cs="Arial"/>
        </w:rPr>
      </w:pPr>
      <w:r>
        <w:rPr>
          <w:rFonts w:ascii="Arial" w:hAnsi="Arial" w:cs="Arial"/>
        </w:rPr>
        <w:fldChar w:fldCharType="end"/>
      </w:r>
    </w:p>
    <w:p w14:paraId="1CA98345" w14:textId="77777777" w:rsidR="00E95A27" w:rsidRDefault="00E95A27">
      <w:pPr>
        <w:rPr>
          <w:rFonts w:ascii="Arial" w:hAnsi="Arial" w:cs="Arial"/>
        </w:rPr>
      </w:pPr>
    </w:p>
    <w:p w14:paraId="2E1DB21A" w14:textId="77777777" w:rsidR="00E95A27" w:rsidRDefault="00655E8C">
      <w:pPr>
        <w:autoSpaceDE w:val="0"/>
        <w:autoSpaceDN w:val="0"/>
        <w:jc w:val="left"/>
        <w:rPr>
          <w:rFonts w:ascii="Arial" w:eastAsia="Arial" w:hAnsi="Arial" w:cs="Arial"/>
          <w:b/>
          <w:bCs/>
          <w:kern w:val="0"/>
          <w:sz w:val="22"/>
          <w:lang w:bidi="ar"/>
        </w:rPr>
      </w:pPr>
      <w:r>
        <w:rPr>
          <w:rFonts w:ascii="Arial" w:eastAsia="Arial" w:hAnsi="Arial" w:cs="Arial"/>
          <w:b/>
          <w:bCs/>
          <w:kern w:val="0"/>
          <w:sz w:val="22"/>
          <w:lang w:bidi="ar"/>
        </w:rPr>
        <w:t xml:space="preserve">Supplemental Figure </w:t>
      </w:r>
      <w:proofErr w:type="spellStart"/>
      <w:r>
        <w:rPr>
          <w:rFonts w:ascii="Arial" w:eastAsia="Arial" w:hAnsi="Arial" w:cs="Arial"/>
          <w:b/>
          <w:bCs/>
          <w:kern w:val="0"/>
          <w:sz w:val="22"/>
          <w:lang w:bidi="ar"/>
        </w:rPr>
        <w:t>Lgends</w:t>
      </w:r>
      <w:proofErr w:type="spellEnd"/>
    </w:p>
    <w:p w14:paraId="44466696" w14:textId="77777777" w:rsidR="00E95A27" w:rsidRDefault="00E95A27">
      <w:pPr>
        <w:rPr>
          <w:rFonts w:ascii="Arial" w:hAnsi="Arial" w:cs="Arial"/>
        </w:rPr>
      </w:pPr>
    </w:p>
    <w:p w14:paraId="5BDA6BD9" w14:textId="77777777" w:rsidR="00E95A27" w:rsidRDefault="00655E8C">
      <w:pPr>
        <w:autoSpaceDE w:val="0"/>
        <w:autoSpaceDN w:val="0"/>
        <w:jc w:val="left"/>
        <w:rPr>
          <w:rFonts w:ascii="Arial" w:eastAsia="Arial" w:hAnsi="Arial" w:cs="Arial"/>
          <w:kern w:val="0"/>
          <w:sz w:val="22"/>
          <w:lang w:bidi="ar"/>
        </w:rPr>
      </w:pPr>
      <w:r>
        <w:rPr>
          <w:rFonts w:ascii="Arial" w:eastAsia="Arial" w:hAnsi="Arial" w:cs="Arial"/>
          <w:b/>
          <w:bCs/>
          <w:kern w:val="0"/>
          <w:sz w:val="22"/>
          <w:lang w:bidi="ar"/>
        </w:rPr>
        <w:t>Figure S1</w:t>
      </w:r>
      <w:r>
        <w:rPr>
          <w:rFonts w:ascii="Arial" w:eastAsia="Arial" w:hAnsi="Arial" w:cs="Arial"/>
          <w:kern w:val="0"/>
          <w:sz w:val="22"/>
          <w:lang w:bidi="ar"/>
        </w:rPr>
        <w:t xml:space="preserve">. </w:t>
      </w:r>
    </w:p>
    <w:p w14:paraId="65683820" w14:textId="77777777" w:rsidR="00E95A27" w:rsidRDefault="00655E8C">
      <w:pPr>
        <w:rPr>
          <w:rFonts w:ascii="Arial" w:eastAsia="宋体" w:hAnsi="Arial" w:cs="Arial"/>
          <w:szCs w:val="21"/>
        </w:rPr>
      </w:pPr>
      <w:r>
        <w:rPr>
          <w:rFonts w:ascii="Arial" w:eastAsia="Arial" w:hAnsi="Arial" w:cs="Arial"/>
          <w:b/>
          <w:bCs/>
          <w:kern w:val="0"/>
          <w:szCs w:val="21"/>
          <w:lang w:bidi="ar"/>
        </w:rPr>
        <w:t>(A)</w:t>
      </w:r>
      <w:r>
        <w:rPr>
          <w:rFonts w:ascii="Arial" w:eastAsia="Arial" w:hAnsi="Arial" w:cs="Arial"/>
          <w:kern w:val="0"/>
          <w:szCs w:val="21"/>
          <w:lang w:bidi="ar"/>
        </w:rPr>
        <w:t xml:space="preserve"> </w:t>
      </w:r>
      <w:r>
        <w:rPr>
          <w:rFonts w:ascii="Arial" w:eastAsia="Arial Unicode MS" w:hAnsi="Arial" w:cs="Arial"/>
          <w:kern w:val="0"/>
          <w:szCs w:val="21"/>
          <w:lang w:bidi="ar"/>
        </w:rPr>
        <w:t xml:space="preserve">Relative </w:t>
      </w:r>
      <w:r>
        <w:rPr>
          <w:rFonts w:ascii="Arial" w:eastAsia="Arial" w:hAnsi="Arial" w:cs="Arial"/>
          <w:kern w:val="0"/>
          <w:szCs w:val="21"/>
          <w:lang w:bidi="ar"/>
        </w:rPr>
        <w:t xml:space="preserve">CD99 mRNA </w:t>
      </w:r>
      <w:r>
        <w:rPr>
          <w:rFonts w:ascii="Arial" w:eastAsia="Arial Unicode MS" w:hAnsi="Arial" w:cs="Arial"/>
          <w:kern w:val="0"/>
          <w:szCs w:val="21"/>
          <w:lang w:bidi="ar"/>
        </w:rPr>
        <w:t>expression was calculated</w:t>
      </w:r>
      <w:r>
        <w:rPr>
          <w:rFonts w:ascii="Arial" w:eastAsia="Arial" w:hAnsi="Arial" w:cs="Arial"/>
          <w:kern w:val="0"/>
          <w:szCs w:val="21"/>
          <w:lang w:bidi="ar"/>
        </w:rPr>
        <w:t xml:space="preserve"> among </w:t>
      </w:r>
      <w:r>
        <w:rPr>
          <w:rFonts w:ascii="Arial" w:eastAsia="Arial Unicode MS" w:hAnsi="Arial" w:cs="Arial"/>
          <w:kern w:val="0"/>
          <w:szCs w:val="21"/>
          <w:lang w:bidi="ar"/>
        </w:rPr>
        <w:t>different malignant cell lines</w:t>
      </w:r>
      <w:r>
        <w:rPr>
          <w:rFonts w:ascii="Arial" w:eastAsia="Arial" w:hAnsi="Arial" w:cs="Arial"/>
          <w:kern w:val="0"/>
          <w:szCs w:val="21"/>
          <w:lang w:bidi="ar"/>
        </w:rPr>
        <w:t xml:space="preserve"> (n&gt;1000) in the </w:t>
      </w:r>
      <w:r>
        <w:rPr>
          <w:rFonts w:ascii="Arial" w:eastAsia="Arial Unicode MS" w:hAnsi="Arial" w:cs="Arial"/>
          <w:kern w:val="0"/>
          <w:szCs w:val="21"/>
          <w:lang w:bidi="ar"/>
        </w:rPr>
        <w:t>CCLE</w:t>
      </w:r>
      <w:r>
        <w:rPr>
          <w:rFonts w:ascii="Arial" w:eastAsia="Arial" w:hAnsi="Arial" w:cs="Arial"/>
          <w:kern w:val="0"/>
          <w:szCs w:val="21"/>
          <w:lang w:bidi="ar"/>
        </w:rPr>
        <w:t xml:space="preserve"> database (</w:t>
      </w:r>
      <w:hyperlink r:id="rId5" w:history="1">
        <w:r>
          <w:rPr>
            <w:rStyle w:val="af"/>
            <w:rFonts w:ascii="Arial" w:hAnsi="Arial" w:cs="Arial"/>
            <w:szCs w:val="21"/>
          </w:rPr>
          <w:t>https://portals.broadinstitute.org/ccle</w:t>
        </w:r>
      </w:hyperlink>
      <w:r>
        <w:rPr>
          <w:rFonts w:ascii="Arial" w:eastAsia="Arial" w:hAnsi="Arial" w:cs="Arial"/>
          <w:kern w:val="0"/>
          <w:szCs w:val="21"/>
          <w:lang w:bidi="ar"/>
        </w:rPr>
        <w:t xml:space="preserve">). Strong expression was observed in the </w:t>
      </w:r>
      <w:r>
        <w:rPr>
          <w:rFonts w:ascii="Arial" w:eastAsia="Arial Unicode MS" w:hAnsi="Arial" w:cs="Arial"/>
          <w:kern w:val="0"/>
          <w:szCs w:val="21"/>
          <w:lang w:bidi="ar"/>
        </w:rPr>
        <w:t xml:space="preserve">majority of </w:t>
      </w:r>
      <w:proofErr w:type="spellStart"/>
      <w:r>
        <w:rPr>
          <w:rFonts w:ascii="Arial" w:eastAsia="Arial Unicode MS" w:hAnsi="Arial" w:cs="Arial"/>
          <w:kern w:val="0"/>
          <w:szCs w:val="21"/>
          <w:lang w:bidi="ar"/>
        </w:rPr>
        <w:t>tumour</w:t>
      </w:r>
      <w:proofErr w:type="spellEnd"/>
      <w:r>
        <w:rPr>
          <w:rFonts w:ascii="Arial" w:eastAsia="Arial Unicode MS" w:hAnsi="Arial" w:cs="Arial"/>
          <w:kern w:val="0"/>
          <w:szCs w:val="21"/>
          <w:lang w:bidi="ar"/>
        </w:rPr>
        <w:t xml:space="preserve"> types, including 15</w:t>
      </w:r>
      <w:r>
        <w:rPr>
          <w:rFonts w:ascii="Arial" w:eastAsia="Arial" w:hAnsi="Arial" w:cs="Arial"/>
          <w:kern w:val="0"/>
          <w:szCs w:val="21"/>
          <w:lang w:bidi="ar"/>
        </w:rPr>
        <w:t xml:space="preserve"> </w:t>
      </w:r>
      <w:r>
        <w:rPr>
          <w:rFonts w:ascii="Arial" w:eastAsia="Arial Unicode MS" w:hAnsi="Arial" w:cs="Arial"/>
          <w:kern w:val="0"/>
          <w:szCs w:val="21"/>
          <w:lang w:bidi="ar"/>
        </w:rPr>
        <w:t>T-ALL cell lines and 35 AML cell lines</w:t>
      </w:r>
      <w:r>
        <w:rPr>
          <w:rFonts w:ascii="Arial" w:eastAsia="Arial" w:hAnsi="Arial" w:cs="Arial"/>
          <w:kern w:val="0"/>
          <w:szCs w:val="21"/>
          <w:lang w:bidi="ar"/>
        </w:rPr>
        <w:t xml:space="preserve">. </w:t>
      </w:r>
      <w:r>
        <w:rPr>
          <w:rFonts w:ascii="Arial" w:eastAsia="Arial" w:hAnsi="Arial" w:cs="Arial"/>
          <w:b/>
          <w:bCs/>
          <w:kern w:val="0"/>
          <w:szCs w:val="21"/>
          <w:lang w:bidi="ar"/>
        </w:rPr>
        <w:t>(B)</w:t>
      </w:r>
      <w:r>
        <w:rPr>
          <w:rFonts w:ascii="Arial" w:eastAsia="Arial" w:hAnsi="Arial" w:cs="Arial"/>
          <w:kern w:val="0"/>
          <w:szCs w:val="21"/>
          <w:lang w:bidi="ar"/>
        </w:rPr>
        <w:t xml:space="preserve"> The r</w:t>
      </w:r>
      <w:r>
        <w:rPr>
          <w:rFonts w:ascii="Arial" w:eastAsia="Arial Unicode MS" w:hAnsi="Arial" w:cs="Arial"/>
          <w:kern w:val="0"/>
          <w:szCs w:val="21"/>
          <w:lang w:bidi="ar"/>
        </w:rPr>
        <w:t xml:space="preserve">elative </w:t>
      </w:r>
      <w:r>
        <w:rPr>
          <w:rFonts w:ascii="Arial" w:eastAsia="Arial" w:hAnsi="Arial" w:cs="Arial"/>
          <w:kern w:val="0"/>
          <w:szCs w:val="21"/>
          <w:lang w:bidi="ar"/>
        </w:rPr>
        <w:t>CD99 protein level</w:t>
      </w:r>
      <w:r>
        <w:rPr>
          <w:rFonts w:ascii="Arial" w:eastAsia="Arial Unicode MS" w:hAnsi="Arial" w:cs="Arial"/>
          <w:kern w:val="0"/>
          <w:szCs w:val="21"/>
          <w:lang w:bidi="ar"/>
        </w:rPr>
        <w:t xml:space="preserve"> was c</w:t>
      </w:r>
      <w:r>
        <w:rPr>
          <w:rFonts w:ascii="Arial" w:eastAsia="Arial Unicode MS" w:hAnsi="Arial" w:cs="Arial"/>
          <w:kern w:val="0"/>
          <w:szCs w:val="21"/>
          <w:lang w:bidi="ar"/>
        </w:rPr>
        <w:t xml:space="preserve">alculated as the </w:t>
      </w:r>
      <w:r>
        <w:rPr>
          <w:rFonts w:ascii="Arial" w:eastAsia="Arial" w:hAnsi="Arial" w:cs="Arial"/>
          <w:kern w:val="0"/>
          <w:szCs w:val="21"/>
          <w:lang w:bidi="ar"/>
        </w:rPr>
        <w:t xml:space="preserve">CD99 MFI </w:t>
      </w:r>
      <w:r>
        <w:rPr>
          <w:rFonts w:ascii="Arial" w:eastAsia="Arial Unicode MS" w:hAnsi="Arial" w:cs="Arial"/>
          <w:kern w:val="0"/>
          <w:szCs w:val="21"/>
          <w:lang w:bidi="ar"/>
        </w:rPr>
        <w:t>on</w:t>
      </w:r>
      <w:r>
        <w:rPr>
          <w:rFonts w:ascii="Arial" w:eastAsia="Arial" w:hAnsi="Arial" w:cs="Arial"/>
          <w:kern w:val="0"/>
          <w:szCs w:val="21"/>
          <w:lang w:bidi="ar"/>
        </w:rPr>
        <w:t xml:space="preserve"> AML</w:t>
      </w:r>
      <w:r>
        <w:rPr>
          <w:rFonts w:ascii="Arial" w:eastAsia="Arial Unicode MS" w:hAnsi="Arial" w:cs="Arial"/>
          <w:kern w:val="0"/>
          <w:szCs w:val="21"/>
          <w:lang w:bidi="ar"/>
        </w:rPr>
        <w:t xml:space="preserve"> samples</w:t>
      </w:r>
      <w:r>
        <w:rPr>
          <w:rFonts w:ascii="Arial" w:eastAsia="Arial" w:hAnsi="Arial" w:cs="Arial"/>
          <w:kern w:val="0"/>
          <w:szCs w:val="21"/>
          <w:lang w:bidi="ar"/>
        </w:rPr>
        <w:t xml:space="preserve"> (</w:t>
      </w:r>
      <w:r>
        <w:rPr>
          <w:rFonts w:ascii="Arial" w:eastAsia="Arial Unicode MS" w:hAnsi="Arial" w:cs="Arial"/>
          <w:kern w:val="0"/>
          <w:szCs w:val="21"/>
          <w:lang w:bidi="ar"/>
        </w:rPr>
        <w:t>n=</w:t>
      </w:r>
      <w:r>
        <w:rPr>
          <w:rFonts w:ascii="Arial" w:eastAsia="Arial" w:hAnsi="Arial" w:cs="Arial"/>
          <w:kern w:val="0"/>
          <w:szCs w:val="21"/>
          <w:lang w:bidi="ar"/>
        </w:rPr>
        <w:t xml:space="preserve">17) and </w:t>
      </w:r>
      <w:r>
        <w:rPr>
          <w:rFonts w:ascii="Arial" w:eastAsia="Arial Unicode MS" w:hAnsi="Arial" w:cs="Arial"/>
          <w:kern w:val="0"/>
          <w:szCs w:val="21"/>
          <w:lang w:bidi="ar"/>
        </w:rPr>
        <w:t>normal</w:t>
      </w:r>
      <w:r>
        <w:rPr>
          <w:rFonts w:ascii="Arial" w:eastAsia="Arial" w:hAnsi="Arial" w:cs="Arial"/>
          <w:kern w:val="0"/>
          <w:szCs w:val="21"/>
          <w:lang w:bidi="ar"/>
        </w:rPr>
        <w:t xml:space="preserve"> BM</w:t>
      </w:r>
      <w:r>
        <w:rPr>
          <w:rFonts w:ascii="Arial" w:eastAsia="Arial Unicode MS" w:hAnsi="Arial" w:cs="Arial"/>
          <w:kern w:val="0"/>
          <w:szCs w:val="21"/>
          <w:lang w:bidi="ar"/>
        </w:rPr>
        <w:t xml:space="preserve"> </w:t>
      </w:r>
      <w:r>
        <w:rPr>
          <w:rFonts w:ascii="Arial" w:eastAsia="Arial" w:hAnsi="Arial" w:cs="Arial"/>
          <w:kern w:val="0"/>
          <w:szCs w:val="21"/>
          <w:lang w:bidi="ar"/>
        </w:rPr>
        <w:t xml:space="preserve">samples </w:t>
      </w:r>
      <w:r>
        <w:rPr>
          <w:rFonts w:ascii="Arial" w:eastAsia="Arial Unicode MS" w:hAnsi="Arial" w:cs="Arial"/>
          <w:kern w:val="0"/>
          <w:szCs w:val="21"/>
          <w:lang w:bidi="ar"/>
        </w:rPr>
        <w:t>(n=</w:t>
      </w:r>
      <w:r>
        <w:rPr>
          <w:rFonts w:ascii="Arial" w:eastAsia="Arial" w:hAnsi="Arial" w:cs="Arial"/>
          <w:kern w:val="0"/>
          <w:szCs w:val="21"/>
          <w:lang w:bidi="ar"/>
        </w:rPr>
        <w:t>8</w:t>
      </w:r>
      <w:r>
        <w:rPr>
          <w:rFonts w:ascii="Arial" w:eastAsia="Arial Unicode MS" w:hAnsi="Arial" w:cs="Arial"/>
          <w:kern w:val="0"/>
          <w:szCs w:val="21"/>
          <w:lang w:bidi="ar"/>
        </w:rPr>
        <w:t>)</w:t>
      </w:r>
      <w:r>
        <w:rPr>
          <w:rFonts w:ascii="Arial" w:eastAsia="Arial" w:hAnsi="Arial" w:cs="Arial"/>
          <w:kern w:val="0"/>
          <w:szCs w:val="21"/>
          <w:lang w:bidi="ar"/>
        </w:rPr>
        <w:t xml:space="preserve"> by flow cytometry. </w:t>
      </w:r>
      <w:r>
        <w:rPr>
          <w:rFonts w:ascii="Arial" w:eastAsia="Arial" w:hAnsi="Arial" w:cs="Arial"/>
          <w:b/>
          <w:kern w:val="0"/>
          <w:szCs w:val="21"/>
          <w:lang w:bidi="ar"/>
        </w:rPr>
        <w:t xml:space="preserve">(C-D) </w:t>
      </w:r>
      <w:r>
        <w:rPr>
          <w:rFonts w:ascii="Arial" w:eastAsia="Arial" w:hAnsi="Arial" w:cs="Arial"/>
          <w:kern w:val="0"/>
          <w:szCs w:val="21"/>
          <w:lang w:bidi="ar"/>
        </w:rPr>
        <w:t>CD99 expression in T-ALL and AML cell lines were calculated by flow cytometry.</w:t>
      </w:r>
      <w:r>
        <w:rPr>
          <w:rFonts w:ascii="Arial" w:eastAsia="宋体" w:hAnsi="Arial" w:cs="Arial"/>
          <w:kern w:val="0"/>
          <w:szCs w:val="21"/>
          <w:lang w:bidi="ar"/>
        </w:rPr>
        <w:t xml:space="preserve"> </w:t>
      </w:r>
      <w:r>
        <w:rPr>
          <w:rFonts w:ascii="Arial" w:eastAsia="Arial" w:hAnsi="Arial" w:cs="Arial"/>
          <w:b/>
          <w:bCs/>
          <w:kern w:val="0"/>
          <w:szCs w:val="21"/>
          <w:lang w:bidi="ar"/>
        </w:rPr>
        <w:t xml:space="preserve">(E) </w:t>
      </w:r>
      <w:r>
        <w:rPr>
          <w:rFonts w:ascii="Arial" w:eastAsia="Arial Unicode MS" w:hAnsi="Arial" w:cs="Arial"/>
          <w:kern w:val="0"/>
          <w:szCs w:val="21"/>
          <w:lang w:bidi="ar"/>
        </w:rPr>
        <w:t xml:space="preserve">Correlation of </w:t>
      </w:r>
      <w:r>
        <w:rPr>
          <w:rFonts w:ascii="Arial" w:eastAsia="Arial" w:hAnsi="Arial" w:cs="Arial"/>
          <w:kern w:val="0"/>
          <w:szCs w:val="21"/>
          <w:lang w:bidi="ar"/>
        </w:rPr>
        <w:t>CD99</w:t>
      </w:r>
      <w:r>
        <w:rPr>
          <w:rFonts w:ascii="Arial" w:eastAsia="Arial Unicode MS" w:hAnsi="Arial" w:cs="Arial"/>
          <w:kern w:val="0"/>
          <w:szCs w:val="21"/>
          <w:lang w:bidi="ar"/>
        </w:rPr>
        <w:t xml:space="preserve"> expression with CD7/CD5/CD3 in </w:t>
      </w:r>
      <w:r>
        <w:rPr>
          <w:rFonts w:ascii="Arial" w:eastAsia="Arial" w:hAnsi="Arial" w:cs="Arial"/>
          <w:kern w:val="0"/>
          <w:szCs w:val="21"/>
          <w:lang w:bidi="ar"/>
        </w:rPr>
        <w:t>230</w:t>
      </w:r>
      <w:r>
        <w:rPr>
          <w:rFonts w:ascii="Arial" w:eastAsia="Arial Unicode MS" w:hAnsi="Arial" w:cs="Arial"/>
          <w:kern w:val="0"/>
          <w:szCs w:val="21"/>
          <w:lang w:bidi="ar"/>
        </w:rPr>
        <w:t xml:space="preserve"> primary T-ALL samples </w:t>
      </w:r>
      <w:r>
        <w:rPr>
          <w:rFonts w:ascii="Arial" w:eastAsia="Arial Unicode MS" w:hAnsi="Arial" w:cs="Arial"/>
          <w:szCs w:val="21"/>
        </w:rPr>
        <w:t>(</w:t>
      </w:r>
      <w:r>
        <w:rPr>
          <w:rFonts w:ascii="Arial" w:hAnsi="Arial" w:cs="Arial"/>
          <w:szCs w:val="21"/>
        </w:rPr>
        <w:t>Liu, et al. Nature genetic, 2017</w:t>
      </w:r>
      <w:r>
        <w:rPr>
          <w:rFonts w:ascii="Arial" w:eastAsia="Arial Unicode MS" w:hAnsi="Arial" w:cs="Arial"/>
          <w:szCs w:val="21"/>
        </w:rPr>
        <w:t>) with mRNA levels presented as log2 median-entered intensity</w:t>
      </w:r>
      <w:r>
        <w:rPr>
          <w:rFonts w:ascii="Arial" w:eastAsia="宋体" w:hAnsi="Arial" w:cs="Arial"/>
          <w:szCs w:val="21"/>
        </w:rPr>
        <w:t xml:space="preserve">. </w:t>
      </w:r>
      <w:r>
        <w:rPr>
          <w:rFonts w:ascii="Arial" w:eastAsia="Arial" w:hAnsi="Arial" w:cs="Arial"/>
          <w:b/>
          <w:bCs/>
          <w:kern w:val="0"/>
          <w:szCs w:val="21"/>
          <w:lang w:bidi="ar"/>
        </w:rPr>
        <w:t xml:space="preserve">(F) </w:t>
      </w:r>
      <w:r>
        <w:rPr>
          <w:rFonts w:ascii="Arial" w:eastAsia="Arial Unicode MS" w:hAnsi="Arial" w:cs="Arial"/>
          <w:kern w:val="0"/>
          <w:szCs w:val="21"/>
          <w:lang w:bidi="ar"/>
        </w:rPr>
        <w:t xml:space="preserve">Representative </w:t>
      </w:r>
      <w:proofErr w:type="spellStart"/>
      <w:r>
        <w:rPr>
          <w:rFonts w:ascii="Arial" w:eastAsia="Arial Unicode MS" w:hAnsi="Arial" w:cs="Arial"/>
          <w:kern w:val="0"/>
          <w:szCs w:val="21"/>
          <w:lang w:bidi="ar"/>
        </w:rPr>
        <w:t>immunohistological</w:t>
      </w:r>
      <w:proofErr w:type="spellEnd"/>
      <w:r>
        <w:rPr>
          <w:rFonts w:ascii="Arial" w:eastAsia="Arial Unicode MS" w:hAnsi="Arial" w:cs="Arial"/>
          <w:kern w:val="0"/>
          <w:szCs w:val="21"/>
          <w:lang w:bidi="ar"/>
        </w:rPr>
        <w:t xml:space="preserve"> images of </w:t>
      </w:r>
      <w:r>
        <w:rPr>
          <w:rFonts w:ascii="Arial" w:eastAsia="Arial" w:hAnsi="Arial" w:cs="Arial"/>
          <w:kern w:val="0"/>
          <w:szCs w:val="21"/>
          <w:lang w:bidi="ar"/>
        </w:rPr>
        <w:t>CD99 and CD7</w:t>
      </w:r>
      <w:r>
        <w:rPr>
          <w:rFonts w:ascii="Arial" w:eastAsia="Arial Unicode MS" w:hAnsi="Arial" w:cs="Arial"/>
          <w:kern w:val="0"/>
          <w:szCs w:val="21"/>
          <w:lang w:bidi="ar"/>
        </w:rPr>
        <w:t xml:space="preserve"> in</w:t>
      </w:r>
      <w:r>
        <w:rPr>
          <w:rFonts w:ascii="Arial" w:eastAsia="Arial" w:hAnsi="Arial" w:cs="Arial"/>
          <w:kern w:val="0"/>
          <w:szCs w:val="21"/>
          <w:lang w:bidi="ar"/>
        </w:rPr>
        <w:t xml:space="preserve"> normal </w:t>
      </w:r>
      <w:r>
        <w:rPr>
          <w:rFonts w:ascii="Arial" w:eastAsia="Arial Unicode MS" w:hAnsi="Arial" w:cs="Arial"/>
          <w:kern w:val="0"/>
          <w:szCs w:val="21"/>
          <w:lang w:bidi="ar"/>
        </w:rPr>
        <w:t>tissues</w:t>
      </w:r>
      <w:r>
        <w:rPr>
          <w:rFonts w:ascii="Arial" w:eastAsia="Arial" w:hAnsi="Arial" w:cs="Arial"/>
          <w:kern w:val="0"/>
          <w:szCs w:val="21"/>
          <w:lang w:bidi="ar"/>
        </w:rPr>
        <w:t>. IgG was used as the ne</w:t>
      </w:r>
      <w:r>
        <w:rPr>
          <w:rFonts w:ascii="Arial" w:eastAsia="Arial" w:hAnsi="Arial" w:cs="Arial"/>
          <w:kern w:val="0"/>
          <w:szCs w:val="21"/>
          <w:lang w:bidi="ar"/>
        </w:rPr>
        <w:t xml:space="preserve">gative control. Weak CD99 signal in the tongue, salivary gland, pharynx, </w:t>
      </w:r>
      <w:proofErr w:type="spellStart"/>
      <w:r>
        <w:rPr>
          <w:rFonts w:ascii="Arial" w:eastAsia="Arial" w:hAnsi="Arial" w:cs="Arial"/>
          <w:kern w:val="0"/>
          <w:szCs w:val="21"/>
          <w:lang w:bidi="ar"/>
        </w:rPr>
        <w:t>oesophagus</w:t>
      </w:r>
      <w:proofErr w:type="spellEnd"/>
      <w:r>
        <w:rPr>
          <w:rFonts w:ascii="Arial" w:eastAsia="Arial" w:hAnsi="Arial" w:cs="Arial"/>
          <w:kern w:val="0"/>
          <w:szCs w:val="21"/>
          <w:lang w:bidi="ar"/>
        </w:rPr>
        <w:t>, stomach, small intestine, pancreas, colon, artery, c</w:t>
      </w:r>
      <w:r>
        <w:rPr>
          <w:rFonts w:ascii="Arial" w:eastAsia="Arial Unicode MS" w:hAnsi="Arial" w:cs="Arial"/>
          <w:kern w:val="0"/>
          <w:szCs w:val="21"/>
          <w:lang w:bidi="ar"/>
        </w:rPr>
        <w:t>erebellum</w:t>
      </w:r>
      <w:r>
        <w:rPr>
          <w:rFonts w:ascii="Arial" w:eastAsia="Arial" w:hAnsi="Arial" w:cs="Arial"/>
          <w:kern w:val="0"/>
          <w:szCs w:val="21"/>
          <w:lang w:bidi="ar"/>
        </w:rPr>
        <w:t>, b</w:t>
      </w:r>
      <w:r>
        <w:rPr>
          <w:rFonts w:ascii="Arial" w:eastAsia="Arial Unicode MS" w:hAnsi="Arial" w:cs="Arial"/>
          <w:kern w:val="0"/>
          <w:szCs w:val="21"/>
          <w:lang w:bidi="ar"/>
        </w:rPr>
        <w:t>rain</w:t>
      </w:r>
      <w:r>
        <w:rPr>
          <w:rFonts w:ascii="Arial" w:eastAsia="Arial" w:hAnsi="Arial" w:cs="Arial"/>
          <w:kern w:val="0"/>
          <w:szCs w:val="21"/>
          <w:lang w:bidi="ar"/>
        </w:rPr>
        <w:t>, grey</w:t>
      </w:r>
      <w:r>
        <w:rPr>
          <w:rFonts w:ascii="Arial" w:eastAsia="Arial Unicode MS" w:hAnsi="Arial" w:cs="Arial"/>
          <w:kern w:val="0"/>
          <w:szCs w:val="21"/>
          <w:lang w:bidi="ar"/>
        </w:rPr>
        <w:t xml:space="preserve"> matter</w:t>
      </w:r>
      <w:r>
        <w:rPr>
          <w:rFonts w:ascii="Arial" w:eastAsia="Arial" w:hAnsi="Arial" w:cs="Arial"/>
          <w:kern w:val="0"/>
          <w:szCs w:val="21"/>
          <w:lang w:bidi="ar"/>
        </w:rPr>
        <w:t>, p</w:t>
      </w:r>
      <w:r>
        <w:rPr>
          <w:rFonts w:ascii="Arial" w:eastAsia="Arial Unicode MS" w:hAnsi="Arial" w:cs="Arial"/>
          <w:kern w:val="0"/>
          <w:szCs w:val="21"/>
          <w:lang w:bidi="ar"/>
        </w:rPr>
        <w:t>eripheral nerve</w:t>
      </w:r>
      <w:r>
        <w:rPr>
          <w:rFonts w:ascii="Arial" w:eastAsia="Arial" w:hAnsi="Arial" w:cs="Arial"/>
          <w:kern w:val="0"/>
          <w:szCs w:val="21"/>
          <w:lang w:bidi="ar"/>
        </w:rPr>
        <w:t>, t</w:t>
      </w:r>
      <w:r>
        <w:rPr>
          <w:rFonts w:ascii="Arial" w:eastAsia="Arial Unicode MS" w:hAnsi="Arial" w:cs="Arial"/>
          <w:kern w:val="0"/>
          <w:szCs w:val="21"/>
          <w:lang w:bidi="ar"/>
        </w:rPr>
        <w:t>onsil</w:t>
      </w:r>
      <w:r>
        <w:rPr>
          <w:rFonts w:ascii="Arial" w:eastAsia="Arial" w:hAnsi="Arial" w:cs="Arial"/>
          <w:kern w:val="0"/>
          <w:szCs w:val="21"/>
          <w:lang w:bidi="ar"/>
        </w:rPr>
        <w:t>, a</w:t>
      </w:r>
      <w:r>
        <w:rPr>
          <w:rFonts w:ascii="Arial" w:eastAsia="Arial Unicode MS" w:hAnsi="Arial" w:cs="Arial"/>
          <w:kern w:val="0"/>
          <w:szCs w:val="21"/>
          <w:lang w:bidi="ar"/>
        </w:rPr>
        <w:t>ppendix</w:t>
      </w:r>
      <w:r>
        <w:rPr>
          <w:rFonts w:ascii="Arial" w:eastAsia="Arial" w:hAnsi="Arial" w:cs="Arial"/>
          <w:kern w:val="0"/>
          <w:szCs w:val="21"/>
          <w:lang w:bidi="ar"/>
        </w:rPr>
        <w:t>, s</w:t>
      </w:r>
      <w:r>
        <w:rPr>
          <w:rFonts w:ascii="Arial" w:eastAsia="Arial Unicode MS" w:hAnsi="Arial" w:cs="Arial"/>
          <w:kern w:val="0"/>
          <w:szCs w:val="21"/>
          <w:lang w:bidi="ar"/>
        </w:rPr>
        <w:t>kin</w:t>
      </w:r>
      <w:r>
        <w:rPr>
          <w:rFonts w:ascii="Arial" w:eastAsia="Arial" w:hAnsi="Arial" w:cs="Arial"/>
          <w:kern w:val="0"/>
          <w:szCs w:val="21"/>
          <w:lang w:bidi="ar"/>
        </w:rPr>
        <w:t>, s</w:t>
      </w:r>
      <w:r>
        <w:rPr>
          <w:rFonts w:ascii="Arial" w:eastAsia="Arial Unicode MS" w:hAnsi="Arial" w:cs="Arial"/>
          <w:kern w:val="0"/>
          <w:szCs w:val="21"/>
          <w:lang w:bidi="ar"/>
        </w:rPr>
        <w:t>keletal muscle</w:t>
      </w:r>
      <w:r>
        <w:rPr>
          <w:rFonts w:ascii="Arial" w:eastAsia="Arial" w:hAnsi="Arial" w:cs="Arial"/>
          <w:kern w:val="0"/>
          <w:szCs w:val="21"/>
          <w:lang w:bidi="ar"/>
        </w:rPr>
        <w:t>, p</w:t>
      </w:r>
      <w:r>
        <w:rPr>
          <w:rFonts w:ascii="Arial" w:eastAsia="Arial Unicode MS" w:hAnsi="Arial" w:cs="Arial"/>
          <w:kern w:val="0"/>
          <w:szCs w:val="21"/>
          <w:lang w:bidi="ar"/>
        </w:rPr>
        <w:t>leural</w:t>
      </w:r>
      <w:r>
        <w:rPr>
          <w:rFonts w:ascii="Arial" w:eastAsia="Arial" w:hAnsi="Arial" w:cs="Arial"/>
          <w:kern w:val="0"/>
          <w:szCs w:val="21"/>
          <w:lang w:bidi="ar"/>
        </w:rPr>
        <w:t>, b</w:t>
      </w:r>
      <w:r>
        <w:rPr>
          <w:rFonts w:ascii="Arial" w:eastAsia="Arial Unicode MS" w:hAnsi="Arial" w:cs="Arial"/>
          <w:kern w:val="0"/>
          <w:szCs w:val="21"/>
          <w:lang w:bidi="ar"/>
        </w:rPr>
        <w:t>ladder</w:t>
      </w:r>
      <w:r>
        <w:rPr>
          <w:rFonts w:ascii="Arial" w:eastAsia="Arial" w:hAnsi="Arial" w:cs="Arial"/>
          <w:kern w:val="0"/>
          <w:szCs w:val="21"/>
          <w:lang w:bidi="ar"/>
        </w:rPr>
        <w:t>, p</w:t>
      </w:r>
      <w:r>
        <w:rPr>
          <w:rFonts w:ascii="Arial" w:eastAsia="Arial Unicode MS" w:hAnsi="Arial" w:cs="Arial"/>
          <w:kern w:val="0"/>
          <w:szCs w:val="21"/>
          <w:lang w:bidi="ar"/>
        </w:rPr>
        <w:t>rostate</w:t>
      </w:r>
      <w:r>
        <w:rPr>
          <w:rFonts w:ascii="Arial" w:eastAsia="Arial" w:hAnsi="Arial" w:cs="Arial"/>
          <w:kern w:val="0"/>
          <w:szCs w:val="21"/>
          <w:lang w:bidi="ar"/>
        </w:rPr>
        <w:t>, a</w:t>
      </w:r>
      <w:r>
        <w:rPr>
          <w:rFonts w:ascii="Arial" w:eastAsia="Arial Unicode MS" w:hAnsi="Arial" w:cs="Arial"/>
          <w:kern w:val="0"/>
          <w:szCs w:val="21"/>
          <w:lang w:bidi="ar"/>
        </w:rPr>
        <w:t>drenal gland</w:t>
      </w:r>
      <w:r>
        <w:rPr>
          <w:rFonts w:ascii="Arial" w:eastAsia="Arial" w:hAnsi="Arial" w:cs="Arial"/>
          <w:kern w:val="0"/>
          <w:szCs w:val="21"/>
          <w:lang w:bidi="ar"/>
        </w:rPr>
        <w:t>, t</w:t>
      </w:r>
      <w:r>
        <w:rPr>
          <w:rFonts w:ascii="Arial" w:eastAsia="Arial Unicode MS" w:hAnsi="Arial" w:cs="Arial"/>
          <w:kern w:val="0"/>
          <w:szCs w:val="21"/>
          <w:lang w:bidi="ar"/>
        </w:rPr>
        <w:t>hyroid</w:t>
      </w:r>
      <w:r>
        <w:rPr>
          <w:rFonts w:ascii="Arial" w:eastAsia="Arial" w:hAnsi="Arial" w:cs="Arial"/>
          <w:kern w:val="0"/>
          <w:szCs w:val="21"/>
          <w:lang w:bidi="ar"/>
        </w:rPr>
        <w:t>, b</w:t>
      </w:r>
      <w:r>
        <w:rPr>
          <w:rFonts w:ascii="Arial" w:eastAsia="Arial Unicode MS" w:hAnsi="Arial" w:cs="Arial"/>
          <w:kern w:val="0"/>
          <w:szCs w:val="21"/>
          <w:lang w:bidi="ar"/>
        </w:rPr>
        <w:t>reast</w:t>
      </w:r>
      <w:r>
        <w:rPr>
          <w:rFonts w:ascii="Arial" w:eastAsia="Arial" w:hAnsi="Arial" w:cs="Arial"/>
          <w:kern w:val="0"/>
          <w:szCs w:val="21"/>
          <w:lang w:bidi="ar"/>
        </w:rPr>
        <w:t>, o</w:t>
      </w:r>
      <w:r>
        <w:rPr>
          <w:rFonts w:ascii="Arial" w:eastAsia="Arial Unicode MS" w:hAnsi="Arial" w:cs="Arial"/>
          <w:kern w:val="0"/>
          <w:szCs w:val="21"/>
          <w:lang w:bidi="ar"/>
        </w:rPr>
        <w:t>vary</w:t>
      </w:r>
      <w:r>
        <w:rPr>
          <w:rFonts w:ascii="Arial" w:eastAsia="Arial" w:hAnsi="Arial" w:cs="Arial"/>
          <w:kern w:val="0"/>
          <w:szCs w:val="21"/>
          <w:lang w:bidi="ar"/>
        </w:rPr>
        <w:t>, e</w:t>
      </w:r>
      <w:r>
        <w:rPr>
          <w:rFonts w:ascii="Arial" w:eastAsia="Arial Unicode MS" w:hAnsi="Arial" w:cs="Arial"/>
          <w:kern w:val="0"/>
          <w:szCs w:val="21"/>
          <w:lang w:bidi="ar"/>
        </w:rPr>
        <w:t>ndometrium</w:t>
      </w:r>
      <w:r>
        <w:rPr>
          <w:rFonts w:ascii="Arial" w:eastAsia="Arial" w:hAnsi="Arial" w:cs="Arial"/>
          <w:kern w:val="0"/>
          <w:szCs w:val="21"/>
          <w:lang w:bidi="ar"/>
        </w:rPr>
        <w:t>, c</w:t>
      </w:r>
      <w:r>
        <w:rPr>
          <w:rFonts w:ascii="Arial" w:eastAsia="Arial Unicode MS" w:hAnsi="Arial" w:cs="Arial"/>
          <w:kern w:val="0"/>
          <w:szCs w:val="21"/>
          <w:lang w:bidi="ar"/>
        </w:rPr>
        <w:t>ervical canal</w:t>
      </w:r>
      <w:r>
        <w:rPr>
          <w:rFonts w:ascii="Arial" w:eastAsia="Arial" w:hAnsi="Arial" w:cs="Arial"/>
          <w:kern w:val="0"/>
          <w:szCs w:val="21"/>
          <w:lang w:bidi="ar"/>
        </w:rPr>
        <w:t xml:space="preserve"> and c</w:t>
      </w:r>
      <w:r>
        <w:rPr>
          <w:rFonts w:ascii="Arial" w:eastAsia="Arial Unicode MS" w:hAnsi="Arial" w:cs="Arial"/>
          <w:kern w:val="0"/>
          <w:szCs w:val="21"/>
          <w:lang w:bidi="ar"/>
        </w:rPr>
        <w:t>ervix</w:t>
      </w:r>
      <w:r>
        <w:rPr>
          <w:rFonts w:ascii="Arial" w:eastAsia="Arial" w:hAnsi="Arial" w:cs="Arial"/>
          <w:kern w:val="0"/>
          <w:szCs w:val="21"/>
          <w:lang w:bidi="ar"/>
        </w:rPr>
        <w:t xml:space="preserve"> and strong CD7 signal in small intestine and t</w:t>
      </w:r>
      <w:r>
        <w:rPr>
          <w:rFonts w:ascii="Arial" w:eastAsia="Arial Unicode MS" w:hAnsi="Arial" w:cs="Arial"/>
          <w:kern w:val="0"/>
          <w:szCs w:val="21"/>
          <w:lang w:bidi="ar"/>
        </w:rPr>
        <w:t>onsil</w:t>
      </w:r>
      <w:r>
        <w:rPr>
          <w:rFonts w:ascii="Arial" w:eastAsia="Arial" w:hAnsi="Arial" w:cs="Arial"/>
          <w:kern w:val="0"/>
          <w:szCs w:val="21"/>
          <w:lang w:bidi="ar"/>
        </w:rPr>
        <w:t xml:space="preserve"> tissue.</w:t>
      </w:r>
      <w:r>
        <w:rPr>
          <w:rFonts w:ascii="Arial" w:eastAsia="Arial Unicode MS" w:hAnsi="Arial" w:cs="Arial"/>
          <w:kern w:val="0"/>
          <w:szCs w:val="21"/>
          <w:lang w:bidi="ar"/>
        </w:rPr>
        <w:t xml:space="preserve"> Scale bar, 50 </w:t>
      </w:r>
      <w:proofErr w:type="spellStart"/>
      <w:r>
        <w:rPr>
          <w:rFonts w:ascii="Arial" w:eastAsia="Arial Unicode MS" w:hAnsi="Arial" w:cs="Arial"/>
          <w:kern w:val="0"/>
          <w:szCs w:val="21"/>
          <w:lang w:bidi="ar"/>
        </w:rPr>
        <w:t>μm</w:t>
      </w:r>
      <w:proofErr w:type="spellEnd"/>
      <w:r>
        <w:rPr>
          <w:rFonts w:ascii="Arial" w:eastAsia="Arial Unicode MS" w:hAnsi="Arial" w:cs="Arial"/>
          <w:kern w:val="0"/>
          <w:szCs w:val="21"/>
          <w:lang w:bidi="ar"/>
        </w:rPr>
        <w:t>/200μm. Histological staining was quantified using ImageJ</w:t>
      </w:r>
      <w:r>
        <w:rPr>
          <w:rFonts w:ascii="Arial" w:eastAsia="Arial" w:hAnsi="Arial" w:cs="Arial"/>
          <w:kern w:val="0"/>
          <w:szCs w:val="21"/>
          <w:lang w:bidi="ar"/>
        </w:rPr>
        <w:t xml:space="preserve">. </w:t>
      </w:r>
      <w:r>
        <w:rPr>
          <w:rFonts w:ascii="Arial" w:eastAsia="Arial Unicode MS" w:hAnsi="Arial" w:cs="Arial"/>
          <w:szCs w:val="21"/>
        </w:rPr>
        <w:t xml:space="preserve">Pearson’s correlation coefficient (R) = 0.481, </w:t>
      </w:r>
      <w:r>
        <w:rPr>
          <w:rFonts w:ascii="Arial" w:eastAsia="宋体" w:hAnsi="Arial" w:cs="Arial"/>
          <w:szCs w:val="21"/>
        </w:rPr>
        <w:t>***p≤0.001, **p≤0.01, NS=no significant</w:t>
      </w:r>
      <w:r>
        <w:rPr>
          <w:rFonts w:ascii="Arial" w:eastAsia="宋体" w:hAnsi="Arial" w:cs="Arial" w:hint="eastAsia"/>
          <w:szCs w:val="21"/>
        </w:rPr>
        <w:t>.</w:t>
      </w:r>
    </w:p>
    <w:p w14:paraId="6A3E0AB9" w14:textId="77777777" w:rsidR="00E95A27" w:rsidRDefault="00655E8C">
      <w:pPr>
        <w:autoSpaceDE w:val="0"/>
        <w:autoSpaceDN w:val="0"/>
        <w:jc w:val="left"/>
        <w:rPr>
          <w:rFonts w:ascii="Arial" w:eastAsia="Arial Unicode MS" w:hAnsi="Arial" w:cs="Arial"/>
          <w:b/>
        </w:rPr>
      </w:pPr>
      <w:r>
        <w:rPr>
          <w:rFonts w:ascii="Arial" w:eastAsia="Arial Unicode MS" w:hAnsi="Arial" w:cs="Arial"/>
          <w:b/>
          <w:kern w:val="0"/>
          <w:sz w:val="22"/>
          <w:lang w:bidi="ar"/>
        </w:rPr>
        <w:t xml:space="preserve"> </w:t>
      </w:r>
    </w:p>
    <w:p w14:paraId="692E5902" w14:textId="77777777" w:rsidR="00E95A27" w:rsidRDefault="00655E8C">
      <w:pPr>
        <w:autoSpaceDE w:val="0"/>
        <w:autoSpaceDN w:val="0"/>
        <w:jc w:val="left"/>
        <w:rPr>
          <w:rFonts w:ascii="Arial" w:eastAsia="Arial" w:hAnsi="Arial" w:cs="Arial"/>
          <w:b/>
          <w:kern w:val="0"/>
          <w:sz w:val="22"/>
          <w:lang w:bidi="ar"/>
        </w:rPr>
      </w:pPr>
      <w:r>
        <w:rPr>
          <w:rFonts w:ascii="Arial" w:eastAsia="Arial Unicode MS" w:hAnsi="Arial" w:cs="Arial"/>
          <w:b/>
          <w:kern w:val="0"/>
          <w:sz w:val="22"/>
          <w:lang w:bidi="ar"/>
        </w:rPr>
        <w:t>F</w:t>
      </w:r>
      <w:r>
        <w:rPr>
          <w:rFonts w:ascii="Arial" w:eastAsia="Arial" w:hAnsi="Arial" w:cs="Arial"/>
          <w:b/>
          <w:kern w:val="0"/>
          <w:sz w:val="22"/>
          <w:lang w:bidi="ar"/>
        </w:rPr>
        <w:t xml:space="preserve">igure S2. </w:t>
      </w:r>
    </w:p>
    <w:p w14:paraId="3219A0F5" w14:textId="77777777" w:rsidR="00E95A27" w:rsidRDefault="00655E8C">
      <w:pPr>
        <w:rPr>
          <w:rFonts w:ascii="Arial" w:eastAsia="宋体" w:hAnsi="Arial" w:cs="Arial"/>
          <w:szCs w:val="21"/>
        </w:rPr>
      </w:pPr>
      <w:r>
        <w:rPr>
          <w:rFonts w:ascii="Arial" w:hAnsi="Arial" w:cs="Arial"/>
          <w:b/>
          <w:szCs w:val="21"/>
        </w:rPr>
        <w:t>(A-B)</w:t>
      </w:r>
      <w:r>
        <w:rPr>
          <w:rFonts w:ascii="Arial" w:hAnsi="Arial" w:cs="Arial"/>
          <w:szCs w:val="21"/>
        </w:rPr>
        <w:t xml:space="preserve"> </w:t>
      </w:r>
      <w:r>
        <w:rPr>
          <w:rFonts w:ascii="Arial" w:eastAsia="Arial Unicode MS" w:hAnsi="Arial" w:cs="Arial"/>
          <w:kern w:val="0"/>
          <w:szCs w:val="21"/>
          <w:lang w:bidi="ar"/>
        </w:rPr>
        <w:t xml:space="preserve">Binding kinetics of anti-CD99 </w:t>
      </w:r>
      <w:r>
        <w:rPr>
          <w:rFonts w:ascii="Arial" w:eastAsia="Arial Unicode MS" w:hAnsi="Arial" w:cs="Arial"/>
          <w:kern w:val="0"/>
          <w:szCs w:val="21"/>
          <w:lang w:eastAsia="zh-Hans" w:bidi="ar"/>
        </w:rPr>
        <w:t>antibodies (1021527 and 3B2/TAB)</w:t>
      </w:r>
      <w:r>
        <w:rPr>
          <w:rFonts w:ascii="Arial" w:eastAsia="Arial" w:hAnsi="Arial" w:cs="Arial"/>
          <w:kern w:val="0"/>
          <w:szCs w:val="21"/>
          <w:lang w:bidi="ar"/>
        </w:rPr>
        <w:t xml:space="preserve"> </w:t>
      </w:r>
      <w:r>
        <w:rPr>
          <w:rFonts w:ascii="Arial" w:eastAsia="Arial Unicode MS" w:hAnsi="Arial" w:cs="Arial"/>
          <w:kern w:val="0"/>
          <w:szCs w:val="21"/>
          <w:lang w:bidi="ar"/>
        </w:rPr>
        <w:t xml:space="preserve">with </w:t>
      </w:r>
      <w:r>
        <w:rPr>
          <w:rFonts w:ascii="Arial" w:eastAsia="Arial" w:hAnsi="Arial" w:cs="Arial"/>
          <w:kern w:val="0"/>
          <w:szCs w:val="21"/>
          <w:lang w:bidi="ar"/>
        </w:rPr>
        <w:t>CD99</w:t>
      </w:r>
      <w:r>
        <w:rPr>
          <w:rFonts w:ascii="Arial" w:eastAsia="Arial" w:hAnsi="Arial" w:cs="Arial"/>
          <w:kern w:val="0"/>
          <w:szCs w:val="21"/>
          <w:lang w:bidi="ar"/>
        </w:rPr>
        <w:t xml:space="preserve"> protein. </w:t>
      </w:r>
      <w:r>
        <w:rPr>
          <w:rFonts w:ascii="Arial" w:eastAsia="Arial Unicode MS" w:hAnsi="Arial" w:cs="Arial"/>
          <w:kern w:val="0"/>
          <w:szCs w:val="21"/>
          <w:lang w:bidi="ar"/>
        </w:rPr>
        <w:t xml:space="preserve">Analysis of the interaction between the antibodies and </w:t>
      </w:r>
      <w:r>
        <w:rPr>
          <w:rFonts w:ascii="Arial" w:eastAsia="Arial" w:hAnsi="Arial" w:cs="Arial"/>
          <w:kern w:val="0"/>
          <w:szCs w:val="21"/>
          <w:lang w:bidi="ar"/>
        </w:rPr>
        <w:t>CD99 protein</w:t>
      </w:r>
      <w:r>
        <w:rPr>
          <w:rFonts w:ascii="Arial" w:eastAsia="Arial Unicode MS" w:hAnsi="Arial" w:cs="Arial"/>
          <w:kern w:val="0"/>
          <w:szCs w:val="21"/>
          <w:lang w:bidi="ar"/>
        </w:rPr>
        <w:t xml:space="preserve"> using </w:t>
      </w:r>
      <w:proofErr w:type="spellStart"/>
      <w:r>
        <w:rPr>
          <w:rFonts w:ascii="Arial" w:eastAsia="Arial Unicode MS" w:hAnsi="Arial" w:cs="Arial"/>
          <w:kern w:val="0"/>
          <w:szCs w:val="21"/>
          <w:lang w:bidi="ar"/>
        </w:rPr>
        <w:t>BLItz</w:t>
      </w:r>
      <w:proofErr w:type="spellEnd"/>
      <w:r>
        <w:rPr>
          <w:rFonts w:ascii="Arial" w:eastAsia="Arial Unicode MS" w:hAnsi="Arial" w:cs="Arial"/>
          <w:kern w:val="0"/>
          <w:szCs w:val="21"/>
          <w:lang w:bidi="ar"/>
        </w:rPr>
        <w:t xml:space="preserve"> biolayer interferometry</w:t>
      </w:r>
      <w:r>
        <w:rPr>
          <w:rFonts w:ascii="Arial" w:eastAsia="Arial" w:hAnsi="Arial" w:cs="Arial"/>
          <w:kern w:val="0"/>
          <w:szCs w:val="21"/>
          <w:lang w:bidi="ar"/>
        </w:rPr>
        <w:t>.</w:t>
      </w:r>
      <w:r>
        <w:rPr>
          <w:rFonts w:ascii="Arial" w:eastAsia="Arial Unicode MS" w:hAnsi="Arial" w:cs="Arial"/>
          <w:kern w:val="0"/>
          <w:szCs w:val="21"/>
          <w:lang w:bidi="ar"/>
        </w:rPr>
        <w:t xml:space="preserve"> </w:t>
      </w:r>
      <w:r>
        <w:rPr>
          <w:rFonts w:ascii="Arial" w:hAnsi="Arial" w:cs="Arial"/>
          <w:b/>
          <w:szCs w:val="21"/>
        </w:rPr>
        <w:t xml:space="preserve">(C) </w:t>
      </w:r>
      <w:r>
        <w:rPr>
          <w:rFonts w:ascii="Arial" w:eastAsia="Arial Unicode MS" w:hAnsi="Arial" w:cs="Arial"/>
          <w:kern w:val="0"/>
          <w:szCs w:val="21"/>
          <w:lang w:bidi="ar"/>
        </w:rPr>
        <w:t xml:space="preserve">Schematic illustration of the </w:t>
      </w:r>
      <w:r>
        <w:rPr>
          <w:rFonts w:ascii="Arial" w:eastAsia="Arial" w:hAnsi="Arial" w:cs="Arial"/>
          <w:kern w:val="0"/>
          <w:szCs w:val="21"/>
          <w:lang w:bidi="ar"/>
        </w:rPr>
        <w:t>anti-</w:t>
      </w:r>
      <w:r>
        <w:rPr>
          <w:rFonts w:ascii="Arial" w:eastAsia="Arial Unicode MS" w:hAnsi="Arial" w:cs="Arial"/>
          <w:kern w:val="0"/>
          <w:szCs w:val="21"/>
          <w:lang w:bidi="ar"/>
        </w:rPr>
        <w:t>CD</w:t>
      </w:r>
      <w:r>
        <w:rPr>
          <w:rFonts w:ascii="Arial" w:eastAsia="Arial" w:hAnsi="Arial" w:cs="Arial"/>
          <w:kern w:val="0"/>
          <w:szCs w:val="21"/>
          <w:lang w:bidi="ar"/>
        </w:rPr>
        <w:t>99</w:t>
      </w:r>
      <w:r>
        <w:rPr>
          <w:rFonts w:ascii="Arial" w:eastAsia="Arial Unicode MS" w:hAnsi="Arial" w:cs="Arial"/>
          <w:kern w:val="0"/>
          <w:szCs w:val="21"/>
          <w:lang w:bidi="ar"/>
        </w:rPr>
        <w:t xml:space="preserve"> CAR construct.</w:t>
      </w:r>
      <w:r>
        <w:rPr>
          <w:rFonts w:ascii="Arial" w:hAnsi="Arial" w:cs="Arial"/>
          <w:szCs w:val="21"/>
        </w:rPr>
        <w:t xml:space="preserve"> </w:t>
      </w:r>
      <w:r>
        <w:rPr>
          <w:rFonts w:ascii="Arial" w:eastAsia="Arial" w:hAnsi="Arial" w:cs="Arial"/>
          <w:b/>
          <w:kern w:val="0"/>
          <w:szCs w:val="21"/>
          <w:lang w:bidi="ar"/>
        </w:rPr>
        <w:t xml:space="preserve">(D-E) </w:t>
      </w:r>
      <w:r>
        <w:rPr>
          <w:rFonts w:ascii="Arial" w:hAnsi="Arial" w:cs="Arial"/>
          <w:szCs w:val="21"/>
        </w:rPr>
        <w:t xml:space="preserve">Flow cytometry was applied to assess the anti-CD99 CAR T cells phenotypes (CD69, CD25, </w:t>
      </w:r>
      <w:r>
        <w:rPr>
          <w:rFonts w:ascii="Arial" w:eastAsia="Arial Unicode MS" w:hAnsi="Arial" w:cs="Arial"/>
          <w:szCs w:val="21"/>
        </w:rPr>
        <w:t>CD45RA</w:t>
      </w:r>
      <w:r>
        <w:rPr>
          <w:rFonts w:ascii="Arial" w:hAnsi="Arial" w:cs="Arial"/>
          <w:szCs w:val="21"/>
        </w:rPr>
        <w:t xml:space="preserve"> and CCR7) after 12 days of </w:t>
      </w:r>
      <w:r>
        <w:rPr>
          <w:rFonts w:ascii="Arial" w:hAnsi="Arial" w:cs="Arial"/>
          <w:i/>
          <w:iCs/>
          <w:szCs w:val="21"/>
        </w:rPr>
        <w:t>in vitro</w:t>
      </w:r>
      <w:r>
        <w:rPr>
          <w:rFonts w:ascii="Arial" w:hAnsi="Arial" w:cs="Arial"/>
          <w:szCs w:val="21"/>
        </w:rPr>
        <w:t xml:space="preserve"> culture. </w:t>
      </w:r>
      <w:r>
        <w:rPr>
          <w:rFonts w:ascii="Arial" w:eastAsia="Arial" w:hAnsi="Arial" w:cs="Arial"/>
          <w:b/>
          <w:bCs/>
          <w:kern w:val="0"/>
          <w:szCs w:val="21"/>
          <w:lang w:bidi="ar"/>
        </w:rPr>
        <w:t xml:space="preserve">(F-G) </w:t>
      </w:r>
      <w:r>
        <w:rPr>
          <w:rFonts w:ascii="Arial" w:eastAsia="Arial" w:hAnsi="Arial" w:cs="Arial"/>
          <w:kern w:val="0"/>
          <w:szCs w:val="21"/>
          <w:lang w:bidi="ar"/>
        </w:rPr>
        <w:t>NIH-3T3 cells overexpressed human CD99,</w:t>
      </w:r>
      <w:r>
        <w:rPr>
          <w:rFonts w:ascii="Arial" w:eastAsia="Arial Unicode MS" w:hAnsi="Arial" w:cs="Arial"/>
          <w:kern w:val="0"/>
          <w:szCs w:val="21"/>
          <w:lang w:bidi="ar"/>
        </w:rPr>
        <w:t xml:space="preserve"> </w:t>
      </w:r>
      <w:r>
        <w:rPr>
          <w:rFonts w:ascii="Arial" w:eastAsia="Arial" w:hAnsi="Arial" w:cs="Arial"/>
          <w:kern w:val="0"/>
          <w:szCs w:val="21"/>
          <w:lang w:bidi="ar"/>
        </w:rPr>
        <w:t xml:space="preserve">and anti-CD99 CAR T cells </w:t>
      </w:r>
      <w:r>
        <w:rPr>
          <w:rFonts w:ascii="Arial" w:eastAsia="Arial Unicode MS" w:hAnsi="Arial" w:cs="Arial"/>
          <w:kern w:val="0"/>
          <w:szCs w:val="21"/>
          <w:lang w:bidi="ar"/>
        </w:rPr>
        <w:t>specifically kill</w:t>
      </w:r>
      <w:r>
        <w:rPr>
          <w:rFonts w:ascii="Arial" w:eastAsia="Arial" w:hAnsi="Arial" w:cs="Arial"/>
          <w:kern w:val="0"/>
          <w:szCs w:val="21"/>
          <w:lang w:bidi="ar"/>
        </w:rPr>
        <w:t>ed</w:t>
      </w:r>
      <w:r>
        <w:rPr>
          <w:rFonts w:ascii="Arial" w:eastAsia="Arial Unicode MS" w:hAnsi="Arial" w:cs="Arial"/>
          <w:kern w:val="0"/>
          <w:szCs w:val="21"/>
          <w:lang w:bidi="ar"/>
        </w:rPr>
        <w:t xml:space="preserve"> CD99</w:t>
      </w:r>
      <w:r>
        <w:rPr>
          <w:rFonts w:ascii="Arial" w:eastAsia="Arial" w:hAnsi="Arial" w:cs="Arial"/>
          <w:kern w:val="0"/>
          <w:szCs w:val="21"/>
          <w:lang w:bidi="ar"/>
        </w:rPr>
        <w:t>-overexpressing</w:t>
      </w:r>
      <w:r>
        <w:rPr>
          <w:rFonts w:ascii="Arial" w:eastAsia="Arial Unicode MS" w:hAnsi="Arial" w:cs="Arial"/>
          <w:kern w:val="0"/>
          <w:szCs w:val="21"/>
          <w:lang w:bidi="ar"/>
        </w:rPr>
        <w:t xml:space="preserve"> cells</w:t>
      </w:r>
      <w:r>
        <w:rPr>
          <w:rFonts w:ascii="Arial" w:eastAsia="Arial" w:hAnsi="Arial" w:cs="Arial"/>
          <w:kern w:val="0"/>
          <w:szCs w:val="21"/>
          <w:lang w:bidi="ar"/>
        </w:rPr>
        <w:t xml:space="preserve"> at </w:t>
      </w:r>
      <w:r>
        <w:rPr>
          <w:rFonts w:ascii="Arial" w:eastAsia="Arial Unicode MS" w:hAnsi="Arial" w:cs="Arial"/>
          <w:kern w:val="0"/>
          <w:szCs w:val="21"/>
          <w:lang w:bidi="ar"/>
        </w:rPr>
        <w:t xml:space="preserve">different effector-to-target ratios </w:t>
      </w:r>
      <w:r>
        <w:rPr>
          <w:rFonts w:ascii="Arial" w:eastAsia="Arial" w:hAnsi="Arial" w:cs="Arial"/>
          <w:kern w:val="0"/>
          <w:szCs w:val="21"/>
          <w:lang w:bidi="ar"/>
        </w:rPr>
        <w:t xml:space="preserve">(1:1/5:1/25:1). </w:t>
      </w:r>
      <w:r>
        <w:rPr>
          <w:rFonts w:ascii="Arial" w:hAnsi="Arial" w:cs="Arial"/>
          <w:b/>
          <w:szCs w:val="21"/>
        </w:rPr>
        <w:t xml:space="preserve">(H-I) </w:t>
      </w:r>
      <w:r>
        <w:rPr>
          <w:rFonts w:ascii="Arial" w:eastAsia="Arial Unicode MS" w:hAnsi="Arial" w:cs="Arial"/>
          <w:szCs w:val="21"/>
        </w:rPr>
        <w:t>CD</w:t>
      </w:r>
      <w:r>
        <w:rPr>
          <w:rFonts w:ascii="Arial" w:hAnsi="Arial" w:cs="Arial"/>
          <w:szCs w:val="21"/>
        </w:rPr>
        <w:t>99</w:t>
      </w:r>
      <w:r>
        <w:rPr>
          <w:rFonts w:ascii="Arial" w:eastAsia="Arial Unicode MS" w:hAnsi="Arial" w:cs="Arial"/>
          <w:szCs w:val="21"/>
        </w:rPr>
        <w:t xml:space="preserve"> was knocked down </w:t>
      </w:r>
      <w:r>
        <w:rPr>
          <w:rFonts w:ascii="Arial" w:hAnsi="Arial" w:cs="Arial"/>
          <w:szCs w:val="21"/>
        </w:rPr>
        <w:t>in MOLT-4 cells, and the cytotoxic activity of anti-CD99 CAR T cells was assessed in knockdown versus control cells.</w:t>
      </w:r>
      <w:r>
        <w:rPr>
          <w:rFonts w:ascii="Arial" w:eastAsia="Arial" w:hAnsi="Arial" w:cs="Arial"/>
          <w:b/>
          <w:kern w:val="0"/>
          <w:szCs w:val="21"/>
          <w:lang w:bidi="ar"/>
        </w:rPr>
        <w:t>(J)</w:t>
      </w:r>
      <w:r>
        <w:rPr>
          <w:rFonts w:ascii="Arial" w:hAnsi="Arial" w:cs="Arial"/>
          <w:szCs w:val="21"/>
        </w:rPr>
        <w:t xml:space="preserve"> </w:t>
      </w:r>
      <w:r>
        <w:rPr>
          <w:rFonts w:ascii="Arial" w:eastAsia="Arial" w:hAnsi="Arial" w:cs="Arial"/>
          <w:kern w:val="0"/>
          <w:szCs w:val="21"/>
          <w:lang w:bidi="ar"/>
        </w:rPr>
        <w:t>F</w:t>
      </w:r>
      <w:r>
        <w:rPr>
          <w:rFonts w:ascii="Arial" w:eastAsia="Arial Unicode MS" w:hAnsi="Arial" w:cs="Arial"/>
          <w:kern w:val="0"/>
          <w:szCs w:val="21"/>
          <w:lang w:bidi="ar"/>
        </w:rPr>
        <w:t>low cytometry showing CD</w:t>
      </w:r>
      <w:r>
        <w:rPr>
          <w:rFonts w:ascii="Arial" w:eastAsia="Arial" w:hAnsi="Arial" w:cs="Arial"/>
          <w:kern w:val="0"/>
          <w:szCs w:val="21"/>
          <w:lang w:bidi="ar"/>
        </w:rPr>
        <w:t>99</w:t>
      </w:r>
      <w:r>
        <w:rPr>
          <w:rFonts w:ascii="Arial" w:eastAsia="Arial Unicode MS" w:hAnsi="Arial" w:cs="Arial"/>
          <w:kern w:val="0"/>
          <w:szCs w:val="21"/>
          <w:lang w:bidi="ar"/>
        </w:rPr>
        <w:t xml:space="preserve"> expression in </w:t>
      </w:r>
      <w:r>
        <w:rPr>
          <w:rFonts w:ascii="Arial" w:eastAsia="Arial" w:hAnsi="Arial" w:cs="Arial"/>
          <w:kern w:val="0"/>
          <w:szCs w:val="21"/>
          <w:lang w:bidi="ar"/>
        </w:rPr>
        <w:t xml:space="preserve">different </w:t>
      </w:r>
      <w:proofErr w:type="spellStart"/>
      <w:r>
        <w:rPr>
          <w:rFonts w:ascii="Arial" w:eastAsia="Arial" w:hAnsi="Arial" w:cs="Arial"/>
          <w:kern w:val="0"/>
          <w:szCs w:val="21"/>
          <w:lang w:bidi="ar"/>
        </w:rPr>
        <w:t>tumour</w:t>
      </w:r>
      <w:proofErr w:type="spellEnd"/>
      <w:r>
        <w:rPr>
          <w:rFonts w:ascii="Arial" w:eastAsia="Arial" w:hAnsi="Arial" w:cs="Arial"/>
          <w:kern w:val="0"/>
          <w:szCs w:val="21"/>
          <w:lang w:bidi="ar"/>
        </w:rPr>
        <w:t xml:space="preserve"> cell lines. </w:t>
      </w:r>
      <w:r>
        <w:rPr>
          <w:rFonts w:ascii="Arial" w:eastAsia="Arial" w:hAnsi="Arial" w:cs="Arial"/>
          <w:b/>
          <w:kern w:val="0"/>
          <w:szCs w:val="21"/>
          <w:lang w:bidi="ar"/>
        </w:rPr>
        <w:t>(K)</w:t>
      </w:r>
      <w:r>
        <w:rPr>
          <w:rFonts w:ascii="Arial" w:eastAsia="Arial" w:hAnsi="Arial" w:cs="Arial"/>
          <w:kern w:val="0"/>
          <w:szCs w:val="21"/>
          <w:lang w:bidi="ar"/>
        </w:rPr>
        <w:t xml:space="preserve"> Cytotoxic activity of anti-CD99 CAR T cells against various </w:t>
      </w:r>
      <w:proofErr w:type="spellStart"/>
      <w:r>
        <w:rPr>
          <w:rFonts w:ascii="Arial" w:eastAsia="Arial" w:hAnsi="Arial" w:cs="Arial"/>
          <w:kern w:val="0"/>
          <w:szCs w:val="21"/>
          <w:lang w:bidi="ar"/>
        </w:rPr>
        <w:t>tumour</w:t>
      </w:r>
      <w:proofErr w:type="spellEnd"/>
      <w:r>
        <w:rPr>
          <w:rFonts w:ascii="Arial" w:eastAsia="Arial" w:hAnsi="Arial" w:cs="Arial"/>
          <w:kern w:val="0"/>
          <w:szCs w:val="21"/>
          <w:lang w:bidi="ar"/>
        </w:rPr>
        <w:t xml:space="preserve"> cell lines</w:t>
      </w:r>
      <w:r>
        <w:rPr>
          <w:rFonts w:ascii="Arial" w:eastAsia="Arial Unicode MS" w:hAnsi="Arial" w:cs="Arial"/>
          <w:kern w:val="0"/>
          <w:szCs w:val="21"/>
          <w:lang w:bidi="ar"/>
        </w:rPr>
        <w:t xml:space="preserve"> as</w:t>
      </w:r>
      <w:r>
        <w:rPr>
          <w:rFonts w:ascii="Arial" w:eastAsia="Arial" w:hAnsi="Arial" w:cs="Arial"/>
          <w:kern w:val="0"/>
          <w:szCs w:val="21"/>
          <w:lang w:bidi="ar"/>
        </w:rPr>
        <w:t xml:space="preserve"> </w:t>
      </w:r>
      <w:r>
        <w:rPr>
          <w:rFonts w:ascii="Arial" w:eastAsia="Arial Unicode MS" w:hAnsi="Arial" w:cs="Arial"/>
          <w:kern w:val="0"/>
          <w:szCs w:val="21"/>
          <w:lang w:bidi="ar"/>
        </w:rPr>
        <w:t xml:space="preserve">determined by </w:t>
      </w:r>
      <w:proofErr w:type="spellStart"/>
      <w:r>
        <w:rPr>
          <w:rFonts w:ascii="Arial" w:eastAsia="Arial Unicode MS" w:hAnsi="Arial" w:cs="Arial"/>
          <w:kern w:val="0"/>
          <w:szCs w:val="21"/>
          <w:lang w:bidi="ar"/>
        </w:rPr>
        <w:t>calcein</w:t>
      </w:r>
      <w:proofErr w:type="spellEnd"/>
      <w:r>
        <w:rPr>
          <w:rFonts w:ascii="Arial" w:eastAsia="Arial Unicode MS" w:hAnsi="Arial" w:cs="Arial"/>
          <w:kern w:val="0"/>
          <w:szCs w:val="21"/>
          <w:lang w:bidi="ar"/>
        </w:rPr>
        <w:t xml:space="preserve">-based cytotoxicity assay </w:t>
      </w:r>
      <w:r>
        <w:rPr>
          <w:rFonts w:ascii="Arial" w:eastAsia="Arial" w:hAnsi="Arial" w:cs="Arial"/>
          <w:kern w:val="0"/>
          <w:szCs w:val="21"/>
          <w:lang w:bidi="ar"/>
        </w:rPr>
        <w:t xml:space="preserve">at </w:t>
      </w:r>
      <w:r>
        <w:rPr>
          <w:rFonts w:ascii="Arial" w:eastAsia="Arial Unicode MS" w:hAnsi="Arial" w:cs="Arial"/>
          <w:kern w:val="0"/>
          <w:szCs w:val="21"/>
          <w:lang w:bidi="ar"/>
        </w:rPr>
        <w:t xml:space="preserve">different E:T ratios </w:t>
      </w:r>
      <w:r>
        <w:rPr>
          <w:rFonts w:ascii="Arial" w:eastAsia="Arial" w:hAnsi="Arial" w:cs="Arial"/>
          <w:kern w:val="0"/>
          <w:szCs w:val="21"/>
          <w:lang w:bidi="ar"/>
        </w:rPr>
        <w:t xml:space="preserve">(1:1/5:1/25:1) </w:t>
      </w:r>
      <w:r>
        <w:rPr>
          <w:rFonts w:ascii="Arial" w:eastAsia="Arial Unicode MS" w:hAnsi="Arial" w:cs="Arial"/>
          <w:kern w:val="0"/>
          <w:szCs w:val="21"/>
          <w:lang w:bidi="ar"/>
        </w:rPr>
        <w:t xml:space="preserve">after </w:t>
      </w:r>
      <w:r>
        <w:rPr>
          <w:rFonts w:ascii="Arial" w:eastAsia="Arial" w:hAnsi="Arial" w:cs="Arial"/>
          <w:kern w:val="0"/>
          <w:szCs w:val="21"/>
          <w:lang w:bidi="ar"/>
        </w:rPr>
        <w:t>2-3</w:t>
      </w:r>
      <w:r>
        <w:rPr>
          <w:rFonts w:ascii="Arial" w:eastAsia="Arial Unicode MS" w:hAnsi="Arial" w:cs="Arial"/>
          <w:kern w:val="0"/>
          <w:szCs w:val="21"/>
          <w:lang w:bidi="ar"/>
        </w:rPr>
        <w:t xml:space="preserve"> h</w:t>
      </w:r>
      <w:r>
        <w:rPr>
          <w:rFonts w:ascii="Arial" w:eastAsia="Arial" w:hAnsi="Arial" w:cs="Arial"/>
          <w:kern w:val="0"/>
          <w:szCs w:val="21"/>
          <w:lang w:bidi="ar"/>
        </w:rPr>
        <w:t xml:space="preserve"> of co-culture.</w:t>
      </w:r>
    </w:p>
    <w:p w14:paraId="1C409AD1" w14:textId="77777777" w:rsidR="00E95A27" w:rsidRDefault="00E95A27">
      <w:pPr>
        <w:autoSpaceDE w:val="0"/>
        <w:autoSpaceDN w:val="0"/>
        <w:jc w:val="left"/>
        <w:rPr>
          <w:rFonts w:ascii="Arial" w:hAnsi="Arial" w:cs="Arial"/>
        </w:rPr>
      </w:pPr>
    </w:p>
    <w:p w14:paraId="75800629" w14:textId="77777777" w:rsidR="00E95A27" w:rsidRDefault="00655E8C">
      <w:pPr>
        <w:autoSpaceDE w:val="0"/>
        <w:autoSpaceDN w:val="0"/>
        <w:jc w:val="left"/>
        <w:rPr>
          <w:rFonts w:ascii="Arial" w:eastAsia="Arial" w:hAnsi="Arial" w:cs="Arial"/>
          <w:b/>
          <w:kern w:val="0"/>
          <w:sz w:val="22"/>
          <w:lang w:bidi="ar"/>
        </w:rPr>
      </w:pPr>
      <w:r>
        <w:rPr>
          <w:rFonts w:ascii="Arial" w:eastAsia="Arial" w:hAnsi="Arial" w:cs="Arial"/>
          <w:b/>
          <w:kern w:val="0"/>
          <w:sz w:val="22"/>
          <w:lang w:bidi="ar"/>
        </w:rPr>
        <w:t>Figure S3.</w:t>
      </w:r>
    </w:p>
    <w:p w14:paraId="4B79429D" w14:textId="77777777" w:rsidR="00E95A27" w:rsidRDefault="00655E8C">
      <w:pPr>
        <w:autoSpaceDE w:val="0"/>
        <w:autoSpaceDN w:val="0"/>
        <w:jc w:val="left"/>
        <w:rPr>
          <w:rFonts w:ascii="Arial" w:eastAsia="Arial Unicode MS" w:hAnsi="Arial" w:cs="Arial"/>
          <w:kern w:val="0"/>
          <w:szCs w:val="21"/>
          <w:lang w:bidi="ar"/>
        </w:rPr>
      </w:pPr>
      <w:r>
        <w:rPr>
          <w:rFonts w:ascii="Arial" w:eastAsia="Arial" w:hAnsi="Arial" w:cs="Arial"/>
          <w:b/>
          <w:kern w:val="0"/>
          <w:szCs w:val="21"/>
          <w:lang w:bidi="ar"/>
        </w:rPr>
        <w:t xml:space="preserve">(A-B) </w:t>
      </w:r>
      <w:r>
        <w:rPr>
          <w:rFonts w:ascii="Arial" w:eastAsia="Arial Unicode MS" w:hAnsi="Arial" w:cs="Arial"/>
          <w:kern w:val="0"/>
          <w:szCs w:val="21"/>
          <w:lang w:bidi="ar"/>
        </w:rPr>
        <w:t xml:space="preserve">The gating strategy of blast cells from T-ALL patients(example patien1#) and AML patients(example patien7#). </w:t>
      </w:r>
      <w:r>
        <w:rPr>
          <w:rFonts w:ascii="Arial" w:eastAsia="Arial" w:hAnsi="Arial" w:cs="Arial"/>
          <w:b/>
          <w:kern w:val="0"/>
          <w:szCs w:val="21"/>
          <w:lang w:bidi="ar"/>
        </w:rPr>
        <w:t xml:space="preserve">(C) </w:t>
      </w:r>
      <w:r>
        <w:rPr>
          <w:rFonts w:ascii="Arial" w:eastAsia="Arial Unicode MS" w:hAnsi="Arial" w:cs="Arial"/>
          <w:kern w:val="0"/>
          <w:szCs w:val="21"/>
          <w:lang w:bidi="ar"/>
        </w:rPr>
        <w:t>T</w:t>
      </w:r>
      <w:r>
        <w:rPr>
          <w:rFonts w:ascii="Arial" w:eastAsia="Arial Unicode MS" w:hAnsi="Arial" w:cs="Arial"/>
          <w:kern w:val="0"/>
          <w:szCs w:val="21"/>
          <w:lang w:eastAsia="zh-Hans" w:bidi="ar"/>
        </w:rPr>
        <w:t>he gating strategy of LSCs in AML patients</w:t>
      </w:r>
      <w:r>
        <w:rPr>
          <w:rFonts w:ascii="Arial" w:eastAsia="Arial Unicode MS" w:hAnsi="Arial" w:cs="Arial"/>
          <w:kern w:val="0"/>
          <w:szCs w:val="21"/>
          <w:lang w:bidi="ar"/>
        </w:rPr>
        <w:t xml:space="preserve">(example </w:t>
      </w:r>
      <w:r>
        <w:rPr>
          <w:rFonts w:ascii="Arial" w:eastAsia="Arial Unicode MS" w:hAnsi="Arial" w:cs="Arial"/>
          <w:kern w:val="0"/>
          <w:szCs w:val="21"/>
          <w:lang w:bidi="ar"/>
        </w:rPr>
        <w:lastRenderedPageBreak/>
        <w:t>patien10#).</w:t>
      </w:r>
    </w:p>
    <w:p w14:paraId="05FD5449" w14:textId="77777777" w:rsidR="00E95A27" w:rsidRDefault="00E95A27">
      <w:pPr>
        <w:autoSpaceDE w:val="0"/>
        <w:autoSpaceDN w:val="0"/>
        <w:jc w:val="left"/>
        <w:rPr>
          <w:rFonts w:ascii="Arial" w:eastAsia="Arial Unicode MS" w:hAnsi="Arial" w:cs="Arial"/>
          <w:kern w:val="0"/>
          <w:szCs w:val="21"/>
          <w:lang w:eastAsia="zh-Hans" w:bidi="ar"/>
        </w:rPr>
      </w:pPr>
    </w:p>
    <w:p w14:paraId="6297206D" w14:textId="77777777" w:rsidR="00E95A27" w:rsidRDefault="00655E8C">
      <w:pPr>
        <w:autoSpaceDE w:val="0"/>
        <w:autoSpaceDN w:val="0"/>
        <w:jc w:val="left"/>
        <w:rPr>
          <w:rFonts w:ascii="Arial" w:eastAsia="Arial" w:hAnsi="Arial" w:cs="Arial"/>
          <w:b/>
          <w:kern w:val="0"/>
          <w:sz w:val="22"/>
          <w:lang w:bidi="ar"/>
        </w:rPr>
      </w:pPr>
      <w:r>
        <w:rPr>
          <w:rFonts w:ascii="Arial" w:eastAsia="Arial" w:hAnsi="Arial" w:cs="Arial"/>
          <w:b/>
          <w:kern w:val="0"/>
          <w:sz w:val="22"/>
          <w:lang w:bidi="ar"/>
        </w:rPr>
        <w:t>Figure S4.</w:t>
      </w:r>
    </w:p>
    <w:p w14:paraId="5AC3E05F" w14:textId="77777777" w:rsidR="00E95A27" w:rsidRDefault="00655E8C">
      <w:pPr>
        <w:rPr>
          <w:rFonts w:ascii="Arial" w:eastAsia="宋体" w:hAnsi="Arial" w:cs="Arial"/>
          <w:szCs w:val="21"/>
        </w:rPr>
      </w:pPr>
      <w:r>
        <w:rPr>
          <w:rFonts w:ascii="Arial" w:eastAsia="Arial" w:hAnsi="Arial" w:cs="Arial"/>
          <w:b/>
          <w:kern w:val="0"/>
          <w:szCs w:val="21"/>
          <w:lang w:bidi="ar"/>
        </w:rPr>
        <w:t>(A-B)</w:t>
      </w:r>
      <w:r>
        <w:rPr>
          <w:rFonts w:ascii="Arial" w:eastAsia="Arial" w:hAnsi="Arial" w:cs="Arial"/>
          <w:kern w:val="0"/>
          <w:szCs w:val="21"/>
          <w:lang w:bidi="ar"/>
        </w:rPr>
        <w:t xml:space="preserve"> S</w:t>
      </w:r>
      <w:r>
        <w:rPr>
          <w:rFonts w:ascii="Arial" w:eastAsia="Arial Unicode MS" w:hAnsi="Arial" w:cs="Arial"/>
          <w:kern w:val="0"/>
          <w:szCs w:val="21"/>
          <w:lang w:bidi="ar"/>
        </w:rPr>
        <w:t>chem</w:t>
      </w:r>
      <w:r>
        <w:rPr>
          <w:rFonts w:ascii="Arial" w:eastAsia="Arial" w:hAnsi="Arial" w:cs="Arial"/>
          <w:kern w:val="0"/>
          <w:szCs w:val="21"/>
          <w:lang w:bidi="ar"/>
        </w:rPr>
        <w:t>atic outline of the mouse model experiment. NCG mice (n=</w:t>
      </w:r>
      <w:r>
        <w:rPr>
          <w:rFonts w:ascii="Arial" w:eastAsia="Arial" w:hAnsi="Arial" w:cs="Arial"/>
          <w:kern w:val="0"/>
          <w:szCs w:val="21"/>
          <w:lang w:bidi="ar"/>
        </w:rPr>
        <w:t xml:space="preserve">6 per group) were </w:t>
      </w:r>
      <w:proofErr w:type="spellStart"/>
      <w:r>
        <w:rPr>
          <w:rFonts w:ascii="Arial" w:eastAsia="Arial" w:hAnsi="Arial" w:cs="Arial"/>
          <w:kern w:val="0"/>
          <w:szCs w:val="21"/>
          <w:lang w:bidi="ar"/>
        </w:rPr>
        <w:t>i.v.</w:t>
      </w:r>
      <w:proofErr w:type="spellEnd"/>
      <w:r>
        <w:rPr>
          <w:rFonts w:ascii="Arial" w:eastAsia="Arial" w:hAnsi="Arial" w:cs="Arial"/>
          <w:kern w:val="0"/>
          <w:szCs w:val="21"/>
          <w:lang w:bidi="ar"/>
        </w:rPr>
        <w:t xml:space="preserve"> injected with GFP-</w:t>
      </w:r>
      <w:proofErr w:type="spellStart"/>
      <w:r>
        <w:rPr>
          <w:rFonts w:ascii="Arial" w:eastAsia="Arial" w:hAnsi="Arial" w:cs="Arial"/>
          <w:kern w:val="0"/>
          <w:szCs w:val="21"/>
          <w:lang w:bidi="ar"/>
        </w:rPr>
        <w:t>Fluc</w:t>
      </w:r>
      <w:proofErr w:type="spellEnd"/>
      <w:r>
        <w:rPr>
          <w:rFonts w:ascii="Arial" w:eastAsia="Arial" w:hAnsi="Arial" w:cs="Arial"/>
          <w:kern w:val="0"/>
          <w:szCs w:val="21"/>
          <w:lang w:bidi="ar"/>
        </w:rPr>
        <w:t xml:space="preserve"> MOLT-4 cells and administered anti-</w:t>
      </w:r>
      <w:r>
        <w:rPr>
          <w:rFonts w:ascii="Arial" w:eastAsia="Arial Unicode MS" w:hAnsi="Arial" w:cs="Arial"/>
          <w:kern w:val="0"/>
          <w:szCs w:val="21"/>
          <w:lang w:bidi="ar"/>
        </w:rPr>
        <w:t>CD</w:t>
      </w:r>
      <w:r>
        <w:rPr>
          <w:rFonts w:ascii="Arial" w:eastAsia="Arial" w:hAnsi="Arial" w:cs="Arial"/>
          <w:kern w:val="0"/>
          <w:szCs w:val="21"/>
          <w:lang w:bidi="ar"/>
        </w:rPr>
        <w:t xml:space="preserve">99 </w:t>
      </w:r>
      <w:r>
        <w:rPr>
          <w:rFonts w:ascii="Arial" w:eastAsia="Arial Unicode MS" w:hAnsi="Arial" w:cs="Arial"/>
          <w:kern w:val="0"/>
          <w:szCs w:val="21"/>
          <w:lang w:bidi="ar"/>
        </w:rPr>
        <w:t xml:space="preserve">CAR T cells at a dose of </w:t>
      </w:r>
      <w:r>
        <w:rPr>
          <w:rFonts w:ascii="Arial" w:eastAsia="Arial" w:hAnsi="Arial" w:cs="Arial"/>
          <w:kern w:val="0"/>
          <w:szCs w:val="21"/>
          <w:lang w:bidi="ar"/>
        </w:rPr>
        <w:t>5</w:t>
      </w:r>
      <w:r>
        <w:rPr>
          <w:rFonts w:ascii="Arial" w:eastAsia="Arial Unicode MS" w:hAnsi="Arial" w:cs="Arial"/>
          <w:kern w:val="0"/>
          <w:szCs w:val="21"/>
          <w:lang w:bidi="ar"/>
        </w:rPr>
        <w:t>×10</w:t>
      </w:r>
      <w:r>
        <w:rPr>
          <w:rFonts w:ascii="Arial" w:eastAsia="Arial Unicode MS" w:hAnsi="Arial" w:cs="Arial"/>
          <w:kern w:val="0"/>
          <w:szCs w:val="21"/>
          <w:vertAlign w:val="superscript"/>
          <w:lang w:bidi="ar"/>
        </w:rPr>
        <w:t xml:space="preserve">6 </w:t>
      </w:r>
      <w:r>
        <w:rPr>
          <w:rFonts w:ascii="Arial" w:eastAsia="Arial Unicode MS" w:hAnsi="Arial" w:cs="Arial"/>
          <w:kern w:val="0"/>
          <w:szCs w:val="21"/>
          <w:lang w:bidi="ar"/>
        </w:rPr>
        <w:t xml:space="preserve">CAR T cells </w:t>
      </w:r>
      <w:r>
        <w:rPr>
          <w:rFonts w:ascii="Arial" w:eastAsia="Arial" w:hAnsi="Arial" w:cs="Arial"/>
          <w:kern w:val="0"/>
          <w:szCs w:val="21"/>
          <w:lang w:bidi="ar"/>
        </w:rPr>
        <w:t>or 5</w:t>
      </w:r>
      <w:r>
        <w:rPr>
          <w:rFonts w:ascii="Arial" w:eastAsia="Arial Unicode MS" w:hAnsi="Arial" w:cs="Arial"/>
          <w:kern w:val="0"/>
          <w:szCs w:val="21"/>
          <w:lang w:bidi="ar"/>
        </w:rPr>
        <w:t>×10</w:t>
      </w:r>
      <w:r>
        <w:rPr>
          <w:rFonts w:ascii="Arial" w:eastAsia="Arial Unicode MS" w:hAnsi="Arial" w:cs="Arial"/>
          <w:kern w:val="0"/>
          <w:szCs w:val="21"/>
          <w:vertAlign w:val="superscript"/>
          <w:lang w:bidi="ar"/>
        </w:rPr>
        <w:t>6</w:t>
      </w:r>
      <w:r>
        <w:rPr>
          <w:rFonts w:ascii="Arial" w:eastAsia="Arial" w:hAnsi="Arial" w:cs="Arial"/>
          <w:kern w:val="0"/>
          <w:szCs w:val="21"/>
          <w:vertAlign w:val="superscript"/>
          <w:lang w:bidi="ar"/>
        </w:rPr>
        <w:t xml:space="preserve"> </w:t>
      </w:r>
      <w:r>
        <w:rPr>
          <w:rFonts w:ascii="Arial" w:eastAsia="Arial" w:hAnsi="Arial" w:cs="Arial"/>
          <w:kern w:val="0"/>
          <w:szCs w:val="21"/>
          <w:lang w:bidi="ar"/>
        </w:rPr>
        <w:t xml:space="preserve">T cells </w:t>
      </w:r>
      <w:r>
        <w:rPr>
          <w:rFonts w:ascii="Arial" w:eastAsia="Arial Unicode MS" w:hAnsi="Arial" w:cs="Arial"/>
          <w:kern w:val="0"/>
          <w:szCs w:val="21"/>
          <w:lang w:bidi="ar"/>
        </w:rPr>
        <w:t>per mouse on day 3 following</w:t>
      </w:r>
      <w:r>
        <w:rPr>
          <w:rFonts w:ascii="Arial" w:eastAsia="Arial" w:hAnsi="Arial" w:cs="Arial"/>
          <w:kern w:val="0"/>
          <w:szCs w:val="21"/>
          <w:lang w:bidi="ar"/>
        </w:rPr>
        <w:t xml:space="preserve"> MOLT-4 cell</w:t>
      </w:r>
      <w:r>
        <w:rPr>
          <w:rFonts w:ascii="Arial" w:eastAsia="Arial Unicode MS" w:hAnsi="Arial" w:cs="Arial"/>
          <w:kern w:val="0"/>
          <w:szCs w:val="21"/>
          <w:lang w:bidi="ar"/>
        </w:rPr>
        <w:t xml:space="preserve"> injection. </w:t>
      </w:r>
      <w:proofErr w:type="spellStart"/>
      <w:r>
        <w:rPr>
          <w:rFonts w:ascii="Arial" w:eastAsia="Arial Unicode MS" w:hAnsi="Arial" w:cs="Arial"/>
          <w:kern w:val="0"/>
          <w:szCs w:val="21"/>
          <w:lang w:bidi="ar"/>
        </w:rPr>
        <w:t>Tumour</w:t>
      </w:r>
      <w:proofErr w:type="spellEnd"/>
      <w:r>
        <w:rPr>
          <w:rFonts w:ascii="Arial" w:eastAsia="Arial Unicode MS" w:hAnsi="Arial" w:cs="Arial"/>
          <w:kern w:val="0"/>
          <w:szCs w:val="21"/>
          <w:lang w:bidi="ar"/>
        </w:rPr>
        <w:t xml:space="preserve"> burden was monitored every </w:t>
      </w:r>
      <w:r>
        <w:rPr>
          <w:rFonts w:ascii="Arial" w:eastAsia="Arial" w:hAnsi="Arial" w:cs="Arial"/>
          <w:kern w:val="0"/>
          <w:szCs w:val="21"/>
          <w:lang w:bidi="ar"/>
        </w:rPr>
        <w:t>week</w:t>
      </w:r>
      <w:r>
        <w:rPr>
          <w:rFonts w:ascii="Arial" w:eastAsia="Arial Unicode MS" w:hAnsi="Arial" w:cs="Arial"/>
          <w:kern w:val="0"/>
          <w:szCs w:val="21"/>
          <w:lang w:bidi="ar"/>
        </w:rPr>
        <w:t xml:space="preserve"> by</w:t>
      </w:r>
      <w:r>
        <w:rPr>
          <w:rFonts w:ascii="Arial" w:eastAsia="Arial" w:hAnsi="Arial" w:cs="Arial"/>
          <w:kern w:val="0"/>
          <w:szCs w:val="21"/>
          <w:lang w:bidi="ar"/>
        </w:rPr>
        <w:t xml:space="preserve"> </w:t>
      </w:r>
      <w:r>
        <w:rPr>
          <w:rFonts w:ascii="Arial" w:eastAsia="Arial Unicode MS" w:hAnsi="Arial" w:cs="Arial"/>
          <w:kern w:val="0"/>
          <w:szCs w:val="21"/>
          <w:lang w:bidi="ar"/>
        </w:rPr>
        <w:t>BLI using IVIS imaging</w:t>
      </w:r>
      <w:r>
        <w:rPr>
          <w:rFonts w:ascii="Arial" w:eastAsia="Arial" w:hAnsi="Arial" w:cs="Arial"/>
          <w:kern w:val="0"/>
          <w:szCs w:val="21"/>
          <w:lang w:bidi="ar"/>
        </w:rPr>
        <w:t xml:space="preserve">. </w:t>
      </w:r>
      <w:r>
        <w:rPr>
          <w:rFonts w:ascii="Arial" w:eastAsia="Arial" w:hAnsi="Arial" w:cs="Arial"/>
          <w:b/>
          <w:kern w:val="0"/>
          <w:szCs w:val="21"/>
          <w:lang w:bidi="ar"/>
        </w:rPr>
        <w:t>(C)</w:t>
      </w:r>
      <w:r>
        <w:rPr>
          <w:rFonts w:ascii="Arial" w:eastAsia="Arial" w:hAnsi="Arial" w:cs="Arial"/>
          <w:kern w:val="0"/>
          <w:szCs w:val="21"/>
          <w:lang w:bidi="ar"/>
        </w:rPr>
        <w:t xml:space="preserve"> </w:t>
      </w:r>
      <w:r>
        <w:rPr>
          <w:rFonts w:ascii="Arial" w:eastAsia="Arial Unicode MS" w:hAnsi="Arial" w:cs="Arial"/>
          <w:kern w:val="0"/>
          <w:szCs w:val="21"/>
          <w:lang w:bidi="ar"/>
        </w:rPr>
        <w:t xml:space="preserve">Quantification of the </w:t>
      </w:r>
      <w:r>
        <w:rPr>
          <w:rFonts w:ascii="Arial" w:eastAsia="Arial" w:hAnsi="Arial" w:cs="Arial"/>
          <w:kern w:val="0"/>
          <w:szCs w:val="21"/>
          <w:lang w:bidi="ar"/>
        </w:rPr>
        <w:t>b</w:t>
      </w:r>
      <w:r>
        <w:rPr>
          <w:rFonts w:ascii="Arial" w:eastAsia="Arial Unicode MS" w:hAnsi="Arial" w:cs="Arial"/>
          <w:kern w:val="0"/>
          <w:szCs w:val="21"/>
          <w:lang w:bidi="ar"/>
        </w:rPr>
        <w:t xml:space="preserve">ioluminescence </w:t>
      </w:r>
      <w:r>
        <w:rPr>
          <w:rFonts w:ascii="Arial" w:eastAsia="Arial" w:hAnsi="Arial" w:cs="Arial"/>
          <w:kern w:val="0"/>
          <w:szCs w:val="21"/>
          <w:lang w:bidi="ar"/>
        </w:rPr>
        <w:t xml:space="preserve">of </w:t>
      </w:r>
      <w:proofErr w:type="spellStart"/>
      <w:r>
        <w:rPr>
          <w:rFonts w:ascii="Arial" w:eastAsia="Arial" w:hAnsi="Arial" w:cs="Arial"/>
          <w:kern w:val="0"/>
          <w:szCs w:val="21"/>
          <w:lang w:bidi="ar"/>
        </w:rPr>
        <w:t>tumour</w:t>
      </w:r>
      <w:proofErr w:type="spellEnd"/>
      <w:r>
        <w:rPr>
          <w:rFonts w:ascii="Arial" w:eastAsia="Arial" w:hAnsi="Arial" w:cs="Arial"/>
          <w:kern w:val="0"/>
          <w:szCs w:val="21"/>
          <w:lang w:bidi="ar"/>
        </w:rPr>
        <w:t xml:space="preserve"> burden and mouse weight in different treatment groups. </w:t>
      </w:r>
      <w:r>
        <w:rPr>
          <w:rFonts w:ascii="Arial" w:eastAsia="Arial" w:hAnsi="Arial" w:cs="Arial"/>
          <w:b/>
          <w:kern w:val="0"/>
          <w:szCs w:val="21"/>
          <w:lang w:bidi="ar"/>
        </w:rPr>
        <w:t>(D)</w:t>
      </w:r>
      <w:r>
        <w:rPr>
          <w:rFonts w:ascii="Arial" w:eastAsia="Arial" w:hAnsi="Arial" w:cs="Arial"/>
          <w:kern w:val="0"/>
          <w:szCs w:val="21"/>
          <w:lang w:bidi="ar"/>
        </w:rPr>
        <w:t xml:space="preserve"> </w:t>
      </w:r>
      <w:r>
        <w:rPr>
          <w:rFonts w:ascii="Arial" w:eastAsia="Arial Unicode MS" w:hAnsi="Arial" w:cs="Arial"/>
          <w:kern w:val="0"/>
          <w:szCs w:val="21"/>
          <w:lang w:bidi="ar"/>
        </w:rPr>
        <w:t>Kaplan-Meier</w:t>
      </w:r>
      <w:r>
        <w:rPr>
          <w:rFonts w:ascii="Arial" w:eastAsia="Arial" w:hAnsi="Arial" w:cs="Arial"/>
          <w:kern w:val="0"/>
          <w:szCs w:val="21"/>
          <w:lang w:bidi="ar"/>
        </w:rPr>
        <w:t xml:space="preserve"> </w:t>
      </w:r>
      <w:r>
        <w:rPr>
          <w:rFonts w:ascii="Arial" w:eastAsia="Arial Unicode MS" w:hAnsi="Arial" w:cs="Arial"/>
          <w:kern w:val="0"/>
          <w:szCs w:val="21"/>
          <w:lang w:bidi="ar"/>
        </w:rPr>
        <w:t>survival curves</w:t>
      </w:r>
      <w:r>
        <w:rPr>
          <w:rFonts w:ascii="Arial" w:eastAsia="Arial" w:hAnsi="Arial" w:cs="Arial"/>
          <w:kern w:val="0"/>
          <w:szCs w:val="21"/>
          <w:lang w:bidi="ar"/>
        </w:rPr>
        <w:t xml:space="preserve"> of the CDX (MOLT-4) mouse model inject</w:t>
      </w:r>
      <w:r>
        <w:rPr>
          <w:rFonts w:ascii="Arial" w:eastAsia="Arial" w:hAnsi="Arial" w:cs="Arial"/>
          <w:kern w:val="0"/>
          <w:szCs w:val="21"/>
          <w:lang w:bidi="ar"/>
        </w:rPr>
        <w:t>ed with T cells and anti-</w:t>
      </w:r>
      <w:r>
        <w:rPr>
          <w:rFonts w:ascii="Arial" w:eastAsia="Arial Unicode MS" w:hAnsi="Arial" w:cs="Arial"/>
          <w:kern w:val="0"/>
          <w:szCs w:val="21"/>
          <w:lang w:bidi="ar"/>
        </w:rPr>
        <w:t>CD</w:t>
      </w:r>
      <w:r>
        <w:rPr>
          <w:rFonts w:ascii="Arial" w:eastAsia="Arial" w:hAnsi="Arial" w:cs="Arial"/>
          <w:kern w:val="0"/>
          <w:szCs w:val="21"/>
          <w:lang w:bidi="ar"/>
        </w:rPr>
        <w:t xml:space="preserve">99 </w:t>
      </w:r>
      <w:r>
        <w:rPr>
          <w:rFonts w:ascii="Arial" w:eastAsia="Arial Unicode MS" w:hAnsi="Arial" w:cs="Arial"/>
          <w:kern w:val="0"/>
          <w:szCs w:val="21"/>
          <w:lang w:bidi="ar"/>
        </w:rPr>
        <w:t>CAR T cells</w:t>
      </w:r>
      <w:r>
        <w:rPr>
          <w:rFonts w:ascii="Arial" w:eastAsia="Arial" w:hAnsi="Arial" w:cs="Arial"/>
          <w:kern w:val="0"/>
          <w:szCs w:val="21"/>
          <w:lang w:bidi="ar"/>
        </w:rPr>
        <w:t xml:space="preserve">. </w:t>
      </w:r>
      <w:r>
        <w:rPr>
          <w:rFonts w:ascii="Arial" w:eastAsia="Arial" w:hAnsi="Arial" w:cs="Arial"/>
          <w:b/>
          <w:kern w:val="0"/>
          <w:szCs w:val="21"/>
          <w:lang w:bidi="ar"/>
        </w:rPr>
        <w:t>(E)</w:t>
      </w:r>
      <w:r>
        <w:rPr>
          <w:rFonts w:ascii="Arial" w:eastAsia="Arial" w:hAnsi="Arial" w:cs="Arial"/>
          <w:kern w:val="0"/>
          <w:szCs w:val="21"/>
          <w:lang w:bidi="ar"/>
        </w:rPr>
        <w:t xml:space="preserve"> Anti-CD99 </w:t>
      </w:r>
      <w:r>
        <w:rPr>
          <w:rFonts w:ascii="Arial" w:eastAsia="Arial Unicode MS" w:hAnsi="Arial" w:cs="Arial"/>
          <w:kern w:val="0"/>
          <w:szCs w:val="21"/>
          <w:lang w:bidi="ar"/>
        </w:rPr>
        <w:t>CAR</w:t>
      </w:r>
      <w:r>
        <w:rPr>
          <w:rFonts w:ascii="Arial" w:eastAsia="Arial" w:hAnsi="Arial" w:cs="Arial"/>
          <w:kern w:val="0"/>
          <w:szCs w:val="21"/>
          <w:lang w:bidi="ar"/>
        </w:rPr>
        <w:t xml:space="preserve"> </w:t>
      </w:r>
      <w:r>
        <w:rPr>
          <w:rFonts w:ascii="Arial" w:eastAsia="Arial Unicode MS" w:hAnsi="Arial" w:cs="Arial"/>
          <w:kern w:val="0"/>
          <w:szCs w:val="21"/>
          <w:lang w:bidi="ar"/>
        </w:rPr>
        <w:t>T</w:t>
      </w:r>
      <w:r>
        <w:rPr>
          <w:rFonts w:ascii="Arial" w:eastAsia="Arial" w:hAnsi="Arial" w:cs="Arial"/>
          <w:kern w:val="0"/>
          <w:szCs w:val="21"/>
          <w:lang w:bidi="ar"/>
        </w:rPr>
        <w:t>-cell</w:t>
      </w:r>
      <w:r>
        <w:rPr>
          <w:rFonts w:ascii="Arial" w:eastAsia="Arial Unicode MS" w:hAnsi="Arial" w:cs="Arial"/>
          <w:kern w:val="0"/>
          <w:szCs w:val="21"/>
          <w:lang w:bidi="ar"/>
        </w:rPr>
        <w:t xml:space="preserve"> expansion and persistence </w:t>
      </w:r>
      <w:r>
        <w:rPr>
          <w:rFonts w:ascii="Arial" w:hAnsi="Arial" w:cs="Arial"/>
          <w:kern w:val="0"/>
          <w:szCs w:val="21"/>
        </w:rPr>
        <w:t>in</w:t>
      </w:r>
      <w:r>
        <w:rPr>
          <w:rFonts w:ascii="Arial" w:eastAsia="Arial Unicode MS" w:hAnsi="Arial" w:cs="Arial"/>
          <w:kern w:val="0"/>
          <w:szCs w:val="21"/>
        </w:rPr>
        <w:t xml:space="preserve"> </w:t>
      </w:r>
      <w:r>
        <w:rPr>
          <w:rFonts w:ascii="Arial" w:hAnsi="Arial" w:cs="Arial"/>
          <w:kern w:val="0"/>
          <w:szCs w:val="21"/>
        </w:rPr>
        <w:t>CDX (MOLT-4) mouse model</w:t>
      </w:r>
      <w:r>
        <w:rPr>
          <w:rFonts w:ascii="Arial" w:eastAsia="Arial" w:hAnsi="Arial" w:cs="Arial"/>
          <w:kern w:val="0"/>
          <w:szCs w:val="21"/>
          <w:lang w:bidi="ar"/>
        </w:rPr>
        <w:t xml:space="preserve">. </w:t>
      </w:r>
      <w:r>
        <w:rPr>
          <w:rFonts w:ascii="Arial" w:eastAsia="Arial Unicode MS" w:hAnsi="Arial" w:cs="Arial"/>
          <w:kern w:val="0"/>
          <w:szCs w:val="21"/>
          <w:lang w:bidi="ar"/>
        </w:rPr>
        <w:t>Assessment of</w:t>
      </w:r>
      <w:r>
        <w:rPr>
          <w:rFonts w:ascii="Arial" w:eastAsia="Arial" w:hAnsi="Arial" w:cs="Arial"/>
          <w:kern w:val="0"/>
          <w:szCs w:val="21"/>
          <w:lang w:bidi="ar"/>
        </w:rPr>
        <w:t xml:space="preserve"> </w:t>
      </w:r>
      <w:r>
        <w:rPr>
          <w:rFonts w:ascii="Arial" w:eastAsia="Arial Unicode MS" w:hAnsi="Arial" w:cs="Arial"/>
          <w:kern w:val="0"/>
          <w:szCs w:val="21"/>
          <w:lang w:bidi="ar"/>
        </w:rPr>
        <w:t xml:space="preserve">the </w:t>
      </w:r>
      <w:r>
        <w:rPr>
          <w:rFonts w:ascii="Arial" w:eastAsia="Arial" w:hAnsi="Arial" w:cs="Arial"/>
          <w:kern w:val="0"/>
          <w:szCs w:val="21"/>
          <w:lang w:bidi="ar"/>
        </w:rPr>
        <w:t xml:space="preserve">copy numbers of </w:t>
      </w:r>
      <w:r>
        <w:rPr>
          <w:rFonts w:ascii="Arial" w:eastAsia="Arial Unicode MS" w:hAnsi="Arial" w:cs="Arial"/>
          <w:kern w:val="0"/>
          <w:szCs w:val="21"/>
          <w:lang w:bidi="ar"/>
        </w:rPr>
        <w:t>CAR</w:t>
      </w:r>
      <w:r>
        <w:rPr>
          <w:rFonts w:ascii="Arial" w:eastAsia="Arial" w:hAnsi="Arial" w:cs="Arial"/>
          <w:kern w:val="0"/>
          <w:szCs w:val="21"/>
          <w:lang w:bidi="ar"/>
        </w:rPr>
        <w:t>s</w:t>
      </w:r>
      <w:r>
        <w:rPr>
          <w:rFonts w:ascii="Arial" w:eastAsia="Arial Unicode MS" w:hAnsi="Arial" w:cs="Arial"/>
          <w:kern w:val="0"/>
          <w:szCs w:val="21"/>
          <w:lang w:bidi="ar"/>
        </w:rPr>
        <w:t xml:space="preserve"> in</w:t>
      </w:r>
      <w:r>
        <w:rPr>
          <w:rFonts w:ascii="Arial" w:eastAsia="Arial" w:hAnsi="Arial" w:cs="Arial"/>
          <w:kern w:val="0"/>
          <w:szCs w:val="21"/>
          <w:lang w:bidi="ar"/>
        </w:rPr>
        <w:t xml:space="preserve"> whole blood by </w:t>
      </w:r>
      <w:r>
        <w:rPr>
          <w:rFonts w:ascii="Arial" w:eastAsia="Arial Unicode MS" w:hAnsi="Arial" w:cs="Arial"/>
          <w:kern w:val="0"/>
          <w:szCs w:val="21"/>
          <w:lang w:bidi="ar"/>
        </w:rPr>
        <w:t>q-PCR.</w:t>
      </w:r>
      <w:r>
        <w:rPr>
          <w:rFonts w:ascii="Arial" w:eastAsia="Arial" w:hAnsi="Arial" w:cs="Arial"/>
          <w:kern w:val="0"/>
          <w:szCs w:val="21"/>
          <w:lang w:bidi="ar"/>
        </w:rPr>
        <w:t xml:space="preserve"> </w:t>
      </w:r>
      <w:r>
        <w:rPr>
          <w:rFonts w:ascii="Arial" w:eastAsia="Arial" w:hAnsi="Arial" w:cs="Arial"/>
          <w:b/>
          <w:kern w:val="0"/>
          <w:szCs w:val="21"/>
          <w:lang w:bidi="ar"/>
        </w:rPr>
        <w:t>(F)</w:t>
      </w:r>
      <w:r>
        <w:rPr>
          <w:rFonts w:ascii="Arial" w:eastAsia="Arial" w:hAnsi="Arial" w:cs="Arial"/>
          <w:kern w:val="0"/>
          <w:szCs w:val="21"/>
          <w:lang w:bidi="ar"/>
        </w:rPr>
        <w:t xml:space="preserve"> Upper: The proportion of human GFP-positive leukemia cells in the</w:t>
      </w:r>
      <w:r>
        <w:rPr>
          <w:rFonts w:ascii="Arial" w:eastAsia="Arial" w:hAnsi="Arial" w:cs="Arial"/>
          <w:kern w:val="0"/>
          <w:szCs w:val="21"/>
          <w:lang w:bidi="ar"/>
        </w:rPr>
        <w:t xml:space="preserve"> spleen in the T cell and anti-</w:t>
      </w:r>
      <w:r>
        <w:rPr>
          <w:rFonts w:ascii="Arial" w:eastAsia="Arial Unicode MS" w:hAnsi="Arial" w:cs="Arial"/>
          <w:kern w:val="0"/>
          <w:szCs w:val="21"/>
          <w:lang w:bidi="ar"/>
        </w:rPr>
        <w:t>CD</w:t>
      </w:r>
      <w:r>
        <w:rPr>
          <w:rFonts w:ascii="Arial" w:eastAsia="Arial" w:hAnsi="Arial" w:cs="Arial"/>
          <w:kern w:val="0"/>
          <w:szCs w:val="21"/>
          <w:lang w:bidi="ar"/>
        </w:rPr>
        <w:t xml:space="preserve">99 </w:t>
      </w:r>
      <w:r>
        <w:rPr>
          <w:rFonts w:ascii="Arial" w:eastAsia="Arial Unicode MS" w:hAnsi="Arial" w:cs="Arial"/>
          <w:kern w:val="0"/>
          <w:szCs w:val="21"/>
          <w:lang w:bidi="ar"/>
        </w:rPr>
        <w:t>CAR T cell</w:t>
      </w:r>
      <w:r>
        <w:rPr>
          <w:rFonts w:ascii="Arial" w:eastAsia="Arial" w:hAnsi="Arial" w:cs="Arial"/>
          <w:kern w:val="0"/>
          <w:szCs w:val="21"/>
          <w:lang w:bidi="ar"/>
        </w:rPr>
        <w:t xml:space="preserve"> treatment groups by FACS analysis. </w:t>
      </w:r>
      <w:r>
        <w:rPr>
          <w:rFonts w:ascii="Arial" w:eastAsia="Arial Unicode MS" w:hAnsi="Arial" w:cs="Arial"/>
          <w:kern w:val="0"/>
          <w:szCs w:val="21"/>
          <w:lang w:bidi="ar"/>
        </w:rPr>
        <w:t>Lower</w:t>
      </w:r>
      <w:r>
        <w:rPr>
          <w:rFonts w:ascii="Arial" w:eastAsia="Arial" w:hAnsi="Arial" w:cs="Arial"/>
          <w:kern w:val="0"/>
          <w:szCs w:val="21"/>
          <w:lang w:bidi="ar"/>
        </w:rPr>
        <w:t>: H</w:t>
      </w:r>
      <w:r>
        <w:rPr>
          <w:rFonts w:ascii="Arial" w:eastAsia="Arial Unicode MS" w:hAnsi="Arial" w:cs="Arial"/>
          <w:kern w:val="0"/>
          <w:szCs w:val="21"/>
          <w:lang w:bidi="ar"/>
        </w:rPr>
        <w:t xml:space="preserve">istological features of the </w:t>
      </w:r>
      <w:r>
        <w:rPr>
          <w:rFonts w:ascii="Arial" w:eastAsia="Arial" w:hAnsi="Arial" w:cs="Arial"/>
          <w:kern w:val="0"/>
          <w:szCs w:val="21"/>
          <w:lang w:bidi="ar"/>
        </w:rPr>
        <w:t>spleens in the</w:t>
      </w:r>
      <w:r>
        <w:rPr>
          <w:rFonts w:ascii="Arial" w:eastAsia="Arial Unicode MS" w:hAnsi="Arial" w:cs="Arial"/>
          <w:kern w:val="0"/>
          <w:szCs w:val="21"/>
          <w:lang w:bidi="ar"/>
        </w:rPr>
        <w:t xml:space="preserve"> </w:t>
      </w:r>
      <w:r>
        <w:rPr>
          <w:rFonts w:ascii="Arial" w:eastAsia="Arial" w:hAnsi="Arial" w:cs="Arial"/>
          <w:kern w:val="0"/>
          <w:szCs w:val="21"/>
          <w:lang w:bidi="ar"/>
        </w:rPr>
        <w:t>T cell and anti-</w:t>
      </w:r>
      <w:r>
        <w:rPr>
          <w:rFonts w:ascii="Arial" w:eastAsia="Arial Unicode MS" w:hAnsi="Arial" w:cs="Arial"/>
          <w:kern w:val="0"/>
          <w:szCs w:val="21"/>
          <w:lang w:bidi="ar"/>
        </w:rPr>
        <w:t>CD</w:t>
      </w:r>
      <w:r>
        <w:rPr>
          <w:rFonts w:ascii="Arial" w:eastAsia="Arial" w:hAnsi="Arial" w:cs="Arial"/>
          <w:kern w:val="0"/>
          <w:szCs w:val="21"/>
          <w:lang w:bidi="ar"/>
        </w:rPr>
        <w:t xml:space="preserve">99 </w:t>
      </w:r>
      <w:r>
        <w:rPr>
          <w:rFonts w:ascii="Arial" w:eastAsia="Arial Unicode MS" w:hAnsi="Arial" w:cs="Arial"/>
          <w:kern w:val="0"/>
          <w:szCs w:val="21"/>
          <w:lang w:bidi="ar"/>
        </w:rPr>
        <w:t>CAR T cell</w:t>
      </w:r>
      <w:r>
        <w:rPr>
          <w:rFonts w:ascii="Arial" w:eastAsia="Arial" w:hAnsi="Arial" w:cs="Arial"/>
          <w:kern w:val="0"/>
          <w:szCs w:val="21"/>
          <w:lang w:bidi="ar"/>
        </w:rPr>
        <w:t xml:space="preserve"> treatment groups according to </w:t>
      </w:r>
      <w:r>
        <w:rPr>
          <w:rFonts w:ascii="Arial" w:eastAsia="Arial Unicode MS" w:hAnsi="Arial" w:cs="Arial"/>
          <w:kern w:val="0"/>
          <w:szCs w:val="21"/>
          <w:lang w:bidi="ar"/>
        </w:rPr>
        <w:t xml:space="preserve">H&amp;E </w:t>
      </w:r>
      <w:r>
        <w:rPr>
          <w:rFonts w:ascii="Arial" w:eastAsia="Arial" w:hAnsi="Arial" w:cs="Arial"/>
          <w:kern w:val="0"/>
          <w:szCs w:val="21"/>
          <w:lang w:bidi="ar"/>
        </w:rPr>
        <w:t>s</w:t>
      </w:r>
      <w:r>
        <w:rPr>
          <w:rFonts w:ascii="Arial" w:eastAsia="Arial Unicode MS" w:hAnsi="Arial" w:cs="Arial"/>
          <w:kern w:val="0"/>
          <w:szCs w:val="21"/>
          <w:lang w:bidi="ar"/>
        </w:rPr>
        <w:t>taining.</w:t>
      </w:r>
      <w:r>
        <w:rPr>
          <w:rFonts w:ascii="Arial" w:eastAsia="Arial" w:hAnsi="Arial" w:cs="Arial"/>
          <w:kern w:val="0"/>
          <w:szCs w:val="21"/>
          <w:lang w:bidi="ar"/>
        </w:rPr>
        <w:t xml:space="preserve"> </w:t>
      </w:r>
      <w:r>
        <w:rPr>
          <w:rFonts w:ascii="Arial" w:eastAsia="Arial" w:hAnsi="Arial" w:cs="Arial"/>
          <w:b/>
          <w:kern w:val="0"/>
          <w:szCs w:val="21"/>
          <w:lang w:bidi="ar"/>
        </w:rPr>
        <w:t>(G)</w:t>
      </w:r>
      <w:r>
        <w:rPr>
          <w:rFonts w:ascii="Arial" w:eastAsia="Arial" w:hAnsi="Arial" w:cs="Arial"/>
          <w:kern w:val="0"/>
          <w:szCs w:val="21"/>
          <w:lang w:bidi="ar"/>
        </w:rPr>
        <w:t xml:space="preserve"> The mouse body weight in different treatment groups.</w:t>
      </w:r>
    </w:p>
    <w:p w14:paraId="27837022" w14:textId="77777777" w:rsidR="00E95A27" w:rsidRDefault="00655E8C">
      <w:pPr>
        <w:autoSpaceDE w:val="0"/>
        <w:autoSpaceDN w:val="0"/>
        <w:jc w:val="left"/>
        <w:rPr>
          <w:rFonts w:ascii="Arial" w:hAnsi="Arial" w:cs="Arial"/>
          <w:b/>
          <w:color w:val="000000"/>
          <w:sz w:val="24"/>
        </w:rPr>
      </w:pPr>
      <w:r>
        <w:rPr>
          <w:rFonts w:ascii="Arial" w:eastAsia="Arial" w:hAnsi="Arial" w:cs="Arial"/>
          <w:b/>
          <w:kern w:val="0"/>
          <w:sz w:val="22"/>
          <w:lang w:bidi="ar"/>
        </w:rPr>
        <w:t xml:space="preserve"> </w:t>
      </w:r>
    </w:p>
    <w:p w14:paraId="78719719" w14:textId="77777777" w:rsidR="00E95A27" w:rsidRDefault="00655E8C">
      <w:pPr>
        <w:autoSpaceDE w:val="0"/>
        <w:autoSpaceDN w:val="0"/>
        <w:jc w:val="left"/>
        <w:rPr>
          <w:rFonts w:ascii="Arial" w:eastAsia="Arial" w:hAnsi="Arial" w:cs="Arial"/>
          <w:b/>
          <w:kern w:val="0"/>
          <w:sz w:val="22"/>
          <w:lang w:bidi="ar"/>
        </w:rPr>
      </w:pPr>
      <w:r>
        <w:rPr>
          <w:rFonts w:ascii="Arial" w:eastAsia="Arial" w:hAnsi="Arial" w:cs="Arial"/>
          <w:b/>
          <w:kern w:val="0"/>
          <w:sz w:val="22"/>
          <w:lang w:bidi="ar"/>
        </w:rPr>
        <w:t>Figure S5.</w:t>
      </w:r>
    </w:p>
    <w:p w14:paraId="38BE969D" w14:textId="77777777" w:rsidR="00E95A27" w:rsidRDefault="00655E8C">
      <w:pPr>
        <w:pStyle w:val="ListParagraph0"/>
        <w:widowControl/>
        <w:ind w:firstLineChars="0" w:firstLine="0"/>
        <w:rPr>
          <w:rFonts w:ascii="Arial" w:hAnsi="Arial" w:cs="Arial"/>
        </w:rPr>
      </w:pPr>
      <w:r>
        <w:rPr>
          <w:rFonts w:ascii="Arial" w:hAnsi="Arial" w:cs="Arial"/>
          <w:b/>
          <w:bCs/>
        </w:rPr>
        <w:t>(A-B)</w:t>
      </w:r>
      <w:r>
        <w:rPr>
          <w:rFonts w:ascii="Arial" w:hAnsi="Arial" w:cs="Arial"/>
        </w:rPr>
        <w:t xml:space="preserve"> C</w:t>
      </w:r>
      <w:r>
        <w:rPr>
          <w:rFonts w:ascii="Arial" w:eastAsia="Arial Unicode MS" w:hAnsi="Arial" w:cs="Arial"/>
        </w:rPr>
        <w:t>ytometric bead array</w:t>
      </w:r>
      <w:r>
        <w:rPr>
          <w:rFonts w:ascii="Arial" w:hAnsi="Arial" w:cs="Arial"/>
        </w:rPr>
        <w:t xml:space="preserve">s analysis of serum cytokine CRP and SF levels in different </w:t>
      </w:r>
      <w:proofErr w:type="spellStart"/>
      <w:r>
        <w:rPr>
          <w:rFonts w:ascii="Arial" w:hAnsi="Arial" w:cs="Arial"/>
        </w:rPr>
        <w:t>patients.CRP</w:t>
      </w:r>
      <w:proofErr w:type="spellEnd"/>
      <w:r>
        <w:rPr>
          <w:rFonts w:ascii="Arial" w:hAnsi="Arial" w:cs="Arial"/>
        </w:rPr>
        <w:t xml:space="preserve">, </w:t>
      </w:r>
      <w:r>
        <w:rPr>
          <w:rFonts w:ascii="Arial" w:eastAsia="Arial Unicode MS" w:hAnsi="Arial" w:cs="Arial"/>
        </w:rPr>
        <w:t>C-reactive protein</w:t>
      </w:r>
      <w:r>
        <w:rPr>
          <w:rFonts w:ascii="Arial" w:hAnsi="Arial" w:cs="Arial"/>
        </w:rPr>
        <w:t>; SF,</w:t>
      </w:r>
      <w:r>
        <w:rPr>
          <w:rFonts w:ascii="Arial" w:eastAsia="Arial Unicode MS" w:hAnsi="Arial" w:cs="Arial"/>
        </w:rPr>
        <w:t xml:space="preserve"> serum ferritin</w:t>
      </w:r>
      <w:r>
        <w:rPr>
          <w:rFonts w:ascii="Arial" w:hAnsi="Arial" w:cs="Arial"/>
        </w:rPr>
        <w:t>.</w:t>
      </w:r>
    </w:p>
    <w:p w14:paraId="02A4DAAF" w14:textId="075EA282" w:rsidR="00E95A27" w:rsidRDefault="00E95A27">
      <w:pPr>
        <w:rPr>
          <w:rFonts w:ascii="Arial" w:hAnsi="Arial" w:cs="Arial"/>
        </w:rPr>
      </w:pPr>
    </w:p>
    <w:sectPr w:rsidR="00E95A2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Bold">
    <w:altName w:val="Segoe Print"/>
    <w:charset w:val="00"/>
    <w:family w:val="auto"/>
    <w:pitch w:val="default"/>
    <w:sig w:usb0="00000000" w:usb1="00000000" w:usb2="00000000" w:usb3="00000000" w:csb0="0000019F" w:csb1="00000000"/>
  </w:font>
  <w:font w:name="Arial Unicode MS">
    <w:altName w:val="HGMaruGothicMPRO"/>
    <w:panose1 w:val="020B0604020202020204"/>
    <w:charset w:val="80"/>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x29pxfr52d5f9ev9en5pzegtx0sx0zsd2dp&quot;&gt;我的EndNote库&lt;record-ids&gt;&lt;item&gt;123&lt;/item&gt;&lt;item&gt;130&lt;/item&gt;&lt;/record-ids&gt;&lt;/item&gt;&lt;/Libraries&gt;"/>
  </w:docVars>
  <w:rsids>
    <w:rsidRoot w:val="006971E4"/>
    <w:rsid w:val="FADD3E37"/>
    <w:rsid w:val="FBEDA735"/>
    <w:rsid w:val="00034422"/>
    <w:rsid w:val="00036F02"/>
    <w:rsid w:val="00037080"/>
    <w:rsid w:val="0004642F"/>
    <w:rsid w:val="0006040F"/>
    <w:rsid w:val="00082C15"/>
    <w:rsid w:val="000A34DF"/>
    <w:rsid w:val="000A603B"/>
    <w:rsid w:val="000B2018"/>
    <w:rsid w:val="000B3159"/>
    <w:rsid w:val="000E4E2B"/>
    <w:rsid w:val="00106833"/>
    <w:rsid w:val="00112A75"/>
    <w:rsid w:val="001259DE"/>
    <w:rsid w:val="00126FA0"/>
    <w:rsid w:val="001311DE"/>
    <w:rsid w:val="001339EB"/>
    <w:rsid w:val="00134487"/>
    <w:rsid w:val="00135346"/>
    <w:rsid w:val="0013720D"/>
    <w:rsid w:val="00144D39"/>
    <w:rsid w:val="001628FB"/>
    <w:rsid w:val="00172672"/>
    <w:rsid w:val="00176E3D"/>
    <w:rsid w:val="001B06AA"/>
    <w:rsid w:val="001B77F6"/>
    <w:rsid w:val="001C16EF"/>
    <w:rsid w:val="001C462A"/>
    <w:rsid w:val="001D1E8B"/>
    <w:rsid w:val="001E2553"/>
    <w:rsid w:val="001E5BA0"/>
    <w:rsid w:val="001E6892"/>
    <w:rsid w:val="001F4D3C"/>
    <w:rsid w:val="001F506E"/>
    <w:rsid w:val="001F5F19"/>
    <w:rsid w:val="002013A6"/>
    <w:rsid w:val="002023B5"/>
    <w:rsid w:val="00206E1E"/>
    <w:rsid w:val="00212716"/>
    <w:rsid w:val="00233E3E"/>
    <w:rsid w:val="00234B98"/>
    <w:rsid w:val="00241D54"/>
    <w:rsid w:val="00253664"/>
    <w:rsid w:val="00256718"/>
    <w:rsid w:val="00265DC8"/>
    <w:rsid w:val="0027494D"/>
    <w:rsid w:val="0028203C"/>
    <w:rsid w:val="00282390"/>
    <w:rsid w:val="00283F90"/>
    <w:rsid w:val="00286742"/>
    <w:rsid w:val="00296142"/>
    <w:rsid w:val="002C16DD"/>
    <w:rsid w:val="002C41E1"/>
    <w:rsid w:val="002D6D45"/>
    <w:rsid w:val="002E064F"/>
    <w:rsid w:val="00305BAC"/>
    <w:rsid w:val="003160A9"/>
    <w:rsid w:val="00317033"/>
    <w:rsid w:val="00320F8F"/>
    <w:rsid w:val="00326290"/>
    <w:rsid w:val="00331F62"/>
    <w:rsid w:val="00332429"/>
    <w:rsid w:val="00337501"/>
    <w:rsid w:val="00340743"/>
    <w:rsid w:val="003416CB"/>
    <w:rsid w:val="00341F58"/>
    <w:rsid w:val="00353353"/>
    <w:rsid w:val="003540BA"/>
    <w:rsid w:val="00361A79"/>
    <w:rsid w:val="003626A3"/>
    <w:rsid w:val="00363405"/>
    <w:rsid w:val="00367411"/>
    <w:rsid w:val="00383F49"/>
    <w:rsid w:val="003850CC"/>
    <w:rsid w:val="00391CE3"/>
    <w:rsid w:val="00396937"/>
    <w:rsid w:val="003969AC"/>
    <w:rsid w:val="003C201F"/>
    <w:rsid w:val="003D6F3D"/>
    <w:rsid w:val="003D7EA2"/>
    <w:rsid w:val="003E463A"/>
    <w:rsid w:val="003E5251"/>
    <w:rsid w:val="003E6F7E"/>
    <w:rsid w:val="00415FB6"/>
    <w:rsid w:val="00420B34"/>
    <w:rsid w:val="00425A91"/>
    <w:rsid w:val="004271EE"/>
    <w:rsid w:val="0043318A"/>
    <w:rsid w:val="00433450"/>
    <w:rsid w:val="00443AC0"/>
    <w:rsid w:val="004631FB"/>
    <w:rsid w:val="0048000B"/>
    <w:rsid w:val="00480CEE"/>
    <w:rsid w:val="00481D16"/>
    <w:rsid w:val="004832D9"/>
    <w:rsid w:val="00483AC4"/>
    <w:rsid w:val="00492FD7"/>
    <w:rsid w:val="00493E9E"/>
    <w:rsid w:val="004A045A"/>
    <w:rsid w:val="004A42B2"/>
    <w:rsid w:val="004B5C13"/>
    <w:rsid w:val="004E28C6"/>
    <w:rsid w:val="004E5D49"/>
    <w:rsid w:val="004F587C"/>
    <w:rsid w:val="0050382D"/>
    <w:rsid w:val="005039F8"/>
    <w:rsid w:val="00516F74"/>
    <w:rsid w:val="00520C06"/>
    <w:rsid w:val="005256D7"/>
    <w:rsid w:val="00540BD8"/>
    <w:rsid w:val="00551107"/>
    <w:rsid w:val="00560352"/>
    <w:rsid w:val="00565323"/>
    <w:rsid w:val="0057109C"/>
    <w:rsid w:val="00576638"/>
    <w:rsid w:val="00590E32"/>
    <w:rsid w:val="00595F36"/>
    <w:rsid w:val="005B3AB9"/>
    <w:rsid w:val="005B433E"/>
    <w:rsid w:val="005B67C8"/>
    <w:rsid w:val="005B714E"/>
    <w:rsid w:val="005C1187"/>
    <w:rsid w:val="005D044D"/>
    <w:rsid w:val="005E1AAE"/>
    <w:rsid w:val="005F2B26"/>
    <w:rsid w:val="005F6C13"/>
    <w:rsid w:val="006066B3"/>
    <w:rsid w:val="00614D86"/>
    <w:rsid w:val="00615596"/>
    <w:rsid w:val="00616CB6"/>
    <w:rsid w:val="0062457F"/>
    <w:rsid w:val="006252E5"/>
    <w:rsid w:val="0063002A"/>
    <w:rsid w:val="00631B06"/>
    <w:rsid w:val="00632409"/>
    <w:rsid w:val="00635194"/>
    <w:rsid w:val="00646651"/>
    <w:rsid w:val="00655E8C"/>
    <w:rsid w:val="00657745"/>
    <w:rsid w:val="00666387"/>
    <w:rsid w:val="00672C21"/>
    <w:rsid w:val="00692C12"/>
    <w:rsid w:val="006954EF"/>
    <w:rsid w:val="006971E4"/>
    <w:rsid w:val="006C3F19"/>
    <w:rsid w:val="006D4008"/>
    <w:rsid w:val="006E00D8"/>
    <w:rsid w:val="006F2298"/>
    <w:rsid w:val="006F38B9"/>
    <w:rsid w:val="006F585D"/>
    <w:rsid w:val="006F5DB0"/>
    <w:rsid w:val="006F6F64"/>
    <w:rsid w:val="00701917"/>
    <w:rsid w:val="00710CFD"/>
    <w:rsid w:val="00711222"/>
    <w:rsid w:val="007144E6"/>
    <w:rsid w:val="007172B6"/>
    <w:rsid w:val="00733B21"/>
    <w:rsid w:val="00752B4B"/>
    <w:rsid w:val="007625C6"/>
    <w:rsid w:val="007858D9"/>
    <w:rsid w:val="007A0700"/>
    <w:rsid w:val="007B0CB9"/>
    <w:rsid w:val="007C2606"/>
    <w:rsid w:val="007D2B5C"/>
    <w:rsid w:val="007E1926"/>
    <w:rsid w:val="007E4E8A"/>
    <w:rsid w:val="007E734E"/>
    <w:rsid w:val="007F4E3D"/>
    <w:rsid w:val="00807BBA"/>
    <w:rsid w:val="008120BD"/>
    <w:rsid w:val="008150EB"/>
    <w:rsid w:val="00816844"/>
    <w:rsid w:val="0081711D"/>
    <w:rsid w:val="0082630D"/>
    <w:rsid w:val="00830CFD"/>
    <w:rsid w:val="00835124"/>
    <w:rsid w:val="00851D4A"/>
    <w:rsid w:val="00855C54"/>
    <w:rsid w:val="00856BF6"/>
    <w:rsid w:val="00873E14"/>
    <w:rsid w:val="00874605"/>
    <w:rsid w:val="00875EF4"/>
    <w:rsid w:val="0087765F"/>
    <w:rsid w:val="00877D07"/>
    <w:rsid w:val="00883DDE"/>
    <w:rsid w:val="0089300F"/>
    <w:rsid w:val="008B5AC4"/>
    <w:rsid w:val="008B5CC4"/>
    <w:rsid w:val="008C7783"/>
    <w:rsid w:val="008C7792"/>
    <w:rsid w:val="008D0EFA"/>
    <w:rsid w:val="008D27D9"/>
    <w:rsid w:val="008D5B7B"/>
    <w:rsid w:val="008E4AA7"/>
    <w:rsid w:val="008F2D3E"/>
    <w:rsid w:val="00902F01"/>
    <w:rsid w:val="009062C1"/>
    <w:rsid w:val="00927212"/>
    <w:rsid w:val="0095100B"/>
    <w:rsid w:val="0095243D"/>
    <w:rsid w:val="00952959"/>
    <w:rsid w:val="009568D9"/>
    <w:rsid w:val="00956BEF"/>
    <w:rsid w:val="00960B63"/>
    <w:rsid w:val="0096623E"/>
    <w:rsid w:val="00970172"/>
    <w:rsid w:val="009753C2"/>
    <w:rsid w:val="0097566F"/>
    <w:rsid w:val="00981CE4"/>
    <w:rsid w:val="0098588D"/>
    <w:rsid w:val="009A5A85"/>
    <w:rsid w:val="009C1E04"/>
    <w:rsid w:val="009C259E"/>
    <w:rsid w:val="009C4F4D"/>
    <w:rsid w:val="009D0CDF"/>
    <w:rsid w:val="009D3FB1"/>
    <w:rsid w:val="00A02945"/>
    <w:rsid w:val="00A047BA"/>
    <w:rsid w:val="00A047F6"/>
    <w:rsid w:val="00A13F8C"/>
    <w:rsid w:val="00A14B59"/>
    <w:rsid w:val="00A17D10"/>
    <w:rsid w:val="00A17DAD"/>
    <w:rsid w:val="00A2263B"/>
    <w:rsid w:val="00A24804"/>
    <w:rsid w:val="00A30B37"/>
    <w:rsid w:val="00A3390F"/>
    <w:rsid w:val="00A3484C"/>
    <w:rsid w:val="00A43E5F"/>
    <w:rsid w:val="00A53758"/>
    <w:rsid w:val="00A558A0"/>
    <w:rsid w:val="00A6637A"/>
    <w:rsid w:val="00A668AD"/>
    <w:rsid w:val="00A72F89"/>
    <w:rsid w:val="00A7698A"/>
    <w:rsid w:val="00A7710F"/>
    <w:rsid w:val="00A86D05"/>
    <w:rsid w:val="00A97FC5"/>
    <w:rsid w:val="00AA1430"/>
    <w:rsid w:val="00AB32DF"/>
    <w:rsid w:val="00AB5697"/>
    <w:rsid w:val="00AC2C0B"/>
    <w:rsid w:val="00AC40BE"/>
    <w:rsid w:val="00AC6874"/>
    <w:rsid w:val="00AD08CE"/>
    <w:rsid w:val="00AD509C"/>
    <w:rsid w:val="00AE3A4E"/>
    <w:rsid w:val="00AE3B75"/>
    <w:rsid w:val="00AF7B88"/>
    <w:rsid w:val="00B11224"/>
    <w:rsid w:val="00B3107B"/>
    <w:rsid w:val="00B40433"/>
    <w:rsid w:val="00B45381"/>
    <w:rsid w:val="00B47725"/>
    <w:rsid w:val="00B73C14"/>
    <w:rsid w:val="00B776A9"/>
    <w:rsid w:val="00B84728"/>
    <w:rsid w:val="00B951DF"/>
    <w:rsid w:val="00BE0814"/>
    <w:rsid w:val="00BF0199"/>
    <w:rsid w:val="00BF05D4"/>
    <w:rsid w:val="00BF15BB"/>
    <w:rsid w:val="00C210C9"/>
    <w:rsid w:val="00C24E7F"/>
    <w:rsid w:val="00C25CA0"/>
    <w:rsid w:val="00C32254"/>
    <w:rsid w:val="00C412FE"/>
    <w:rsid w:val="00C62BEA"/>
    <w:rsid w:val="00C76AAF"/>
    <w:rsid w:val="00C82C33"/>
    <w:rsid w:val="00C90894"/>
    <w:rsid w:val="00C92708"/>
    <w:rsid w:val="00CA0D62"/>
    <w:rsid w:val="00CA1CD9"/>
    <w:rsid w:val="00CC46CC"/>
    <w:rsid w:val="00CD312E"/>
    <w:rsid w:val="00CD584C"/>
    <w:rsid w:val="00CF39B6"/>
    <w:rsid w:val="00D35286"/>
    <w:rsid w:val="00D57094"/>
    <w:rsid w:val="00D65B75"/>
    <w:rsid w:val="00D77BDB"/>
    <w:rsid w:val="00D8742C"/>
    <w:rsid w:val="00D93252"/>
    <w:rsid w:val="00DA1204"/>
    <w:rsid w:val="00DA5F04"/>
    <w:rsid w:val="00DA7859"/>
    <w:rsid w:val="00DB0C44"/>
    <w:rsid w:val="00DB3BE7"/>
    <w:rsid w:val="00DD1C01"/>
    <w:rsid w:val="00DD27F6"/>
    <w:rsid w:val="00DE098B"/>
    <w:rsid w:val="00DE2A69"/>
    <w:rsid w:val="00E12FA2"/>
    <w:rsid w:val="00E17192"/>
    <w:rsid w:val="00E1759A"/>
    <w:rsid w:val="00E17822"/>
    <w:rsid w:val="00E42FA6"/>
    <w:rsid w:val="00E52555"/>
    <w:rsid w:val="00E542C0"/>
    <w:rsid w:val="00E56223"/>
    <w:rsid w:val="00E62F21"/>
    <w:rsid w:val="00E87296"/>
    <w:rsid w:val="00E90B5E"/>
    <w:rsid w:val="00E9110C"/>
    <w:rsid w:val="00E918F3"/>
    <w:rsid w:val="00E929F8"/>
    <w:rsid w:val="00E95A27"/>
    <w:rsid w:val="00EB0E04"/>
    <w:rsid w:val="00EB79C1"/>
    <w:rsid w:val="00EC1052"/>
    <w:rsid w:val="00ED1888"/>
    <w:rsid w:val="00ED1EF2"/>
    <w:rsid w:val="00ED4BDE"/>
    <w:rsid w:val="00EE3B37"/>
    <w:rsid w:val="00EE5F01"/>
    <w:rsid w:val="00EF2E34"/>
    <w:rsid w:val="00F01C19"/>
    <w:rsid w:val="00F03A45"/>
    <w:rsid w:val="00F13097"/>
    <w:rsid w:val="00F152F7"/>
    <w:rsid w:val="00F20F44"/>
    <w:rsid w:val="00F25B32"/>
    <w:rsid w:val="00F31EE0"/>
    <w:rsid w:val="00F51F59"/>
    <w:rsid w:val="00F64C92"/>
    <w:rsid w:val="00F742F6"/>
    <w:rsid w:val="00F75253"/>
    <w:rsid w:val="00F875F7"/>
    <w:rsid w:val="00F925DA"/>
    <w:rsid w:val="00FA3641"/>
    <w:rsid w:val="00FB3923"/>
    <w:rsid w:val="00FB4402"/>
    <w:rsid w:val="00FC7F20"/>
    <w:rsid w:val="00FD4B2F"/>
    <w:rsid w:val="00FE2971"/>
    <w:rsid w:val="00FF10D2"/>
    <w:rsid w:val="00FF6A95"/>
    <w:rsid w:val="00FF7E9D"/>
    <w:rsid w:val="0C9A1350"/>
    <w:rsid w:val="15EC6A40"/>
    <w:rsid w:val="1E1B1085"/>
    <w:rsid w:val="20AC597C"/>
    <w:rsid w:val="25B130B2"/>
    <w:rsid w:val="294D4AB2"/>
    <w:rsid w:val="2CCD18EE"/>
    <w:rsid w:val="32053CF2"/>
    <w:rsid w:val="33602551"/>
    <w:rsid w:val="3EDE2C7A"/>
    <w:rsid w:val="5E9C274D"/>
    <w:rsid w:val="70181741"/>
    <w:rsid w:val="717F4D2A"/>
    <w:rsid w:val="738F4A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8BC0E0"/>
  <w15:docId w15:val="{BE8BF20C-FC32-4CCF-A480-8B2D9E6CB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autoSpaceDE w:val="0"/>
      <w:autoSpaceDN w:val="0"/>
      <w:jc w:val="left"/>
    </w:pPr>
    <w:rPr>
      <w:rFonts w:ascii="Tahoma" w:eastAsia="Arial" w:hAnsi="Tahoma" w:cs="Times New Roman"/>
      <w:kern w:val="0"/>
      <w:sz w:val="16"/>
      <w:szCs w:val="20"/>
    </w:r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rPr>
      <w:sz w:val="24"/>
    </w:rPr>
  </w:style>
  <w:style w:type="paragraph" w:styleId="ac">
    <w:name w:val="annotation subject"/>
    <w:basedOn w:val="a3"/>
    <w:next w:val="a3"/>
    <w:link w:val="ad"/>
    <w:uiPriority w:val="99"/>
    <w:unhideWhenUsed/>
    <w:qFormat/>
    <w:rPr>
      <w:b/>
      <w:bCs/>
    </w:rPr>
  </w:style>
  <w:style w:type="table" w:styleId="ae">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
    <w:name w:val="Hyperlink"/>
    <w:basedOn w:val="a0"/>
    <w:qFormat/>
    <w:rPr>
      <w:color w:val="0000FF"/>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fontstyle01">
    <w:name w:val="fontstyle01"/>
    <w:basedOn w:val="a0"/>
    <w:qFormat/>
    <w:rPr>
      <w:rFonts w:ascii="Helvetica-Bold" w:hAnsi="Helvetica-Bold" w:hint="default"/>
      <w:b/>
      <w:bCs/>
      <w:color w:val="000000"/>
      <w:sz w:val="24"/>
      <w:szCs w:val="24"/>
    </w:rPr>
  </w:style>
  <w:style w:type="paragraph" w:customStyle="1" w:styleId="1">
    <w:name w:val="列表段落1"/>
    <w:basedOn w:val="a"/>
    <w:uiPriority w:val="34"/>
    <w:qFormat/>
    <w:pPr>
      <w:ind w:firstLineChars="200" w:firstLine="420"/>
    </w:pPr>
  </w:style>
  <w:style w:type="character" w:customStyle="1" w:styleId="a4">
    <w:name w:val="批注文字 字符"/>
    <w:basedOn w:val="a0"/>
    <w:link w:val="a3"/>
    <w:uiPriority w:val="99"/>
    <w:semiHidden/>
    <w:qFormat/>
  </w:style>
  <w:style w:type="character" w:customStyle="1" w:styleId="ad">
    <w:name w:val="批注主题 字符"/>
    <w:basedOn w:val="a4"/>
    <w:link w:val="ac"/>
    <w:uiPriority w:val="99"/>
    <w:semiHidden/>
    <w:qFormat/>
    <w:rPr>
      <w:b/>
      <w:bCs/>
    </w:rPr>
  </w:style>
  <w:style w:type="character" w:customStyle="1" w:styleId="a6">
    <w:name w:val="批注框文本 字符"/>
    <w:basedOn w:val="a0"/>
    <w:link w:val="a5"/>
    <w:uiPriority w:val="99"/>
    <w:semiHidden/>
    <w:qFormat/>
    <w:rPr>
      <w:sz w:val="18"/>
      <w:szCs w:val="18"/>
    </w:rPr>
  </w:style>
  <w:style w:type="paragraph" w:customStyle="1" w:styleId="EndNoteBibliographyTitle">
    <w:name w:val="EndNote Bibliography Title"/>
    <w:basedOn w:val="a"/>
    <w:link w:val="EndNoteBibliographyTitle0"/>
    <w:qFormat/>
    <w:pPr>
      <w:jc w:val="center"/>
    </w:pPr>
    <w:rPr>
      <w:rFonts w:ascii="Calibri" w:hAnsi="Calibri" w:cs="Calibri"/>
      <w:sz w:val="20"/>
    </w:rPr>
  </w:style>
  <w:style w:type="character" w:customStyle="1" w:styleId="EndNoteBibliographyTitle0">
    <w:name w:val="EndNote Bibliography Title 字符"/>
    <w:basedOn w:val="a0"/>
    <w:link w:val="EndNoteBibliographyTitle"/>
    <w:qFormat/>
    <w:rPr>
      <w:rFonts w:ascii="Calibri" w:eastAsiaTheme="minorEastAsia" w:hAnsi="Calibri" w:cs="Calibri"/>
      <w:kern w:val="2"/>
      <w:szCs w:val="22"/>
    </w:rPr>
  </w:style>
  <w:style w:type="paragraph" w:customStyle="1" w:styleId="EndNoteBibliography">
    <w:name w:val="EndNote Bibliography"/>
    <w:basedOn w:val="a"/>
    <w:link w:val="EndNoteBibliography0"/>
    <w:qFormat/>
    <w:rPr>
      <w:rFonts w:ascii="Calibri" w:hAnsi="Calibri" w:cs="Calibri"/>
      <w:sz w:val="20"/>
    </w:rPr>
  </w:style>
  <w:style w:type="character" w:customStyle="1" w:styleId="EndNoteBibliography0">
    <w:name w:val="EndNote Bibliography 字符"/>
    <w:basedOn w:val="a0"/>
    <w:link w:val="EndNoteBibliography"/>
    <w:qFormat/>
    <w:rPr>
      <w:rFonts w:ascii="Calibri" w:eastAsiaTheme="minorEastAsia" w:hAnsi="Calibri" w:cs="Calibri"/>
      <w:kern w:val="2"/>
      <w:szCs w:val="22"/>
    </w:rPr>
  </w:style>
  <w:style w:type="paragraph" w:customStyle="1" w:styleId="ListParagraph0">
    <w:name w:val="List Paragraph_0"/>
    <w:basedOn w:val="a"/>
    <w:qFormat/>
    <w:pPr>
      <w:ind w:firstLineChars="200" w:firstLine="420"/>
    </w:pPr>
    <w:rPr>
      <w:rFonts w:ascii="Calibri" w:eastAsia="宋体" w:hAnsi="Calibri"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portals.broadinstitute.org/ccle"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3046</Words>
  <Characters>17367</Characters>
  <Application>Microsoft Office Word</Application>
  <DocSecurity>0</DocSecurity>
  <Lines>144</Lines>
  <Paragraphs>40</Paragraphs>
  <ScaleCrop>false</ScaleCrop>
  <Company/>
  <LinksUpToDate>false</LinksUpToDate>
  <CharactersWithSpaces>20373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haichuan zhu</cp:lastModifiedBy>
  <cp:revision>12</cp:revision>
  <dcterms:created xsi:type="dcterms:W3CDTF">2021-07-16T14:49:00Z</dcterms:created>
  <dcterms:modified xsi:type="dcterms:W3CDTF">2021-07-26T12:51:00Z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85E36AD792364BAF9C9FF514FE27D367</vt:lpwstr>
  </property>
</Properties>
</file>