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08586" w14:textId="77777777" w:rsidR="00DD19CA" w:rsidRDefault="00DD19CA" w:rsidP="00DD19CA">
      <w:pPr>
        <w:jc w:val="center"/>
        <w:rPr>
          <w:rFonts w:ascii="Times New Roman" w:eastAsia="SimSu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Supporting Information</w:t>
      </w:r>
    </w:p>
    <w:p w14:paraId="4C1F315B" w14:textId="77777777" w:rsidR="00DD19CA" w:rsidRDefault="00DD19CA" w:rsidP="00DD19CA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One</w:t>
      </w:r>
      <w:r>
        <w:rPr>
          <w:rFonts w:ascii="Times New Roman" w:hAnsi="Times New Roman"/>
          <w:sz w:val="24"/>
        </w:rPr>
        <w:t xml:space="preserve">-tube nested PCR mediated CRISPR-Cas12a: A novel performance-enhanced approach for ultrasensitive fluorescent visual screening of </w:t>
      </w:r>
      <w:r>
        <w:rPr>
          <w:rFonts w:ascii="Times New Roman" w:hAnsi="Times New Roman"/>
          <w:i/>
          <w:sz w:val="24"/>
        </w:rPr>
        <w:t>Salmonella</w:t>
      </w:r>
    </w:p>
    <w:p w14:paraId="63B55B6E" w14:textId="77777777" w:rsidR="00DD19CA" w:rsidRDefault="00DD19CA" w:rsidP="00DD19CA">
      <w:pPr>
        <w:spacing w:line="273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</w:p>
    <w:p w14:paraId="3F816FF7" w14:textId="77777777" w:rsidR="00DD19CA" w:rsidRDefault="00DD19CA" w:rsidP="00DD19CA">
      <w:pPr>
        <w:spacing w:line="273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</w:rPr>
        <w:t>Qingli Yang</w:t>
      </w:r>
      <w:r>
        <w:rPr>
          <w:rFonts w:ascii="Times New Roman" w:hAnsi="Times New Roman"/>
          <w:vertAlign w:val="superscript"/>
        </w:rPr>
        <w:t>1,</w:t>
      </w:r>
      <w:r>
        <w:rPr>
          <w:rFonts w:ascii="Times New Roman" w:eastAsia="Microsoft YaHei" w:hAnsi="Times New Roman"/>
          <w:vertAlign w:val="superscript"/>
        </w:rPr>
        <w:t>†</w:t>
      </w:r>
      <w:r>
        <w:rPr>
          <w:rFonts w:ascii="Times New Roman" w:hAnsi="Times New Roman"/>
        </w:rPr>
        <w:t>, Noor Fatima</w:t>
      </w:r>
      <w:r>
        <w:rPr>
          <w:rFonts w:ascii="Times New Roman" w:hAnsi="Times New Roman"/>
          <w:vertAlign w:val="superscript"/>
        </w:rPr>
        <w:t>1,</w:t>
      </w:r>
      <w:r>
        <w:rPr>
          <w:rFonts w:ascii="Times New Roman" w:eastAsia="Microsoft YaHei" w:hAnsi="Times New Roman"/>
          <w:vertAlign w:val="superscript"/>
        </w:rPr>
        <w:t>†</w:t>
      </w:r>
      <w:r>
        <w:rPr>
          <w:rFonts w:ascii="Times New Roman" w:hAnsi="Times New Roman"/>
        </w:rPr>
        <w:t>, Xiaofeng Yu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>,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Yubo Peng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>, Qi Chen</w:t>
      </w: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>,  Dexing Zeng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>, Zhaoran Chen</w:t>
      </w:r>
      <w:r>
        <w:rPr>
          <w:rFonts w:ascii="Times New Roman" w:hAnsi="Times New Roman" w:hint="eastAsia"/>
          <w:vertAlign w:val="superscript"/>
        </w:rPr>
        <w:t>2</w:t>
      </w:r>
      <w:r>
        <w:rPr>
          <w:rFonts w:ascii="Times New Roman" w:hAnsi="Times New Roman"/>
        </w:rPr>
        <w:t>, Guolin Wu</w:t>
      </w:r>
      <w:r>
        <w:rPr>
          <w:rFonts w:ascii="Times New Roman" w:hAnsi="Times New Roman" w:hint="eastAsia"/>
          <w:vertAlign w:val="superscript"/>
        </w:rPr>
        <w:t>3,*</w:t>
      </w:r>
      <w:r>
        <w:rPr>
          <w:rFonts w:ascii="Times New Roman" w:hAnsi="Times New Roman"/>
        </w:rPr>
        <w:t>, Wei Chen</w:t>
      </w:r>
      <w:r>
        <w:rPr>
          <w:rFonts w:ascii="Times New Roman" w:hAnsi="Times New Roman"/>
          <w:vertAlign w:val="superscript"/>
        </w:rPr>
        <w:t xml:space="preserve">1, </w:t>
      </w:r>
      <w:r>
        <w:rPr>
          <w:rStyle w:val="15"/>
          <w:rFonts w:ascii="Symbol" w:hAnsi="Symbol"/>
        </w:rPr>
        <w:t></w:t>
      </w:r>
    </w:p>
    <w:p w14:paraId="63B12AE0" w14:textId="77777777" w:rsidR="00DD19CA" w:rsidRDefault="00DD19CA" w:rsidP="00DD19CA">
      <w:pPr>
        <w:spacing w:line="273" w:lineRule="auto"/>
        <w:rPr>
          <w:rFonts w:ascii="Times New Roman" w:hAnsi="Times New Roman"/>
        </w:rPr>
      </w:pPr>
      <w:r>
        <w:rPr>
          <w:rFonts w:ascii="Times New Roman" w:hAnsi="Times New Roman" w:hint="eastAsia"/>
          <w:vertAlign w:val="superscript"/>
        </w:rPr>
        <w:t>1</w:t>
      </w:r>
      <w:r>
        <w:rPr>
          <w:rFonts w:ascii="Times New Roman" w:hAnsi="Times New Roman" w:hint="eastAsia"/>
        </w:rPr>
        <w:t>Engineering Research Center of Bio-process, MOE, School of Food and Biological Engineering, Intelligent Manufacturing Institute, Hefei University of Technology, Hefei 230009, P. R. China</w:t>
      </w:r>
    </w:p>
    <w:p w14:paraId="1EC6AC8B" w14:textId="77777777" w:rsidR="00DD19CA" w:rsidRDefault="00DD19CA" w:rsidP="00DD19CA">
      <w:pPr>
        <w:spacing w:line="273" w:lineRule="auto"/>
        <w:rPr>
          <w:rFonts w:ascii="Times New Roman" w:hAnsi="Times New Roman"/>
        </w:rPr>
      </w:pPr>
      <w:r>
        <w:rPr>
          <w:rFonts w:ascii="Times New Roman" w:hAnsi="Times New Roman" w:hint="eastAsia"/>
          <w:vertAlign w:val="superscript"/>
        </w:rPr>
        <w:t>2</w:t>
      </w:r>
      <w:r>
        <w:rPr>
          <w:rFonts w:ascii="Times New Roman" w:hAnsi="Times New Roman" w:hint="eastAsia"/>
        </w:rPr>
        <w:t xml:space="preserve">Anhui Province Institute of Product Quality Supervision &amp; Inspection, Hefei, 230051, P.R. China </w:t>
      </w:r>
    </w:p>
    <w:p w14:paraId="46D609D1" w14:textId="77777777" w:rsidR="00DD19CA" w:rsidRDefault="00DD19CA" w:rsidP="00DD19CA">
      <w:pPr>
        <w:spacing w:line="273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sz w:val="22"/>
          <w:szCs w:val="22"/>
          <w:vertAlign w:val="superscript"/>
        </w:rPr>
        <w:t>3</w:t>
      </w:r>
      <w:r>
        <w:rPr>
          <w:rFonts w:ascii="Times New Roman" w:hAnsi="Times New Roman" w:hint="eastAsia"/>
        </w:rPr>
        <w:t>Devision of Life Sciences and Medicine, University of Science and Technology of China, Hefei, 230031, China</w:t>
      </w:r>
    </w:p>
    <w:p w14:paraId="1C436F0B" w14:textId="77777777" w:rsidR="00DD19CA" w:rsidRDefault="00DD19CA" w:rsidP="00DD19CA">
      <w:pPr>
        <w:widowControl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6207C3D9" w14:textId="77777777" w:rsidR="00DD19CA" w:rsidRDefault="00DD19CA" w:rsidP="00DD19C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</w:p>
    <w:p w14:paraId="5EF14747" w14:textId="77777777" w:rsidR="00DD19CA" w:rsidRDefault="00DD19CA" w:rsidP="00DD19CA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Table S1. DNA sequences used in this study.</w:t>
      </w:r>
    </w:p>
    <w:tbl>
      <w:tblPr>
        <w:tblStyle w:val="TableGrid"/>
        <w:tblW w:w="8809" w:type="dxa"/>
        <w:tblInd w:w="-306" w:type="dxa"/>
        <w:tblLayout w:type="fixed"/>
        <w:tblLook w:val="04A0" w:firstRow="1" w:lastRow="0" w:firstColumn="1" w:lastColumn="0" w:noHBand="0" w:noVBand="1"/>
      </w:tblPr>
      <w:tblGrid>
        <w:gridCol w:w="1500"/>
        <w:gridCol w:w="7309"/>
      </w:tblGrid>
      <w:tr w:rsidR="00DD19CA" w14:paraId="76A3479B" w14:textId="77777777" w:rsidTr="00935966">
        <w:trPr>
          <w:trHeight w:val="503"/>
        </w:trPr>
        <w:tc>
          <w:tcPr>
            <w:tcW w:w="15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485AC3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DNA</w:t>
            </w:r>
          </w:p>
        </w:tc>
        <w:tc>
          <w:tcPr>
            <w:tcW w:w="73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7CEE13B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Complete sequence (5’-3’)</w:t>
            </w:r>
          </w:p>
        </w:tc>
      </w:tr>
      <w:tr w:rsidR="00DD19CA" w14:paraId="5B6B2A28" w14:textId="77777777" w:rsidTr="00935966">
        <w:trPr>
          <w:trHeight w:val="638"/>
        </w:trPr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0FF07D5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188-F</w:t>
            </w:r>
          </w:p>
        </w:tc>
        <w:tc>
          <w:tcPr>
            <w:tcW w:w="73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2DC6068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CTACAAGCATGAAATGGCAGAACAGCGTCG</w:t>
            </w:r>
          </w:p>
        </w:tc>
      </w:tr>
      <w:tr w:rsidR="00DD19CA" w14:paraId="1BECD49F" w14:textId="77777777" w:rsidTr="00935966">
        <w:trPr>
          <w:trHeight w:val="63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D1919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188-</w:t>
            </w:r>
            <w:r>
              <w:rPr>
                <w:rFonts w:hint="eastAsia"/>
                <w:sz w:val="24"/>
              </w:rPr>
              <w:t>R</w:t>
            </w:r>
          </w:p>
        </w:tc>
        <w:tc>
          <w:tcPr>
            <w:tcW w:w="7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8B962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bookmarkStart w:id="0" w:name="OLE_LINK2"/>
            <w:r>
              <w:rPr>
                <w:sz w:val="24"/>
              </w:rPr>
              <w:t>CAACCAGATAGGTAGGTAATGGAATGACGA</w:t>
            </w:r>
            <w:bookmarkEnd w:id="0"/>
          </w:p>
        </w:tc>
      </w:tr>
      <w:tr w:rsidR="00DD19CA" w14:paraId="583B61B7" w14:textId="77777777" w:rsidTr="00935966">
        <w:trPr>
          <w:trHeight w:val="63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5A084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64</w:t>
            </w:r>
            <w:r>
              <w:rPr>
                <w:sz w:val="24"/>
              </w:rPr>
              <w:t>-F</w:t>
            </w:r>
          </w:p>
        </w:tc>
        <w:tc>
          <w:tcPr>
            <w:tcW w:w="7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BD01A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ACTGATTCTGGTACTAATGGTGATG</w:t>
            </w:r>
          </w:p>
        </w:tc>
      </w:tr>
      <w:tr w:rsidR="00DD19CA" w14:paraId="55C6E1FB" w14:textId="77777777" w:rsidTr="00935966">
        <w:trPr>
          <w:trHeight w:val="63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09560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64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R</w:t>
            </w:r>
          </w:p>
        </w:tc>
        <w:tc>
          <w:tcPr>
            <w:tcW w:w="7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F734A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CAGATAGGTAGGTAATGGAATGACG</w:t>
            </w:r>
          </w:p>
        </w:tc>
      </w:tr>
      <w:tr w:rsidR="00DD19CA" w14:paraId="0E797678" w14:textId="77777777" w:rsidTr="00935966">
        <w:trPr>
          <w:trHeight w:val="667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83D04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crRNA</w:t>
            </w:r>
          </w:p>
        </w:tc>
        <w:tc>
          <w:tcPr>
            <w:tcW w:w="7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98C56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UAAUUUCUACUAAGUGUAGAUUAUGUUCGUCAUUCCAUUAC</w:t>
            </w:r>
          </w:p>
        </w:tc>
      </w:tr>
      <w:tr w:rsidR="00DD19CA" w14:paraId="52BBE355" w14:textId="77777777" w:rsidTr="00935966">
        <w:trPr>
          <w:trHeight w:val="667"/>
        </w:trPr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C2880C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Report </w:t>
            </w:r>
            <w:r>
              <w:rPr>
                <w:rFonts w:hint="eastAsia"/>
                <w:sz w:val="24"/>
              </w:rPr>
              <w:t>probe</w:t>
            </w:r>
          </w:p>
        </w:tc>
        <w:tc>
          <w:tcPr>
            <w:tcW w:w="73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EA25E1" w14:textId="77777777" w:rsidR="00DD19CA" w:rsidRDefault="00DD19CA" w:rsidP="0093596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FITC-TTATT-Biotin</w:t>
            </w:r>
          </w:p>
        </w:tc>
      </w:tr>
    </w:tbl>
    <w:p w14:paraId="0D0D0F5F" w14:textId="77777777" w:rsidR="00DD19CA" w:rsidRDefault="00DD19CA" w:rsidP="00DD19C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14:paraId="49135AAC" w14:textId="77777777" w:rsidR="00DD19CA" w:rsidRDefault="00DD19CA" w:rsidP="00DD19CA">
      <w:pPr>
        <w:widowControl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068A43F1" w14:textId="77777777" w:rsidR="00DD19CA" w:rsidRDefault="00DD19CA" w:rsidP="00DD19C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noProof/>
          <w:sz w:val="28"/>
          <w:szCs w:val="28"/>
        </w:rPr>
        <w:lastRenderedPageBreak/>
        <w:drawing>
          <wp:inline distT="0" distB="0" distL="114300" distR="114300" wp14:anchorId="6C05B384" wp14:editId="31C4AE7D">
            <wp:extent cx="5269865" cy="4609465"/>
            <wp:effectExtent l="0" t="0" r="6985" b="635"/>
            <wp:docPr id="25" name="图片 25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60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D24A9" w14:textId="77777777" w:rsidR="00DD19CA" w:rsidRDefault="00DD19CA" w:rsidP="00DD19CA">
      <w:pPr>
        <w:rPr>
          <w:rFonts w:ascii="Times New Roman" w:hAnsi="Times New Roman"/>
          <w:b/>
          <w:bCs/>
          <w:sz w:val="24"/>
        </w:rPr>
      </w:pPr>
    </w:p>
    <w:p w14:paraId="6D540C08" w14:textId="77777777" w:rsidR="00DD19CA" w:rsidRDefault="00DD19CA" w:rsidP="00DD19CA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t>Figure S1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/>
          <w:sz w:val="24"/>
        </w:rPr>
        <w:t>Optimization of conditions for fluorescent microsphere test strips.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(A)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Optimization of pH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(pH7.4,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pH7.</w:t>
      </w:r>
      <w:r>
        <w:rPr>
          <w:rFonts w:ascii="Times New Roman" w:hAnsi="Times New Roman" w:hint="eastAsia"/>
          <w:sz w:val="24"/>
        </w:rPr>
        <w:t>6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pH7.</w:t>
      </w:r>
      <w:r>
        <w:rPr>
          <w:rFonts w:ascii="Times New Roman" w:hAnsi="Times New Roman" w:hint="eastAsia"/>
          <w:sz w:val="24"/>
        </w:rPr>
        <w:t>8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pH</w:t>
      </w:r>
      <w:r>
        <w:rPr>
          <w:rFonts w:ascii="Times New Roman" w:hAnsi="Times New Roman" w:hint="eastAsia"/>
          <w:sz w:val="24"/>
        </w:rPr>
        <w:t>8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 w:hint="eastAsia"/>
          <w:sz w:val="24"/>
        </w:rPr>
        <w:t>0</w:t>
      </w:r>
      <w:r>
        <w:rPr>
          <w:rFonts w:ascii="Times New Roman" w:hAnsi="Times New Roman"/>
          <w:sz w:val="24"/>
        </w:rPr>
        <w:t>) of activated fluorescent microsphere</w:t>
      </w:r>
      <w:r>
        <w:rPr>
          <w:rFonts w:ascii="Times New Roman" w:hAnsi="Times New Roman" w:hint="eastAsia"/>
          <w:sz w:val="24"/>
        </w:rPr>
        <w:t xml:space="preserve">s; </w:t>
      </w:r>
      <w:r>
        <w:rPr>
          <w:rFonts w:ascii="Times New Roman" w:hAnsi="Times New Roman"/>
          <w:sz w:val="24"/>
        </w:rPr>
        <w:t>(B)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Optimization of pH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(pH7.4,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pH7.</w:t>
      </w:r>
      <w:r>
        <w:rPr>
          <w:rFonts w:ascii="Times New Roman" w:hAnsi="Times New Roman" w:hint="eastAsia"/>
          <w:sz w:val="24"/>
        </w:rPr>
        <w:t>6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pH7.</w:t>
      </w:r>
      <w:r>
        <w:rPr>
          <w:rFonts w:ascii="Times New Roman" w:hAnsi="Times New Roman" w:hint="eastAsia"/>
          <w:sz w:val="24"/>
        </w:rPr>
        <w:t>8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pH</w:t>
      </w:r>
      <w:r>
        <w:rPr>
          <w:rFonts w:ascii="Times New Roman" w:hAnsi="Times New Roman" w:hint="eastAsia"/>
          <w:sz w:val="24"/>
        </w:rPr>
        <w:t>8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 w:hint="eastAsia"/>
          <w:sz w:val="24"/>
        </w:rPr>
        <w:t>0</w:t>
      </w:r>
      <w:r>
        <w:rPr>
          <w:rFonts w:ascii="Times New Roman" w:hAnsi="Times New Roman"/>
          <w:sz w:val="24"/>
        </w:rPr>
        <w:t>) for fluorescent microsphere-coupled antibodies</w:t>
      </w:r>
      <w:r>
        <w:rPr>
          <w:rFonts w:ascii="Times New Roman" w:hAnsi="Times New Roman" w:hint="eastAsia"/>
          <w:sz w:val="24"/>
        </w:rPr>
        <w:t xml:space="preserve">; </w:t>
      </w:r>
      <w:r>
        <w:rPr>
          <w:rFonts w:ascii="Times New Roman" w:hAnsi="Times New Roman"/>
          <w:sz w:val="24"/>
        </w:rPr>
        <w:t>(C)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Optimization of </w:t>
      </w:r>
      <w:r>
        <w:rPr>
          <w:rFonts w:ascii="Times New Roman" w:hAnsi="Times New Roman" w:hint="eastAsia"/>
          <w:sz w:val="24"/>
        </w:rPr>
        <w:t>blocking agents</w:t>
      </w:r>
      <w:r>
        <w:rPr>
          <w:rFonts w:ascii="Times New Roman" w:hAnsi="Times New Roman"/>
          <w:sz w:val="24"/>
        </w:rPr>
        <w:t xml:space="preserve"> for fluorescent microsphere-coupled antibodies</w:t>
      </w:r>
      <w:r>
        <w:rPr>
          <w:rFonts w:ascii="Times New Roman" w:hAnsi="Times New Roman" w:hint="eastAsia"/>
          <w:sz w:val="24"/>
        </w:rPr>
        <w:t xml:space="preserve">; </w:t>
      </w:r>
      <w:r>
        <w:rPr>
          <w:rFonts w:ascii="Times New Roman" w:hAnsi="Times New Roman"/>
          <w:sz w:val="24"/>
        </w:rPr>
        <w:t>(D)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Optimization of resuspen</w:t>
      </w:r>
      <w:r>
        <w:rPr>
          <w:rFonts w:ascii="Times New Roman" w:hAnsi="Times New Roman" w:hint="eastAsia"/>
          <w:sz w:val="24"/>
        </w:rPr>
        <w:t>d solutions</w:t>
      </w:r>
      <w:r>
        <w:rPr>
          <w:rFonts w:ascii="Times New Roman" w:hAnsi="Times New Roman"/>
          <w:sz w:val="24"/>
        </w:rPr>
        <w:t>.</w:t>
      </w:r>
    </w:p>
    <w:p w14:paraId="4C5E884A" w14:textId="77777777" w:rsidR="00DD19CA" w:rsidRDefault="00DD19CA" w:rsidP="00DD19CA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 w14:paraId="619F6E26" w14:textId="77777777" w:rsidR="00DD19CA" w:rsidRDefault="00DD19CA" w:rsidP="00DD19C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3C519DE4" w14:textId="77777777" w:rsidR="00DD19CA" w:rsidRDefault="00DD19CA" w:rsidP="00DD19C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114300" distR="114300" wp14:anchorId="6166BBAA" wp14:editId="3D3A42D2">
            <wp:extent cx="5266690" cy="3445510"/>
            <wp:effectExtent l="0" t="0" r="10160" b="2540"/>
            <wp:docPr id="26" name="图片 26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rcRect l="1572" r="430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4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222317DC" w14:textId="77777777" w:rsidR="00DD19CA" w:rsidRDefault="00DD19CA" w:rsidP="00DD19CA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Figure S2</w:t>
      </w:r>
      <w:r>
        <w:rPr>
          <w:rFonts w:ascii="Times New Roman" w:hAnsi="Times New Roman"/>
          <w:sz w:val="24"/>
        </w:rPr>
        <w:t>. Optimization of different parameters of the CRISPR/Cas12a cleavage system. (</w:t>
      </w:r>
      <w:r>
        <w:rPr>
          <w:rFonts w:ascii="Times New Roman" w:hAnsi="Times New Roman" w:hint="eastAsia"/>
          <w:sz w:val="24"/>
        </w:rPr>
        <w:t>A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Optimization of Cas12a concentration (10 nM, 50 nM, 100 nM, 200 nM, 400 nM); (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Optimization of crRNA concentration (10 nM, 50 nM, 100 nM, 200 nM, 500 nM); (</w:t>
      </w:r>
      <w:r>
        <w:rPr>
          <w:rFonts w:ascii="Times New Roman" w:hAnsi="Times New Roman" w:hint="eastAsia"/>
          <w:sz w:val="24"/>
        </w:rPr>
        <w:t>C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Optimization of temperature (30 ℃, 33 ℃, 37 ℃, 40 ℃, 45 ℃) for action of CRISPR-Cas12a protein; (</w:t>
      </w:r>
      <w:r>
        <w:rPr>
          <w:rFonts w:ascii="Times New Roman" w:hAnsi="Times New Roman" w:hint="eastAsia"/>
          <w:sz w:val="24"/>
        </w:rPr>
        <w:t>D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Types of Cas reaction buffers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 w:hint="eastAsia"/>
          <w:sz w:val="24"/>
        </w:rPr>
        <w:t>E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Time (</w:t>
      </w:r>
      <w:r>
        <w:rPr>
          <w:rFonts w:ascii="Times New Roman" w:hAnsi="Times New Roman" w:hint="eastAsia"/>
          <w:sz w:val="24"/>
        </w:rPr>
        <w:t>9</w:t>
      </w:r>
      <w:r>
        <w:rPr>
          <w:rFonts w:ascii="Times New Roman" w:hAnsi="Times New Roman"/>
          <w:sz w:val="24"/>
        </w:rPr>
        <w:t xml:space="preserve">0 min, </w:t>
      </w:r>
      <w:r>
        <w:rPr>
          <w:rFonts w:ascii="Times New Roman" w:hAnsi="Times New Roman" w:hint="eastAsia"/>
          <w:sz w:val="24"/>
        </w:rPr>
        <w:t>6</w:t>
      </w:r>
      <w:r>
        <w:rPr>
          <w:rFonts w:ascii="Times New Roman" w:hAnsi="Times New Roman"/>
          <w:sz w:val="24"/>
        </w:rPr>
        <w:t xml:space="preserve">0 min, </w:t>
      </w:r>
      <w:r>
        <w:rPr>
          <w:rFonts w:ascii="Times New Roman" w:hAnsi="Times New Roman" w:hint="eastAsia"/>
          <w:sz w:val="24"/>
        </w:rPr>
        <w:t>5</w:t>
      </w:r>
      <w:r>
        <w:rPr>
          <w:rFonts w:ascii="Times New Roman" w:hAnsi="Times New Roman"/>
          <w:sz w:val="24"/>
        </w:rPr>
        <w:t xml:space="preserve">0 min, </w:t>
      </w:r>
      <w:r>
        <w:rPr>
          <w:rFonts w:ascii="Times New Roman" w:hAnsi="Times New Roman" w:hint="eastAsia"/>
          <w:sz w:val="24"/>
        </w:rPr>
        <w:t>4</w:t>
      </w:r>
      <w:r>
        <w:rPr>
          <w:rFonts w:ascii="Times New Roman" w:hAnsi="Times New Roman"/>
          <w:sz w:val="24"/>
        </w:rPr>
        <w:t xml:space="preserve">0 min, </w:t>
      </w:r>
      <w:r>
        <w:rPr>
          <w:rFonts w:ascii="Times New Roman" w:hAnsi="Times New Roman" w:hint="eastAsia"/>
          <w:sz w:val="24"/>
        </w:rPr>
        <w:t>3</w:t>
      </w:r>
      <w:r>
        <w:rPr>
          <w:rFonts w:ascii="Times New Roman" w:hAnsi="Times New Roman"/>
          <w:sz w:val="24"/>
        </w:rPr>
        <w:t>0 min) optimization of Cas protein cleavage of ssDNA;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 w:hint="eastAsia"/>
          <w:sz w:val="24"/>
        </w:rPr>
        <w:t>F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Concentration (50 nM, </w:t>
      </w:r>
      <w:r>
        <w:rPr>
          <w:rFonts w:ascii="Times New Roman" w:hAnsi="Times New Roman" w:hint="eastAsia"/>
          <w:sz w:val="24"/>
        </w:rPr>
        <w:t>25</w:t>
      </w:r>
      <w:r>
        <w:rPr>
          <w:rFonts w:ascii="Times New Roman" w:hAnsi="Times New Roman"/>
          <w:sz w:val="24"/>
        </w:rPr>
        <w:t xml:space="preserve"> nM, </w:t>
      </w: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 xml:space="preserve">0 nM, </w:t>
      </w:r>
      <w:r>
        <w:rPr>
          <w:rFonts w:ascii="Times New Roman" w:hAnsi="Times New Roman" w:hint="eastAsia"/>
          <w:sz w:val="24"/>
        </w:rPr>
        <w:t>5</w:t>
      </w:r>
      <w:r>
        <w:rPr>
          <w:rFonts w:ascii="Times New Roman" w:hAnsi="Times New Roman"/>
          <w:sz w:val="24"/>
        </w:rPr>
        <w:t xml:space="preserve"> nM, </w:t>
      </w:r>
      <w:r>
        <w:rPr>
          <w:rFonts w:ascii="Times New Roman" w:hAnsi="Times New Roman" w:hint="eastAsia"/>
          <w:sz w:val="24"/>
        </w:rPr>
        <w:t>2</w:t>
      </w:r>
      <w:r>
        <w:rPr>
          <w:rFonts w:ascii="Times New Roman" w:hAnsi="Times New Roman"/>
          <w:sz w:val="24"/>
        </w:rPr>
        <w:t xml:space="preserve"> nM) optimization of FITC-ssDNA-Biotin reporter probe.</w:t>
      </w:r>
    </w:p>
    <w:p w14:paraId="37571935" w14:textId="77777777" w:rsidR="00DD19CA" w:rsidRDefault="00DD19CA" w:rsidP="00DD19CA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 w14:paraId="236EC845" w14:textId="77777777" w:rsidR="00DD19CA" w:rsidRDefault="00DD19CA" w:rsidP="00DD19CA">
      <w:pPr>
        <w:pStyle w:val="EndNoteBibliography"/>
        <w:ind w:left="720" w:hanging="720"/>
        <w:rPr>
          <w:rFonts w:ascii="Times New Roman" w:eastAsia="SimSun" w:hAnsi="Times New Roman" w:cs="Times New Roman"/>
          <w:sz w:val="24"/>
        </w:rPr>
      </w:pPr>
    </w:p>
    <w:p w14:paraId="6D3BD2AF" w14:textId="77777777" w:rsidR="00865217" w:rsidRDefault="00865217"/>
    <w:sectPr w:rsidR="00865217" w:rsidSect="00DD19CA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80133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64C15E" wp14:editId="735B19A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2258DD" w14:textId="77777777" w:rsidR="00000000" w:rsidRDefault="00000000">
                          <w:pPr>
                            <w:pStyle w:val="Heading2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64C15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F2258DD" w14:textId="77777777" w:rsidR="00000000" w:rsidRDefault="00000000">
                    <w:pPr>
                      <w:pStyle w:val="Heading2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9CA"/>
    <w:rsid w:val="002E281E"/>
    <w:rsid w:val="003201BB"/>
    <w:rsid w:val="00865217"/>
    <w:rsid w:val="008D2CCF"/>
    <w:rsid w:val="00DD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2935F"/>
  <w15:chartTrackingRefBased/>
  <w15:docId w15:val="{CB854C1D-51B2-488C-852B-4954176F3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9C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19C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9C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9C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9C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9C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9C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9C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9C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9C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9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9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9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9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9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9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9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9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9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9C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D19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9C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19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9C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19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9C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19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9C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9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9C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DD1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DD19CA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99"/>
    <w:qFormat/>
    <w:rsid w:val="00DD19C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qFormat/>
    <w:rsid w:val="00DD19CA"/>
    <w:pPr>
      <w:spacing w:after="0" w:line="240" w:lineRule="auto"/>
      <w:jc w:val="both"/>
    </w:pPr>
    <w:rPr>
      <w:rFonts w:ascii="Calibri" w:eastAsiaTheme="minorEastAsia" w:hAnsi="Calibri" w:cs="Calibri"/>
      <w:sz w:val="20"/>
      <w:lang w:eastAsia="zh-CN"/>
      <w14:ligatures w14:val="none"/>
    </w:rPr>
  </w:style>
  <w:style w:type="character" w:customStyle="1" w:styleId="15">
    <w:name w:val="15"/>
    <w:basedOn w:val="DefaultParagraphFont"/>
    <w:qFormat/>
    <w:rsid w:val="00DD19CA"/>
    <w:rPr>
      <w:rFonts w:ascii="Times New Roman" w:hAnsi="Times New Roman" w:cs="Times New Roman" w:hint="default"/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DD1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295</Words>
  <Characters>1687</Characters>
  <Application>Microsoft Office Word</Application>
  <DocSecurity>0</DocSecurity>
  <Lines>14</Lines>
  <Paragraphs>3</Paragraphs>
  <ScaleCrop>false</ScaleCrop>
  <Company>Springer Nature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2025-09-18T22:37:00Z</dcterms:created>
  <dcterms:modified xsi:type="dcterms:W3CDTF">2025-09-18T22:37:00Z</dcterms:modified>
</cp:coreProperties>
</file>