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79E" w:rsidRDefault="0033772F">
      <w:pPr>
        <w:jc w:val="both"/>
        <w:rPr>
          <w:rFonts w:ascii="Times New Roman" w:eastAsia="Times New Roman" w:hAnsi="Times New Roman" w:cs="Times New Roman"/>
          <w:sz w:val="22"/>
          <w:szCs w:val="22"/>
        </w:rPr>
      </w:pPr>
      <w:bookmarkStart w:id="0" w:name="_heading=h.30j0zll" w:colFirst="0" w:colLast="0"/>
      <w:bookmarkEnd w:id="0"/>
      <w:r>
        <w:rPr>
          <w:rFonts w:ascii="Times New Roman" w:eastAsia="Times New Roman" w:hAnsi="Times New Roman" w:cs="Times New Roman"/>
          <w:noProof/>
          <w:sz w:val="22"/>
          <w:szCs w:val="22"/>
        </w:rPr>
        <w:drawing>
          <wp:inline distT="114300" distB="114300" distL="114300" distR="114300">
            <wp:extent cx="5401628" cy="7087850"/>
            <wp:effectExtent l="0" t="0" r="0" b="0"/>
            <wp:docPr id="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b="7312"/>
                    <a:stretch>
                      <a:fillRect/>
                    </a:stretch>
                  </pic:blipFill>
                  <pic:spPr>
                    <a:xfrm>
                      <a:off x="0" y="0"/>
                      <a:ext cx="5401628" cy="7087850"/>
                    </a:xfrm>
                    <a:prstGeom prst="rect">
                      <a:avLst/>
                    </a:prstGeom>
                    <a:ln/>
                  </pic:spPr>
                </pic:pic>
              </a:graphicData>
            </a:graphic>
          </wp:inline>
        </w:drawing>
      </w:r>
    </w:p>
    <w:p w:rsidR="004B379E" w:rsidRDefault="004B379E">
      <w:pPr>
        <w:jc w:val="both"/>
        <w:rPr>
          <w:rFonts w:ascii="Times New Roman" w:eastAsia="Times New Roman" w:hAnsi="Times New Roman" w:cs="Times New Roman"/>
          <w:sz w:val="22"/>
          <w:szCs w:val="22"/>
        </w:rPr>
      </w:pP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1 fMRI group activations</w:t>
      </w:r>
      <w:r>
        <w:rPr>
          <w:rFonts w:ascii="Times New Roman" w:eastAsia="Times New Roman" w:hAnsi="Times New Roman" w:cs="Times New Roman"/>
          <w:sz w:val="22"/>
          <w:szCs w:val="22"/>
        </w:rPr>
        <w:t>. (</w:t>
      </w:r>
      <w:r>
        <w:rPr>
          <w:rFonts w:ascii="Times New Roman" w:eastAsia="Times New Roman" w:hAnsi="Times New Roman" w:cs="Times New Roman"/>
          <w:b/>
          <w:sz w:val="22"/>
          <w:szCs w:val="22"/>
        </w:rPr>
        <w:t>A-B</w:t>
      </w:r>
      <w:r>
        <w:rPr>
          <w:rFonts w:ascii="Times New Roman" w:eastAsia="Times New Roman" w:hAnsi="Times New Roman" w:cs="Times New Roman"/>
          <w:sz w:val="22"/>
          <w:szCs w:val="22"/>
        </w:rPr>
        <w:t xml:space="preserve">) Display of the </w:t>
      </w:r>
      <w:proofErr w:type="gramStart"/>
      <w:r>
        <w:rPr>
          <w:rFonts w:ascii="Times New Roman" w:eastAsia="Times New Roman" w:hAnsi="Times New Roman" w:cs="Times New Roman"/>
          <w:sz w:val="22"/>
          <w:szCs w:val="22"/>
        </w:rPr>
        <w:t>14 individual</w:t>
      </w:r>
      <w:proofErr w:type="gramEnd"/>
      <w:r>
        <w:rPr>
          <w:rFonts w:ascii="Times New Roman" w:eastAsia="Times New Roman" w:hAnsi="Times New Roman" w:cs="Times New Roman"/>
          <w:sz w:val="22"/>
          <w:szCs w:val="22"/>
        </w:rPr>
        <w:t xml:space="preserve"> t-maps correlating </w:t>
      </w:r>
      <w:r>
        <w:rPr>
          <w:rFonts w:ascii="Times New Roman" w:eastAsia="Times New Roman" w:hAnsi="Times New Roman" w:cs="Times New Roman"/>
          <w:sz w:val="22"/>
          <w:szCs w:val="22"/>
        </w:rPr>
        <w:t xml:space="preserve">with the offset of the six different durations in the two contexts. The significant clusters (p &lt; 0.05, FWE cluster-level corrected for multiple comparisons across the whole brain) from each individual subject were moved (using </w:t>
      </w:r>
      <w:proofErr w:type="spellStart"/>
      <w:r>
        <w:rPr>
          <w:rFonts w:ascii="Times New Roman" w:eastAsia="Times New Roman" w:hAnsi="Times New Roman" w:cs="Times New Roman"/>
          <w:sz w:val="22"/>
          <w:szCs w:val="22"/>
        </w:rPr>
        <w:t>Fresurfer’s</w:t>
      </w:r>
      <w:proofErr w:type="spellEnd"/>
      <w:r>
        <w:rPr>
          <w:rFonts w:ascii="Times New Roman" w:eastAsia="Times New Roman" w:hAnsi="Times New Roman" w:cs="Times New Roman"/>
          <w:sz w:val="22"/>
          <w:szCs w:val="22"/>
        </w:rPr>
        <w:t xml:space="preserve"> mri_vol2surf) in</w:t>
      </w:r>
      <w:r>
        <w:rPr>
          <w:rFonts w:ascii="Times New Roman" w:eastAsia="Times New Roman" w:hAnsi="Times New Roman" w:cs="Times New Roman"/>
          <w:sz w:val="22"/>
          <w:szCs w:val="22"/>
        </w:rPr>
        <w:t xml:space="preserve">to a common individual subject’s inflated surface. The color bar indicates the overlap of the t-maps across the different subjects. </w:t>
      </w:r>
      <w:r>
        <w:rPr>
          <w:rFonts w:ascii="Times New Roman" w:eastAsia="Times New Roman" w:hAnsi="Times New Roman" w:cs="Times New Roman"/>
          <w:b/>
          <w:sz w:val="22"/>
          <w:szCs w:val="22"/>
        </w:rPr>
        <w:t>(A)</w:t>
      </w:r>
      <w:r>
        <w:rPr>
          <w:rFonts w:ascii="Times New Roman" w:eastAsia="Times New Roman" w:hAnsi="Times New Roman" w:cs="Times New Roman"/>
          <w:sz w:val="22"/>
          <w:szCs w:val="22"/>
        </w:rPr>
        <w:t xml:space="preserve"> medial view at the top with zoom-in at the bottom of left and right SMA. (B) lateral view at the top with zoom-in at the</w:t>
      </w:r>
      <w:r>
        <w:rPr>
          <w:rFonts w:ascii="Times New Roman" w:eastAsia="Times New Roman" w:hAnsi="Times New Roman" w:cs="Times New Roman"/>
          <w:sz w:val="22"/>
          <w:szCs w:val="22"/>
        </w:rPr>
        <w:t xml:space="preserve"> bottom of the left and right inflated cortical surface </w:t>
      </w:r>
      <w:r>
        <w:rPr>
          <w:rFonts w:ascii="Times New Roman" w:eastAsia="Times New Roman" w:hAnsi="Times New Roman" w:cs="Times New Roman"/>
          <w:sz w:val="22"/>
          <w:szCs w:val="22"/>
        </w:rPr>
        <w:lastRenderedPageBreak/>
        <w:t xml:space="preserve">showing the IPS and the areas of the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w:t>
      </w:r>
      <w:r>
        <w:rPr>
          <w:noProof/>
        </w:rPr>
        <w:drawing>
          <wp:inline distT="0" distB="0" distL="0" distR="0">
            <wp:extent cx="5400000" cy="7736713"/>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400000" cy="7736713"/>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t xml:space="preserve">     </w:t>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sidR="00EF3414">
        <w:rPr>
          <w:rFonts w:ascii="Times New Roman" w:eastAsia="Times New Roman" w:hAnsi="Times New Roman" w:cs="Times New Roman"/>
          <w:b/>
          <w:sz w:val="22"/>
          <w:szCs w:val="22"/>
        </w:rPr>
        <w:t>2 I</w:t>
      </w:r>
      <w:r>
        <w:rPr>
          <w:rFonts w:ascii="Times New Roman" w:eastAsia="Times New Roman" w:hAnsi="Times New Roman" w:cs="Times New Roman"/>
          <w:b/>
          <w:sz w:val="22"/>
          <w:szCs w:val="22"/>
        </w:rPr>
        <w:t xml:space="preserve">ndividual SMA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short context.</w:t>
      </w:r>
      <w:r>
        <w:rPr>
          <w:rFonts w:ascii="Times New Roman" w:eastAsia="Times New Roman" w:hAnsi="Times New Roman" w:cs="Times New Roman"/>
          <w:sz w:val="22"/>
          <w:szCs w:val="22"/>
        </w:rPr>
        <w:t xml:space="preserve"> Medial view of left (L) and right (R) hemispheres of the 14 tested subjects. Overlaid on</w:t>
      </w:r>
      <w:r>
        <w:rPr>
          <w:rFonts w:ascii="Times New Roman" w:eastAsia="Times New Roman" w:hAnsi="Times New Roman" w:cs="Times New Roman"/>
          <w:sz w:val="22"/>
          <w:szCs w:val="22"/>
        </w:rPr>
        <w:t xml:space="preserve"> the individual inflated cortical surface are clusters of vertices classified with a winner-take-all procedure as maximally responsive to the three durations in the short context (0.32, 0.46, and 0.65 s) The clusters are color coded according to duration p</w:t>
      </w:r>
      <w:r>
        <w:rPr>
          <w:rFonts w:ascii="Times New Roman" w:eastAsia="Times New Roman" w:hAnsi="Times New Roman" w:cs="Times New Roman"/>
          <w:sz w:val="22"/>
          <w:szCs w:val="22"/>
        </w:rPr>
        <w:t>references, 0.32</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is in red, 0.46</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s is in green and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 xml:space="preserve">is in blue. The white dashed line is the border at the shortest edge of the map </w:t>
      </w:r>
      <w:r>
        <w:rPr>
          <w:rFonts w:ascii="Times New Roman" w:eastAsia="Times New Roman" w:hAnsi="Times New Roman" w:cs="Times New Roman"/>
          <w:sz w:val="22"/>
          <w:szCs w:val="22"/>
        </w:rPr>
        <w:lastRenderedPageBreak/>
        <w:t>(closest to the shortest duration), the solid line the border at the longest edge of the map (closest to the longest du</w:t>
      </w:r>
      <w:r>
        <w:rPr>
          <w:rFonts w:ascii="Times New Roman" w:eastAsia="Times New Roman" w:hAnsi="Times New Roman" w:cs="Times New Roman"/>
          <w:sz w:val="22"/>
          <w:szCs w:val="22"/>
        </w:rPr>
        <w:t xml:space="preserve">ration of the range). </w:t>
      </w:r>
      <w:proofErr w:type="spellStart"/>
      <w:r>
        <w:rPr>
          <w:rFonts w:ascii="Times New Roman" w:eastAsia="Times New Roman" w:hAnsi="Times New Roman" w:cs="Times New Roman"/>
          <w:sz w:val="22"/>
          <w:szCs w:val="22"/>
        </w:rPr>
        <w:t>pCG</w:t>
      </w:r>
      <w:proofErr w:type="spellEnd"/>
      <w:r>
        <w:rPr>
          <w:rFonts w:ascii="Times New Roman" w:eastAsia="Times New Roman" w:hAnsi="Times New Roman" w:cs="Times New Roman"/>
          <w:sz w:val="22"/>
          <w:szCs w:val="22"/>
        </w:rPr>
        <w:t xml:space="preserve"> is the precentral gyrus.</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br w:type="page"/>
      </w:r>
      <w:r>
        <w:rPr>
          <w:rFonts w:ascii="Times New Roman" w:eastAsia="Times New Roman" w:hAnsi="Times New Roman" w:cs="Times New Roman"/>
          <w:noProof/>
          <w:sz w:val="22"/>
          <w:szCs w:val="22"/>
        </w:rPr>
        <w:lastRenderedPageBreak/>
        <w:drawing>
          <wp:inline distT="0" distB="0" distL="0" distR="0">
            <wp:extent cx="5212800" cy="7496647"/>
            <wp:effectExtent l="0" t="0" r="0" b="0"/>
            <wp:docPr id="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5212800" cy="7496647"/>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sidR="00EF3414">
        <w:rPr>
          <w:rFonts w:ascii="Times New Roman" w:eastAsia="Times New Roman" w:hAnsi="Times New Roman" w:cs="Times New Roman"/>
          <w:b/>
          <w:sz w:val="22"/>
          <w:szCs w:val="22"/>
        </w:rPr>
        <w:t>3 I</w:t>
      </w:r>
      <w:r>
        <w:rPr>
          <w:rFonts w:ascii="Times New Roman" w:eastAsia="Times New Roman" w:hAnsi="Times New Roman" w:cs="Times New Roman"/>
          <w:b/>
          <w:sz w:val="22"/>
          <w:szCs w:val="22"/>
        </w:rPr>
        <w:t xml:space="preserve">ndividual SMA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long context.</w:t>
      </w:r>
      <w:r>
        <w:rPr>
          <w:rFonts w:ascii="Times New Roman" w:eastAsia="Times New Roman" w:hAnsi="Times New Roman" w:cs="Times New Roman"/>
          <w:sz w:val="22"/>
          <w:szCs w:val="22"/>
        </w:rPr>
        <w:t xml:space="preserve"> Medial view of left (L) and right (R) hemispheres of the 14 tested subjects. Overlaid on the individual inflated cortical surface are clusters of</w:t>
      </w:r>
      <w:r>
        <w:rPr>
          <w:rFonts w:ascii="Times New Roman" w:eastAsia="Times New Roman" w:hAnsi="Times New Roman" w:cs="Times New Roman"/>
          <w:sz w:val="22"/>
          <w:szCs w:val="22"/>
        </w:rPr>
        <w:t xml:space="preserve"> vertices classified with a winner-take-all procedure as maximally responsive to the three durations in the long context (0.65, 0.85, and 1.1 s). The clusters are color coded according to duration preferences,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is in red, 0.85</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is in green and 1.1</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is</w:t>
      </w:r>
      <w:r>
        <w:rPr>
          <w:rFonts w:ascii="Times New Roman" w:eastAsia="Times New Roman" w:hAnsi="Times New Roman" w:cs="Times New Roman"/>
          <w:sz w:val="22"/>
          <w:szCs w:val="22"/>
        </w:rPr>
        <w:t xml:space="preserve"> in blue. The white dashed line is the border at the shortest edge of the map (closest to the shortest duration), the solid line the border at the longest edge of the map (closest to the longest duration of the range). </w:t>
      </w:r>
      <w:proofErr w:type="spellStart"/>
      <w:r>
        <w:rPr>
          <w:rFonts w:ascii="Times New Roman" w:eastAsia="Times New Roman" w:hAnsi="Times New Roman" w:cs="Times New Roman"/>
          <w:sz w:val="22"/>
          <w:szCs w:val="22"/>
        </w:rPr>
        <w:t>pCG</w:t>
      </w:r>
      <w:proofErr w:type="spellEnd"/>
      <w:r>
        <w:rPr>
          <w:rFonts w:ascii="Times New Roman" w:eastAsia="Times New Roman" w:hAnsi="Times New Roman" w:cs="Times New Roman"/>
          <w:sz w:val="22"/>
          <w:szCs w:val="22"/>
        </w:rPr>
        <w:t xml:space="preserve"> is the precentral gyrus.</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6882390"/>
            <wp:effectExtent l="0" t="0" r="0" b="0"/>
            <wp:docPr id="3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5212800" cy="6882390"/>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w:t>
      </w:r>
      <w:r>
        <w:rPr>
          <w:rFonts w:ascii="Times New Roman" w:eastAsia="Times New Roman" w:hAnsi="Times New Roman" w:cs="Times New Roman"/>
          <w:b/>
          <w:sz w:val="22"/>
          <w:szCs w:val="22"/>
        </w:rPr>
        <w:t>.</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4</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Representation of the duration shared between contexts in SMA</w:t>
      </w:r>
      <w:r>
        <w:rPr>
          <w:rFonts w:ascii="Times New Roman" w:eastAsia="Times New Roman" w:hAnsi="Times New Roman" w:cs="Times New Roman"/>
          <w:sz w:val="22"/>
          <w:szCs w:val="22"/>
        </w:rPr>
        <w:t>. Medial view of left (L) and right (R) hemispheres of the 14 tested subjects. Overlaid on the subject's inflated cortical surface are clusters of vertices classified with a winner-take-all p</w:t>
      </w:r>
      <w:r>
        <w:rPr>
          <w:rFonts w:ascii="Times New Roman" w:eastAsia="Times New Roman" w:hAnsi="Times New Roman" w:cs="Times New Roman"/>
          <w:sz w:val="22"/>
          <w:szCs w:val="22"/>
        </w:rPr>
        <w:t xml:space="preserve">rocedure as maximally responsive to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 xml:space="preserve">when presented in short (SC, blue) and long (LC, red) context.  In green are the clusters responsive to 0.65 </w:t>
      </w:r>
      <w:r w:rsidR="00084660">
        <w:rPr>
          <w:rFonts w:ascii="Times New Roman" w:eastAsia="Times New Roman" w:hAnsi="Times New Roman" w:cs="Times New Roman"/>
          <w:sz w:val="22"/>
          <w:szCs w:val="22"/>
        </w:rPr>
        <w:t xml:space="preserve">s </w:t>
      </w:r>
      <w:r>
        <w:rPr>
          <w:rFonts w:ascii="Times New Roman" w:eastAsia="Times New Roman" w:hAnsi="Times New Roman" w:cs="Times New Roman"/>
          <w:sz w:val="22"/>
          <w:szCs w:val="22"/>
        </w:rPr>
        <w:t xml:space="preserve">in both the contexts. </w:t>
      </w:r>
      <w:proofErr w:type="spellStart"/>
      <w:r>
        <w:rPr>
          <w:rFonts w:ascii="Times New Roman" w:eastAsia="Times New Roman" w:hAnsi="Times New Roman" w:cs="Times New Roman"/>
          <w:sz w:val="22"/>
          <w:szCs w:val="22"/>
        </w:rPr>
        <w:t>pCG</w:t>
      </w:r>
      <w:proofErr w:type="spellEnd"/>
      <w:r>
        <w:rPr>
          <w:rFonts w:ascii="Times New Roman" w:eastAsia="Times New Roman" w:hAnsi="Times New Roman" w:cs="Times New Roman"/>
          <w:sz w:val="22"/>
          <w:szCs w:val="22"/>
        </w:rPr>
        <w:t xml:space="preserve"> is precentral gyrus.</w:t>
      </w:r>
    </w:p>
    <w:p w:rsidR="004B379E" w:rsidRDefault="004B379E">
      <w:pPr>
        <w:jc w:val="both"/>
        <w:rPr>
          <w:rFonts w:ascii="Times New Roman" w:eastAsia="Times New Roman" w:hAnsi="Times New Roman" w:cs="Times New Roman"/>
          <w:sz w:val="22"/>
          <w:szCs w:val="22"/>
        </w:rPr>
      </w:pP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extent cx="5436000" cy="7903658"/>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436000" cy="7903658"/>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5 Correlations between spatial progressions of t</w:t>
      </w:r>
      <w:r>
        <w:rPr>
          <w:rFonts w:ascii="Times New Roman" w:eastAsia="Times New Roman" w:hAnsi="Times New Roman" w:cs="Times New Roman"/>
          <w:b/>
          <w:sz w:val="22"/>
          <w:szCs w:val="22"/>
        </w:rPr>
        <w:t xml:space="preserve">he SMA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obtained within and across contexts</w:t>
      </w:r>
      <w:r>
        <w:rPr>
          <w:rFonts w:ascii="Times New Roman" w:eastAsia="Times New Roman" w:hAnsi="Times New Roman" w:cs="Times New Roman"/>
          <w:sz w:val="22"/>
          <w:szCs w:val="22"/>
        </w:rPr>
        <w:t>. In each subject, we checked the correlation of the maps’ spatial progression (i.e., the individual slopes resulting from the computation of the distances of each duration selective cluster from the sho</w:t>
      </w:r>
      <w:r>
        <w:rPr>
          <w:rFonts w:ascii="Times New Roman" w:eastAsia="Times New Roman" w:hAnsi="Times New Roman" w:cs="Times New Roman"/>
          <w:sz w:val="22"/>
          <w:szCs w:val="22"/>
        </w:rPr>
        <w:t>rtest edge of the map) between the different runs of the same (A) and of different contexts (B). SC = short context, LC =long context</w:t>
      </w:r>
    </w:p>
    <w:p w:rsidR="004B379E" w:rsidRDefault="0033772F">
      <w:pPr>
        <w:jc w:val="both"/>
        <w:rPr>
          <w:rFonts w:ascii="Times New Roman" w:eastAsia="Times New Roman" w:hAnsi="Times New Roman" w:cs="Times New Roman"/>
          <w:sz w:val="22"/>
          <w:szCs w:val="22"/>
        </w:rPr>
      </w:pPr>
      <w:r>
        <w:t xml:space="preserve">     </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extent cx="5400000" cy="7127157"/>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400000" cy="7127157"/>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6</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Overlap between the maps of the two contexts in SMA.  </w:t>
      </w:r>
      <w:r>
        <w:rPr>
          <w:rFonts w:ascii="Times New Roman" w:eastAsia="Times New Roman" w:hAnsi="Times New Roman" w:cs="Times New Roman"/>
          <w:sz w:val="22"/>
          <w:szCs w:val="22"/>
        </w:rPr>
        <w:t xml:space="preserve">Medial view of left (L) and right (R) hemispheres </w:t>
      </w:r>
      <w:r>
        <w:rPr>
          <w:rFonts w:ascii="Times New Roman" w:eastAsia="Times New Roman" w:hAnsi="Times New Roman" w:cs="Times New Roman"/>
          <w:sz w:val="22"/>
          <w:szCs w:val="22"/>
        </w:rPr>
        <w:t xml:space="preserve">of the 14 tested subjects, with the clusters corresponding to the short context in orange, those corresponding to the long context in pale blue and their overlap in yellow. </w:t>
      </w:r>
      <w:proofErr w:type="spellStart"/>
      <w:r>
        <w:rPr>
          <w:rFonts w:ascii="Times New Roman" w:eastAsia="Times New Roman" w:hAnsi="Times New Roman" w:cs="Times New Roman"/>
          <w:sz w:val="22"/>
          <w:szCs w:val="22"/>
        </w:rPr>
        <w:t>pCG</w:t>
      </w:r>
      <w:proofErr w:type="spellEnd"/>
      <w:r>
        <w:rPr>
          <w:rFonts w:ascii="Times New Roman" w:eastAsia="Times New Roman" w:hAnsi="Times New Roman" w:cs="Times New Roman"/>
          <w:sz w:val="22"/>
          <w:szCs w:val="22"/>
        </w:rPr>
        <w:t xml:space="preserve"> is precentral gyrus</w:t>
      </w:r>
    </w:p>
    <w:p w:rsidR="004B379E" w:rsidRDefault="004B379E">
      <w:pPr>
        <w:jc w:val="both"/>
        <w:rPr>
          <w:rFonts w:ascii="Times New Roman" w:eastAsia="Times New Roman" w:hAnsi="Times New Roman" w:cs="Times New Roman"/>
          <w:sz w:val="22"/>
          <w:szCs w:val="22"/>
        </w:rPr>
      </w:pPr>
    </w:p>
    <w:p w:rsidR="004B379E" w:rsidRDefault="004B379E">
      <w:pPr>
        <w:jc w:val="both"/>
        <w:rPr>
          <w:rFonts w:ascii="Times New Roman" w:eastAsia="Times New Roman" w:hAnsi="Times New Roman" w:cs="Times New Roman"/>
          <w:sz w:val="22"/>
          <w:szCs w:val="22"/>
        </w:rPr>
      </w:pP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noProof/>
        </w:rPr>
        <w:lastRenderedPageBreak/>
        <w:drawing>
          <wp:inline distT="0" distB="0" distL="0" distR="0">
            <wp:extent cx="5400000" cy="6862126"/>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400000" cy="6862126"/>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7</w:t>
      </w:r>
      <w:r>
        <w:rPr>
          <w:rFonts w:ascii="Times New Roman" w:eastAsia="Times New Roman" w:hAnsi="Times New Roman" w:cs="Times New Roman"/>
          <w:sz w:val="22"/>
          <w:szCs w:val="22"/>
        </w:rPr>
        <w:t xml:space="preserve"> </w:t>
      </w:r>
      <w:r w:rsidR="00EF3414">
        <w:rPr>
          <w:rFonts w:ascii="Times New Roman" w:eastAsia="Times New Roman" w:hAnsi="Times New Roman" w:cs="Times New Roman"/>
          <w:b/>
          <w:sz w:val="22"/>
          <w:szCs w:val="22"/>
        </w:rPr>
        <w:t>I</w:t>
      </w:r>
      <w:r>
        <w:rPr>
          <w:rFonts w:ascii="Times New Roman" w:eastAsia="Times New Roman" w:hAnsi="Times New Roman" w:cs="Times New Roman"/>
          <w:b/>
          <w:sz w:val="22"/>
          <w:szCs w:val="22"/>
        </w:rPr>
        <w:t xml:space="preserve">ndividual IPS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short contex</w:t>
      </w:r>
      <w:r>
        <w:rPr>
          <w:rFonts w:ascii="Times New Roman" w:eastAsia="Times New Roman" w:hAnsi="Times New Roman" w:cs="Times New Roman"/>
          <w:b/>
          <w:sz w:val="22"/>
          <w:szCs w:val="22"/>
        </w:rPr>
        <w:t>t.</w:t>
      </w:r>
      <w:r>
        <w:rPr>
          <w:rFonts w:ascii="Times New Roman" w:eastAsia="Times New Roman" w:hAnsi="Times New Roman" w:cs="Times New Roman"/>
          <w:sz w:val="22"/>
          <w:szCs w:val="22"/>
        </w:rPr>
        <w:t xml:space="preserve"> Medial view of left (L) and right (R) hemispheres of the 14 tested subjects. Overlaid on the individual inflated cortical surface are clusters of vertices classified with a winner-take-all procedure as maximally responsive to the three durations in the </w:t>
      </w:r>
      <w:r>
        <w:rPr>
          <w:rFonts w:ascii="Times New Roman" w:eastAsia="Times New Roman" w:hAnsi="Times New Roman" w:cs="Times New Roman"/>
          <w:sz w:val="22"/>
          <w:szCs w:val="22"/>
        </w:rPr>
        <w:t xml:space="preserve">short context (0.32, 0.46, and 0.65 s). The clusters are color coded according to duration preferences, 0.32s in red, 0.46s in green and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 xml:space="preserve">in blue. The white dashed line is the border at the shortest edge of the map (closest to the shortest duration), </w:t>
      </w:r>
      <w:r>
        <w:rPr>
          <w:rFonts w:ascii="Times New Roman" w:eastAsia="Times New Roman" w:hAnsi="Times New Roman" w:cs="Times New Roman"/>
          <w:sz w:val="22"/>
          <w:szCs w:val="22"/>
        </w:rPr>
        <w:t xml:space="preserve">the solid line the border at the longest edge of the map (closest to the longest duration of the range). </w:t>
      </w:r>
      <w:proofErr w:type="spellStart"/>
      <w:r>
        <w:rPr>
          <w:rFonts w:ascii="Times New Roman" w:eastAsia="Times New Roman" w:hAnsi="Times New Roman" w:cs="Times New Roman"/>
          <w:sz w:val="22"/>
          <w:szCs w:val="22"/>
        </w:rPr>
        <w:t>poCG</w:t>
      </w:r>
      <w:proofErr w:type="spellEnd"/>
      <w:r>
        <w:rPr>
          <w:rFonts w:ascii="Times New Roman" w:eastAsia="Times New Roman" w:hAnsi="Times New Roman" w:cs="Times New Roman"/>
          <w:sz w:val="22"/>
          <w:szCs w:val="22"/>
        </w:rPr>
        <w:t xml:space="preserve"> is the post-central gyrus.</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6616121"/>
            <wp:effectExtent l="0" t="0" r="0" b="0"/>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212800" cy="6616121"/>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8</w:t>
      </w:r>
      <w:r>
        <w:rPr>
          <w:rFonts w:ascii="Times New Roman" w:eastAsia="Times New Roman" w:hAnsi="Times New Roman" w:cs="Times New Roman"/>
          <w:sz w:val="22"/>
          <w:szCs w:val="22"/>
        </w:rPr>
        <w:t xml:space="preserve"> </w:t>
      </w:r>
      <w:r w:rsidR="00EF3414">
        <w:rPr>
          <w:rFonts w:ascii="Times New Roman" w:eastAsia="Times New Roman" w:hAnsi="Times New Roman" w:cs="Times New Roman"/>
          <w:b/>
          <w:sz w:val="22"/>
          <w:szCs w:val="22"/>
        </w:rPr>
        <w:t>I</w:t>
      </w:r>
      <w:r>
        <w:rPr>
          <w:rFonts w:ascii="Times New Roman" w:eastAsia="Times New Roman" w:hAnsi="Times New Roman" w:cs="Times New Roman"/>
          <w:b/>
          <w:sz w:val="22"/>
          <w:szCs w:val="22"/>
        </w:rPr>
        <w:t xml:space="preserve">ndividual IPS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long context.</w:t>
      </w:r>
      <w:r>
        <w:rPr>
          <w:rFonts w:ascii="Times New Roman" w:eastAsia="Times New Roman" w:hAnsi="Times New Roman" w:cs="Times New Roman"/>
          <w:sz w:val="22"/>
          <w:szCs w:val="22"/>
        </w:rPr>
        <w:t xml:space="preserve"> Medial view of left (L) and right (R) hemispheres of the 14 </w:t>
      </w:r>
      <w:r>
        <w:rPr>
          <w:rFonts w:ascii="Times New Roman" w:eastAsia="Times New Roman" w:hAnsi="Times New Roman" w:cs="Times New Roman"/>
          <w:sz w:val="22"/>
          <w:szCs w:val="22"/>
        </w:rPr>
        <w:t>tested subjects. Overlaid on the individual inflated cortical surface are clusters of vertices classified with a winner-take-all procedure as maximally responsive to the three durations in the long context (0.65, 0.85, and 1.1 s). The clusters are color co</w:t>
      </w:r>
      <w:r>
        <w:rPr>
          <w:rFonts w:ascii="Times New Roman" w:eastAsia="Times New Roman" w:hAnsi="Times New Roman" w:cs="Times New Roman"/>
          <w:sz w:val="22"/>
          <w:szCs w:val="22"/>
        </w:rPr>
        <w:t xml:space="preserve">ded according to duration preferences,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in red, 0.85</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in green and 1.1</w:t>
      </w:r>
      <w:r w:rsidR="0008466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in blue. The white dashed line is the border at the shortest edge of the map (closest to the shortest duration), the solid line the border at the longest edge of the map (closest </w:t>
      </w:r>
      <w:r>
        <w:rPr>
          <w:rFonts w:ascii="Times New Roman" w:eastAsia="Times New Roman" w:hAnsi="Times New Roman" w:cs="Times New Roman"/>
          <w:sz w:val="22"/>
          <w:szCs w:val="22"/>
        </w:rPr>
        <w:t xml:space="preserve">to the longest duration of the range). </w:t>
      </w:r>
      <w:proofErr w:type="spellStart"/>
      <w:r>
        <w:rPr>
          <w:rFonts w:ascii="Times New Roman" w:eastAsia="Times New Roman" w:hAnsi="Times New Roman" w:cs="Times New Roman"/>
          <w:sz w:val="22"/>
          <w:szCs w:val="22"/>
        </w:rPr>
        <w:t>poCG</w:t>
      </w:r>
      <w:proofErr w:type="spellEnd"/>
      <w:r>
        <w:rPr>
          <w:rFonts w:ascii="Times New Roman" w:eastAsia="Times New Roman" w:hAnsi="Times New Roman" w:cs="Times New Roman"/>
          <w:sz w:val="22"/>
          <w:szCs w:val="22"/>
        </w:rPr>
        <w:t xml:space="preserve"> is the post-central gyrus. </w:t>
      </w:r>
      <w:r>
        <w:t xml:space="preserve">     </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6678359"/>
            <wp:effectExtent l="0" t="0" r="0" b="0"/>
            <wp:docPr id="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212800" cy="6678359"/>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9 Representation of the duration shared between contexts in IPS. </w:t>
      </w:r>
      <w:r>
        <w:rPr>
          <w:rFonts w:ascii="Times New Roman" w:eastAsia="Times New Roman" w:hAnsi="Times New Roman" w:cs="Times New Roman"/>
          <w:sz w:val="22"/>
          <w:szCs w:val="22"/>
        </w:rPr>
        <w:t xml:space="preserve">Medial view of left (L) and right (R) hemispheres of the 14 tested subjects. Overlaid on the subject's inflated cortical surface are clusters of vertices classified with a winner-take-all procedure as maximally responsive to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when presented in short c</w:t>
      </w:r>
      <w:r>
        <w:rPr>
          <w:rFonts w:ascii="Times New Roman" w:eastAsia="Times New Roman" w:hAnsi="Times New Roman" w:cs="Times New Roman"/>
          <w:sz w:val="22"/>
          <w:szCs w:val="22"/>
        </w:rPr>
        <w:t xml:space="preserve">ontext (SC, blue) and long context (LC, red).  In green are the clusters responsive to 0.65 </w:t>
      </w:r>
      <w:r w:rsidR="00084660">
        <w:rPr>
          <w:rFonts w:ascii="Times New Roman" w:eastAsia="Times New Roman" w:hAnsi="Times New Roman" w:cs="Times New Roman"/>
          <w:sz w:val="22"/>
          <w:szCs w:val="22"/>
        </w:rPr>
        <w:t xml:space="preserve">s </w:t>
      </w:r>
      <w:r>
        <w:rPr>
          <w:rFonts w:ascii="Times New Roman" w:eastAsia="Times New Roman" w:hAnsi="Times New Roman" w:cs="Times New Roman"/>
          <w:sz w:val="22"/>
          <w:szCs w:val="22"/>
        </w:rPr>
        <w:t xml:space="preserve">in both the contexts. </w:t>
      </w:r>
      <w:proofErr w:type="spellStart"/>
      <w:r>
        <w:rPr>
          <w:rFonts w:ascii="Times New Roman" w:eastAsia="Times New Roman" w:hAnsi="Times New Roman" w:cs="Times New Roman"/>
          <w:sz w:val="22"/>
          <w:szCs w:val="22"/>
        </w:rPr>
        <w:t>poCG</w:t>
      </w:r>
      <w:proofErr w:type="spellEnd"/>
      <w:r>
        <w:rPr>
          <w:rFonts w:ascii="Times New Roman" w:eastAsia="Times New Roman" w:hAnsi="Times New Roman" w:cs="Times New Roman"/>
          <w:sz w:val="22"/>
          <w:szCs w:val="22"/>
        </w:rPr>
        <w:t xml:space="preserve"> is the post-central gyrus.</w:t>
      </w:r>
      <w:r>
        <w:t xml:space="preserve">     </w:t>
      </w:r>
    </w:p>
    <w:p w:rsidR="004B379E" w:rsidRDefault="004B379E">
      <w:pPr>
        <w:jc w:val="both"/>
        <w:rPr>
          <w:rFonts w:ascii="Times New Roman" w:eastAsia="Times New Roman" w:hAnsi="Times New Roman" w:cs="Times New Roman"/>
          <w:sz w:val="22"/>
          <w:szCs w:val="22"/>
        </w:rPr>
      </w:pP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br w:type="page"/>
      </w:r>
      <w:r>
        <w:rPr>
          <w:rFonts w:ascii="Times New Roman" w:eastAsia="Times New Roman" w:hAnsi="Times New Roman" w:cs="Times New Roman"/>
          <w:noProof/>
          <w:sz w:val="22"/>
          <w:szCs w:val="22"/>
        </w:rPr>
        <w:lastRenderedPageBreak/>
        <w:drawing>
          <wp:inline distT="114300" distB="114300" distL="114300" distR="114300">
            <wp:extent cx="5400000" cy="6253068"/>
            <wp:effectExtent l="0" t="0" r="0" b="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400000" cy="6253068"/>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10</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Overlap between the maps of the two contexts in IPS.  </w:t>
      </w:r>
      <w:r>
        <w:rPr>
          <w:rFonts w:ascii="Times New Roman" w:eastAsia="Times New Roman" w:hAnsi="Times New Roman" w:cs="Times New Roman"/>
          <w:sz w:val="22"/>
          <w:szCs w:val="22"/>
        </w:rPr>
        <w:t xml:space="preserve">Medial view of left (L) and right (R) hemispheres of the 14 tested subjects, with the clusters corresponding to the short context in orange, those corresponding to the long context in pale blue and their overlap in yellow. </w:t>
      </w:r>
      <w:proofErr w:type="spellStart"/>
      <w:r>
        <w:rPr>
          <w:rFonts w:ascii="Times New Roman" w:eastAsia="Times New Roman" w:hAnsi="Times New Roman" w:cs="Times New Roman"/>
          <w:sz w:val="22"/>
          <w:szCs w:val="22"/>
        </w:rPr>
        <w:t>poCG</w:t>
      </w:r>
      <w:proofErr w:type="spellEnd"/>
      <w:r>
        <w:rPr>
          <w:rFonts w:ascii="Times New Roman" w:eastAsia="Times New Roman" w:hAnsi="Times New Roman" w:cs="Times New Roman"/>
          <w:sz w:val="22"/>
          <w:szCs w:val="22"/>
        </w:rPr>
        <w:t xml:space="preserve"> is the post-central gyrus</w:t>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5705288"/>
            <wp:effectExtent l="0" t="0" r="0" b="0"/>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212800" cy="5705288"/>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11</w:t>
      </w:r>
      <w:r>
        <w:rPr>
          <w:rFonts w:ascii="Times New Roman" w:eastAsia="Times New Roman" w:hAnsi="Times New Roman" w:cs="Times New Roman"/>
          <w:sz w:val="22"/>
          <w:szCs w:val="22"/>
        </w:rPr>
        <w:t xml:space="preserve"> </w:t>
      </w:r>
      <w:r w:rsidR="00EF3414">
        <w:rPr>
          <w:rFonts w:ascii="Times New Roman" w:eastAsia="Times New Roman" w:hAnsi="Times New Roman" w:cs="Times New Roman"/>
          <w:b/>
          <w:sz w:val="22"/>
          <w:szCs w:val="22"/>
        </w:rPr>
        <w:t>I</w:t>
      </w:r>
      <w:bookmarkStart w:id="1" w:name="_GoBack"/>
      <w:bookmarkEnd w:id="1"/>
      <w:r>
        <w:rPr>
          <w:rFonts w:ascii="Times New Roman" w:eastAsia="Times New Roman" w:hAnsi="Times New Roman" w:cs="Times New Roman"/>
          <w:b/>
          <w:sz w:val="22"/>
          <w:szCs w:val="22"/>
        </w:rPr>
        <w:t xml:space="preserve">ndividual </w:t>
      </w:r>
      <w:proofErr w:type="spellStart"/>
      <w:r>
        <w:rPr>
          <w:rFonts w:ascii="Times New Roman" w:eastAsia="Times New Roman" w:hAnsi="Times New Roman" w:cs="Times New Roman"/>
          <w:b/>
          <w:sz w:val="22"/>
          <w:szCs w:val="22"/>
        </w:rPr>
        <w:t>parabelt</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short context.</w:t>
      </w:r>
      <w:r>
        <w:rPr>
          <w:rFonts w:ascii="Times New Roman" w:eastAsia="Times New Roman" w:hAnsi="Times New Roman" w:cs="Times New Roman"/>
          <w:sz w:val="22"/>
          <w:szCs w:val="22"/>
        </w:rPr>
        <w:t xml:space="preserve"> Medial view of left (L) and right (R) hemispheres of the 10 subjects where significant activation of the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areas was found in short context. Overlaid on the individual inflated cortical </w:t>
      </w:r>
      <w:r>
        <w:rPr>
          <w:rFonts w:ascii="Times New Roman" w:eastAsia="Times New Roman" w:hAnsi="Times New Roman" w:cs="Times New Roman"/>
          <w:sz w:val="22"/>
          <w:szCs w:val="22"/>
        </w:rPr>
        <w:t>surface are clusters of vertices classified with a winner-take-all procedure as maximally responsive to the three durations in the short context (0.32, 0.46, and 0.65 s). The clusters are color coded according to duration preferences, 0.32s in red, 0.46s i</w:t>
      </w:r>
      <w:r>
        <w:rPr>
          <w:rFonts w:ascii="Times New Roman" w:eastAsia="Times New Roman" w:hAnsi="Times New Roman" w:cs="Times New Roman"/>
          <w:sz w:val="22"/>
          <w:szCs w:val="22"/>
        </w:rPr>
        <w:t xml:space="preserve">n green and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 xml:space="preserve">in blue. The white dashed line is the border at the shortest edge of the map (closest to the shortest duration), the solid line the border at the longest edge of the map (closest to the longest duration of the range).  HG is the </w:t>
      </w:r>
      <w:proofErr w:type="spellStart"/>
      <w:r>
        <w:rPr>
          <w:rFonts w:ascii="Times New Roman" w:eastAsia="Times New Roman" w:hAnsi="Times New Roman" w:cs="Times New Roman"/>
          <w:sz w:val="22"/>
          <w:szCs w:val="22"/>
        </w:rPr>
        <w:t>Heschl’s</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gyrus.</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br w:type="page"/>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6441856"/>
            <wp:effectExtent l="0" t="0" r="0" b="0"/>
            <wp:docPr id="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212800" cy="6441856"/>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12 Individual </w:t>
      </w:r>
      <w:proofErr w:type="spellStart"/>
      <w:r>
        <w:rPr>
          <w:rFonts w:ascii="Times New Roman" w:eastAsia="Times New Roman" w:hAnsi="Times New Roman" w:cs="Times New Roman"/>
          <w:b/>
          <w:sz w:val="22"/>
          <w:szCs w:val="22"/>
        </w:rPr>
        <w:t>parabelt</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in the long context.</w:t>
      </w:r>
      <w:r>
        <w:rPr>
          <w:rFonts w:ascii="Times New Roman" w:eastAsia="Times New Roman" w:hAnsi="Times New Roman" w:cs="Times New Roman"/>
          <w:sz w:val="22"/>
          <w:szCs w:val="22"/>
        </w:rPr>
        <w:t xml:space="preserve"> Medial view of left (L) and right (R) hemispheres of the 11 subjects where significant activation of the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areas was found in long context. Overlaid on the individual inflated</w:t>
      </w:r>
      <w:r>
        <w:rPr>
          <w:rFonts w:ascii="Times New Roman" w:eastAsia="Times New Roman" w:hAnsi="Times New Roman" w:cs="Times New Roman"/>
          <w:sz w:val="22"/>
          <w:szCs w:val="22"/>
        </w:rPr>
        <w:t xml:space="preserve"> cortical surface are clusters of vertices classified with a winner-take-all procedure as maximally responsive to the three durations in the long context (0.65, 0.85, and 1.1 s). The clusters are color coded according </w:t>
      </w:r>
      <w:r w:rsidR="00084660">
        <w:rPr>
          <w:rFonts w:ascii="Times New Roman" w:eastAsia="Times New Roman" w:hAnsi="Times New Roman" w:cs="Times New Roman"/>
          <w:sz w:val="22"/>
          <w:szCs w:val="22"/>
        </w:rPr>
        <w:t xml:space="preserve">to duration preferences, 0.65 s </w:t>
      </w:r>
      <w:r>
        <w:rPr>
          <w:rFonts w:ascii="Times New Roman" w:eastAsia="Times New Roman" w:hAnsi="Times New Roman" w:cs="Times New Roman"/>
          <w:sz w:val="22"/>
          <w:szCs w:val="22"/>
        </w:rPr>
        <w:t>in red</w:t>
      </w:r>
      <w:r w:rsidR="00084660">
        <w:rPr>
          <w:rFonts w:ascii="Times New Roman" w:eastAsia="Times New Roman" w:hAnsi="Times New Roman" w:cs="Times New Roman"/>
          <w:sz w:val="22"/>
          <w:szCs w:val="22"/>
        </w:rPr>
        <w:t xml:space="preserve">, 0.85 s </w:t>
      </w:r>
      <w:r>
        <w:rPr>
          <w:rFonts w:ascii="Times New Roman" w:eastAsia="Times New Roman" w:hAnsi="Times New Roman" w:cs="Times New Roman"/>
          <w:sz w:val="22"/>
          <w:szCs w:val="22"/>
        </w:rPr>
        <w:t>in green and 1.1</w:t>
      </w:r>
      <w:r w:rsidR="00084660">
        <w:rPr>
          <w:rFonts w:ascii="Times New Roman" w:eastAsia="Times New Roman" w:hAnsi="Times New Roman" w:cs="Times New Roman"/>
          <w:sz w:val="22"/>
          <w:szCs w:val="22"/>
        </w:rPr>
        <w:t xml:space="preserve"> s </w:t>
      </w:r>
      <w:r>
        <w:rPr>
          <w:rFonts w:ascii="Times New Roman" w:eastAsia="Times New Roman" w:hAnsi="Times New Roman" w:cs="Times New Roman"/>
          <w:sz w:val="22"/>
          <w:szCs w:val="22"/>
        </w:rPr>
        <w:t xml:space="preserve">in blue. The white dashed line is the border at the shortest edge of the map (closest to the shortest duration), the solid line the border at the longest edge of the map (closest to the longest duration of the range). HG is the </w:t>
      </w:r>
      <w:proofErr w:type="spellStart"/>
      <w:r>
        <w:rPr>
          <w:rFonts w:ascii="Times New Roman" w:eastAsia="Times New Roman" w:hAnsi="Times New Roman" w:cs="Times New Roman"/>
          <w:sz w:val="22"/>
          <w:szCs w:val="22"/>
        </w:rPr>
        <w:t>Heschl’s</w:t>
      </w:r>
      <w:proofErr w:type="spellEnd"/>
      <w:r>
        <w:rPr>
          <w:rFonts w:ascii="Times New Roman" w:eastAsia="Times New Roman" w:hAnsi="Times New Roman" w:cs="Times New Roman"/>
          <w:sz w:val="22"/>
          <w:szCs w:val="22"/>
        </w:rPr>
        <w:t xml:space="preserve"> gyrus.</w:t>
      </w:r>
    </w:p>
    <w:p w:rsidR="004B379E" w:rsidRDefault="0033772F">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 </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br w:type="page"/>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extent cx="5212800" cy="5796750"/>
            <wp:effectExtent l="0" t="0" r="0" b="0"/>
            <wp:docPr id="4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212800" cy="5796750"/>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13 Representation of the duration shared between contexts in </w:t>
      </w:r>
      <w:proofErr w:type="spellStart"/>
      <w:r>
        <w:rPr>
          <w:rFonts w:ascii="Times New Roman" w:eastAsia="Times New Roman" w:hAnsi="Times New Roman" w:cs="Times New Roman"/>
          <w:b/>
          <w:sz w:val="22"/>
          <w:szCs w:val="22"/>
        </w:rPr>
        <w:t>parabelt</w:t>
      </w:r>
      <w:proofErr w:type="spellEnd"/>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Medial view of left (L) and right (R) hemispheres of the 11 subjects that had the activation of the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cluster in the two contexts. Overlaid on the subj</w:t>
      </w:r>
      <w:r>
        <w:rPr>
          <w:rFonts w:ascii="Times New Roman" w:eastAsia="Times New Roman" w:hAnsi="Times New Roman" w:cs="Times New Roman"/>
          <w:sz w:val="22"/>
          <w:szCs w:val="22"/>
        </w:rPr>
        <w:t xml:space="preserve">ect's inflated cortical surface are clusters of vertices classified with a winner-take-all procedure as maximally responsive to </w:t>
      </w:r>
      <w:r w:rsidR="00084660">
        <w:rPr>
          <w:rFonts w:ascii="Times New Roman" w:eastAsia="Times New Roman" w:hAnsi="Times New Roman" w:cs="Times New Roman"/>
          <w:sz w:val="22"/>
          <w:szCs w:val="22"/>
        </w:rPr>
        <w:t xml:space="preserve">0.65 s </w:t>
      </w:r>
      <w:r>
        <w:rPr>
          <w:rFonts w:ascii="Times New Roman" w:eastAsia="Times New Roman" w:hAnsi="Times New Roman" w:cs="Times New Roman"/>
          <w:sz w:val="22"/>
          <w:szCs w:val="22"/>
        </w:rPr>
        <w:t xml:space="preserve">when presented in short (SC, blue) and long (LC, red) contexts.  In green are the clusters responsive to 0.65 </w:t>
      </w:r>
      <w:r w:rsidR="00084660">
        <w:rPr>
          <w:rFonts w:ascii="Times New Roman" w:eastAsia="Times New Roman" w:hAnsi="Times New Roman" w:cs="Times New Roman"/>
          <w:sz w:val="22"/>
          <w:szCs w:val="22"/>
        </w:rPr>
        <w:t xml:space="preserve">s </w:t>
      </w:r>
      <w:r>
        <w:rPr>
          <w:rFonts w:ascii="Times New Roman" w:eastAsia="Times New Roman" w:hAnsi="Times New Roman" w:cs="Times New Roman"/>
          <w:sz w:val="22"/>
          <w:szCs w:val="22"/>
        </w:rPr>
        <w:t xml:space="preserve">in both the </w:t>
      </w:r>
      <w:r>
        <w:rPr>
          <w:rFonts w:ascii="Times New Roman" w:eastAsia="Times New Roman" w:hAnsi="Times New Roman" w:cs="Times New Roman"/>
          <w:sz w:val="22"/>
          <w:szCs w:val="22"/>
        </w:rPr>
        <w:t xml:space="preserve">contexts. HG is the </w:t>
      </w:r>
      <w:proofErr w:type="spellStart"/>
      <w:r>
        <w:rPr>
          <w:rFonts w:ascii="Times New Roman" w:eastAsia="Times New Roman" w:hAnsi="Times New Roman" w:cs="Times New Roman"/>
          <w:sz w:val="22"/>
          <w:szCs w:val="22"/>
        </w:rPr>
        <w:t>Heschl’s</w:t>
      </w:r>
      <w:proofErr w:type="spellEnd"/>
      <w:r>
        <w:rPr>
          <w:rFonts w:ascii="Times New Roman" w:eastAsia="Times New Roman" w:hAnsi="Times New Roman" w:cs="Times New Roman"/>
          <w:sz w:val="22"/>
          <w:szCs w:val="22"/>
        </w:rPr>
        <w:t xml:space="preserve"> Gyrus </w:t>
      </w:r>
      <w:r>
        <w:rPr>
          <w:rFonts w:ascii="Times New Roman" w:eastAsia="Times New Roman" w:hAnsi="Times New Roman" w:cs="Times New Roman"/>
          <w:b/>
          <w:sz w:val="22"/>
          <w:szCs w:val="22"/>
        </w:rPr>
        <w:t xml:space="preserve">     </w:t>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extent cx="5400000" cy="6028942"/>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400000" cy="6028942"/>
                    </a:xfrm>
                    <a:prstGeom prst="rect">
                      <a:avLst/>
                    </a:prstGeom>
                    <a:ln/>
                  </pic:spPr>
                </pic:pic>
              </a:graphicData>
            </a:graphic>
          </wp:inline>
        </w:drawing>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14</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Overlap between the maps of the two contexts in </w:t>
      </w:r>
      <w:proofErr w:type="spellStart"/>
      <w:r>
        <w:rPr>
          <w:rFonts w:ascii="Times New Roman" w:eastAsia="Times New Roman" w:hAnsi="Times New Roman" w:cs="Times New Roman"/>
          <w:b/>
          <w:sz w:val="22"/>
          <w:szCs w:val="22"/>
        </w:rPr>
        <w:t>parabelt</w:t>
      </w:r>
      <w:proofErr w:type="spellEnd"/>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Medial view of left (L) and right (R) hemispheres of the 11 subjects where activation in the two contexts was found. The clusters correspondin</w:t>
      </w:r>
      <w:r>
        <w:rPr>
          <w:rFonts w:ascii="Times New Roman" w:eastAsia="Times New Roman" w:hAnsi="Times New Roman" w:cs="Times New Roman"/>
          <w:sz w:val="22"/>
          <w:szCs w:val="22"/>
        </w:rPr>
        <w:t xml:space="preserve">g to the short context are in orange, those corresponding to the long context in pale blue and their overlap in yellow. HG is the </w:t>
      </w:r>
      <w:proofErr w:type="spellStart"/>
      <w:r>
        <w:rPr>
          <w:rFonts w:ascii="Times New Roman" w:eastAsia="Times New Roman" w:hAnsi="Times New Roman" w:cs="Times New Roman"/>
          <w:sz w:val="22"/>
          <w:szCs w:val="22"/>
        </w:rPr>
        <w:t>Heschl’s</w:t>
      </w:r>
      <w:proofErr w:type="spellEnd"/>
      <w:r>
        <w:rPr>
          <w:rFonts w:ascii="Times New Roman" w:eastAsia="Times New Roman" w:hAnsi="Times New Roman" w:cs="Times New Roman"/>
          <w:sz w:val="22"/>
          <w:szCs w:val="22"/>
        </w:rPr>
        <w:t xml:space="preserve"> gyrus</w:t>
      </w:r>
      <w:r>
        <w:br w:type="page"/>
      </w:r>
    </w:p>
    <w:p w:rsidR="004B379E" w:rsidRDefault="004B379E">
      <w:pPr>
        <w:jc w:val="both"/>
        <w:rPr>
          <w:rFonts w:ascii="Times New Roman" w:eastAsia="Times New Roman" w:hAnsi="Times New Roman" w:cs="Times New Roman"/>
          <w:sz w:val="22"/>
          <w:szCs w:val="22"/>
        </w:rPr>
      </w:pP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extent cx="4351959" cy="7179852"/>
            <wp:effectExtent l="0" t="0" r="0" b="0"/>
            <wp:docPr id="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4351959" cy="7179852"/>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15</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b/>
          <w:sz w:val="22"/>
          <w:szCs w:val="22"/>
        </w:rPr>
        <w:t>Chronomaps</w:t>
      </w:r>
      <w:proofErr w:type="spellEnd"/>
      <w:r>
        <w:rPr>
          <w:rFonts w:ascii="Times New Roman" w:eastAsia="Times New Roman" w:hAnsi="Times New Roman" w:cs="Times New Roman"/>
          <w:b/>
          <w:sz w:val="22"/>
          <w:szCs w:val="22"/>
        </w:rPr>
        <w:t xml:space="preserve">’ orientations in SMA, IPS and </w:t>
      </w:r>
      <w:proofErr w:type="spellStart"/>
      <w:r>
        <w:rPr>
          <w:rFonts w:ascii="Times New Roman" w:eastAsia="Times New Roman" w:hAnsi="Times New Roman" w:cs="Times New Roman"/>
          <w:b/>
          <w:sz w:val="22"/>
          <w:szCs w:val="22"/>
        </w:rPr>
        <w:t>parabelt</w:t>
      </w:r>
      <w:proofErr w:type="spellEnd"/>
      <w:r>
        <w:rPr>
          <w:rFonts w:ascii="Times New Roman" w:eastAsia="Times New Roman" w:hAnsi="Times New Roman" w:cs="Times New Roman"/>
          <w:sz w:val="22"/>
          <w:szCs w:val="22"/>
        </w:rPr>
        <w:t xml:space="preserve">. Histogram of the various </w:t>
      </w:r>
      <w:proofErr w:type="spellStart"/>
      <w:r>
        <w:rPr>
          <w:rFonts w:ascii="Times New Roman" w:eastAsia="Times New Roman" w:hAnsi="Times New Roman" w:cs="Times New Roman"/>
          <w:sz w:val="22"/>
          <w:szCs w:val="22"/>
        </w:rPr>
        <w:t>chronomap</w:t>
      </w:r>
      <w:proofErr w:type="spellEnd"/>
      <w:r>
        <w:rPr>
          <w:rFonts w:ascii="Times New Roman" w:eastAsia="Times New Roman" w:hAnsi="Times New Roman" w:cs="Times New Roman"/>
          <w:sz w:val="22"/>
          <w:szCs w:val="22"/>
        </w:rPr>
        <w:t xml:space="preserve"> orientation</w:t>
      </w:r>
      <w:r>
        <w:rPr>
          <w:rFonts w:ascii="Times New Roman" w:eastAsia="Times New Roman" w:hAnsi="Times New Roman" w:cs="Times New Roman"/>
          <w:sz w:val="22"/>
          <w:szCs w:val="22"/>
        </w:rPr>
        <w:t xml:space="preserve">s in SMA (A), IPS (B) and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(C) for the short and long contexts together. The </w:t>
      </w:r>
      <w:proofErr w:type="spellStart"/>
      <w:r>
        <w:rPr>
          <w:rFonts w:ascii="Times New Roman" w:eastAsia="Times New Roman" w:hAnsi="Times New Roman" w:cs="Times New Roman"/>
          <w:sz w:val="22"/>
          <w:szCs w:val="22"/>
        </w:rPr>
        <w:t>chronomap</w:t>
      </w:r>
      <w:proofErr w:type="spellEnd"/>
      <w:r>
        <w:rPr>
          <w:rFonts w:ascii="Times New Roman" w:eastAsia="Times New Roman" w:hAnsi="Times New Roman" w:cs="Times New Roman"/>
          <w:sz w:val="22"/>
          <w:szCs w:val="22"/>
        </w:rPr>
        <w:t xml:space="preserve"> orientations of the left hemisphere are in blue and of the right hemisphere are in orange.  In the y axis are the number of maps of a given orientation; on the x</w:t>
      </w:r>
      <w:r>
        <w:rPr>
          <w:rFonts w:ascii="Times New Roman" w:eastAsia="Times New Roman" w:hAnsi="Times New Roman" w:cs="Times New Roman"/>
          <w:sz w:val="22"/>
          <w:szCs w:val="22"/>
        </w:rPr>
        <w:t xml:space="preserve"> axis are the different orientations. In SMA (A) the orientation “0” corresponds to the anterior-posterior orientation. In IPS (B) “0” is the orientation orthogonal to the post-central gyrus. In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(C) “0” is the orientation orthogonal to </w:t>
      </w:r>
      <w:proofErr w:type="spellStart"/>
      <w:r>
        <w:rPr>
          <w:rFonts w:ascii="Times New Roman" w:eastAsia="Times New Roman" w:hAnsi="Times New Roman" w:cs="Times New Roman"/>
          <w:sz w:val="22"/>
          <w:szCs w:val="22"/>
        </w:rPr>
        <w:t>Heschl's</w:t>
      </w:r>
      <w:proofErr w:type="spellEnd"/>
      <w:r>
        <w:rPr>
          <w:rFonts w:ascii="Times New Roman" w:eastAsia="Times New Roman" w:hAnsi="Times New Roman" w:cs="Times New Roman"/>
          <w:sz w:val="22"/>
          <w:szCs w:val="22"/>
        </w:rPr>
        <w:t xml:space="preserve"> gy</w:t>
      </w:r>
      <w:r>
        <w:rPr>
          <w:rFonts w:ascii="Times New Roman" w:eastAsia="Times New Roman" w:hAnsi="Times New Roman" w:cs="Times New Roman"/>
          <w:sz w:val="22"/>
          <w:szCs w:val="22"/>
        </w:rPr>
        <w:t>rus.</w:t>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4B379E" w:rsidRDefault="0033772F">
      <w:pPr>
        <w:jc w:val="both"/>
        <w:rPr>
          <w:rFonts w:ascii="Times New Roman" w:eastAsia="Times New Roman" w:hAnsi="Times New Roman" w:cs="Times New Roman"/>
          <w:sz w:val="22"/>
          <w:szCs w:val="22"/>
        </w:rPr>
      </w:pPr>
      <w:r>
        <w:t xml:space="preserve">     </w:t>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114300" distB="114300" distL="114300" distR="114300">
            <wp:extent cx="5400000" cy="3876556"/>
            <wp:effectExtent l="0" t="0" r="0" b="0"/>
            <wp:docPr id="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5400000" cy="3876556"/>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S-Fig. 16 Decoding accuracy of the MVPA analysis</w:t>
      </w:r>
      <w:r>
        <w:rPr>
          <w:rFonts w:ascii="Times New Roman" w:eastAsia="Times New Roman" w:hAnsi="Times New Roman" w:cs="Times New Roman"/>
          <w:sz w:val="22"/>
          <w:szCs w:val="22"/>
        </w:rPr>
        <w:t xml:space="preserve">. The confusion matrices show the mean decoding accuracy of the two temporal contexts from SMA, IPS,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orbitofrontal cortex (FP) and occipital pole (OP) activity using an MVPA analysis </w:t>
      </w:r>
      <w:r>
        <w:rPr>
          <w:rFonts w:ascii="Times New Roman" w:eastAsia="Times New Roman" w:hAnsi="Times New Roman" w:cs="Times New Roman"/>
          <w:sz w:val="22"/>
          <w:szCs w:val="22"/>
        </w:rPr>
        <w:t>with a leave one-run-out approach.  For each subject and in each ROI, a support vector machine (SVM) classifier was trained to classify the pattern of activity associated with the two contexts (x-axis) from any two runs. The classifier was then tested usin</w:t>
      </w:r>
      <w:r>
        <w:rPr>
          <w:rFonts w:ascii="Times New Roman" w:eastAsia="Times New Roman" w:hAnsi="Times New Roman" w:cs="Times New Roman"/>
          <w:sz w:val="22"/>
          <w:szCs w:val="22"/>
        </w:rPr>
        <w:t xml:space="preserve">g the activity pattern from the left out run (y-axis). The overall classification accuracy was then computed by averaging the resulting test accuracies from all iterations. A classification accuracy at chance was 0.5 (1/2). </w:t>
      </w:r>
      <w:r>
        <w:rPr>
          <w:rFonts w:ascii="Times New Roman" w:eastAsia="Times New Roman" w:hAnsi="Times New Roman" w:cs="Times New Roman"/>
          <w:b/>
          <w:sz w:val="22"/>
          <w:szCs w:val="22"/>
        </w:rPr>
        <w:t xml:space="preserve">     </w:t>
      </w:r>
      <w:r>
        <w:t xml:space="preserve">     </w:t>
      </w:r>
    </w:p>
    <w:p w:rsidR="004B379E" w:rsidRDefault="004B379E">
      <w:pPr>
        <w:jc w:val="both"/>
        <w:rPr>
          <w:rFonts w:ascii="Times New Roman" w:eastAsia="Times New Roman" w:hAnsi="Times New Roman" w:cs="Times New Roman"/>
          <w:sz w:val="22"/>
          <w:szCs w:val="22"/>
        </w:rPr>
      </w:pPr>
      <w:bookmarkStart w:id="2" w:name="_heading=h.l7in2224x09w" w:colFirst="0" w:colLast="0"/>
      <w:bookmarkEnd w:id="2"/>
    </w:p>
    <w:p w:rsidR="004B379E" w:rsidRDefault="004B379E">
      <w:pPr>
        <w:jc w:val="both"/>
        <w:rPr>
          <w:rFonts w:ascii="Times New Roman" w:eastAsia="Times New Roman" w:hAnsi="Times New Roman" w:cs="Times New Roman"/>
          <w:sz w:val="22"/>
          <w:szCs w:val="22"/>
        </w:rPr>
      </w:pPr>
      <w:bookmarkStart w:id="3" w:name="_heading=h.1hdeugmhnlvl" w:colFirst="0" w:colLast="0"/>
      <w:bookmarkEnd w:id="3"/>
    </w:p>
    <w:p w:rsidR="004B379E" w:rsidRDefault="0033772F">
      <w:pPr>
        <w:jc w:val="both"/>
        <w:rPr>
          <w:rFonts w:ascii="Times New Roman" w:eastAsia="Times New Roman" w:hAnsi="Times New Roman" w:cs="Times New Roman"/>
          <w:sz w:val="22"/>
          <w:szCs w:val="22"/>
        </w:rPr>
      </w:pPr>
      <w:bookmarkStart w:id="4" w:name="_heading=h.xsueuyd97b8x" w:colFirst="0" w:colLast="0"/>
      <w:bookmarkEnd w:id="4"/>
      <w:r>
        <w:rPr>
          <w:rFonts w:ascii="Times New Roman" w:eastAsia="Times New Roman" w:hAnsi="Times New Roman" w:cs="Times New Roman"/>
          <w:noProof/>
          <w:sz w:val="22"/>
          <w:szCs w:val="22"/>
        </w:rPr>
        <w:lastRenderedPageBreak/>
        <w:drawing>
          <wp:inline distT="114300" distB="114300" distL="114300" distR="114300">
            <wp:extent cx="5400000" cy="8614631"/>
            <wp:effectExtent l="0" t="0" r="0" b="0"/>
            <wp:docPr id="4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5400000" cy="8614631"/>
                    </a:xfrm>
                    <a:prstGeom prst="rect">
                      <a:avLst/>
                    </a:prstGeom>
                    <a:ln/>
                  </pic:spPr>
                </pic:pic>
              </a:graphicData>
            </a:graphic>
          </wp:inline>
        </w:drawing>
      </w:r>
    </w:p>
    <w:p w:rsidR="004B379E" w:rsidRDefault="0033772F">
      <w:pPr>
        <w:jc w:val="both"/>
        <w:rPr>
          <w:rFonts w:ascii="Times New Roman" w:eastAsia="Times New Roman" w:hAnsi="Times New Roman" w:cs="Times New Roman"/>
          <w:sz w:val="22"/>
          <w:szCs w:val="22"/>
        </w:rPr>
      </w:pPr>
      <w:bookmarkStart w:id="5" w:name="_heading=h.gjdgxs" w:colFirst="0" w:colLast="0"/>
      <w:bookmarkEnd w:id="5"/>
      <w:r>
        <w:rPr>
          <w:rFonts w:ascii="Times New Roman" w:eastAsia="Times New Roman" w:hAnsi="Times New Roman" w:cs="Times New Roman"/>
          <w:b/>
          <w:sz w:val="22"/>
          <w:szCs w:val="22"/>
        </w:rPr>
        <w:t xml:space="preserve">S-Fig. </w:t>
      </w:r>
      <w:r w:rsidR="0008466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17</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Decoding the different durations from the activity of duration selective clusters</w:t>
      </w:r>
      <w:r>
        <w:rPr>
          <w:rFonts w:ascii="Times New Roman" w:eastAsia="Times New Roman" w:hAnsi="Times New Roman" w:cs="Times New Roman"/>
          <w:sz w:val="22"/>
          <w:szCs w:val="22"/>
        </w:rPr>
        <w:t>. (</w:t>
      </w:r>
      <w:proofErr w:type="gramStart"/>
      <w:r>
        <w:rPr>
          <w:rFonts w:ascii="Times New Roman" w:eastAsia="Times New Roman" w:hAnsi="Times New Roman" w:cs="Times New Roman"/>
          <w:sz w:val="22"/>
          <w:szCs w:val="22"/>
        </w:rPr>
        <w:t>A,B</w:t>
      </w:r>
      <w:proofErr w:type="gramEnd"/>
      <w:r>
        <w:rPr>
          <w:rFonts w:ascii="Times New Roman" w:eastAsia="Times New Roman" w:hAnsi="Times New Roman" w:cs="Times New Roman"/>
          <w:sz w:val="22"/>
          <w:szCs w:val="22"/>
        </w:rPr>
        <w:t xml:space="preserve">,C) show the results of the MVPA analysis ran on duration selective clusters of voxels in SMA(A), IPS (B) and </w:t>
      </w:r>
      <w:proofErr w:type="spellStart"/>
      <w:r>
        <w:rPr>
          <w:rFonts w:ascii="Times New Roman" w:eastAsia="Times New Roman" w:hAnsi="Times New Roman" w:cs="Times New Roman"/>
          <w:sz w:val="22"/>
          <w:szCs w:val="22"/>
        </w:rPr>
        <w:t>parabelt</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lastRenderedPageBreak/>
        <w:t>areas (C). From the activity of each duration sele</w:t>
      </w:r>
      <w:r>
        <w:rPr>
          <w:rFonts w:ascii="Times New Roman" w:eastAsia="Times New Roman" w:hAnsi="Times New Roman" w:cs="Times New Roman"/>
          <w:sz w:val="22"/>
          <w:szCs w:val="22"/>
        </w:rPr>
        <w:t>ctive cluster of voxels (different subplot), as defined by the winner -take-all procedure based on t-maps, we tried to decode the different durations in the two contexts. For each subject and in each cluster of voxels, a support vector machine (SVM) classi</w:t>
      </w:r>
      <w:r>
        <w:rPr>
          <w:rFonts w:ascii="Times New Roman" w:eastAsia="Times New Roman" w:hAnsi="Times New Roman" w:cs="Times New Roman"/>
          <w:sz w:val="22"/>
          <w:szCs w:val="22"/>
        </w:rPr>
        <w:t>fier was trained to classify the pattern of activity associated with the six durations in two runs (x-axis). On the y-axis is the number of voxels classified over the total number of voxels in a cluster (i.e., cluster size). The different circles are the d</w:t>
      </w:r>
      <w:r>
        <w:rPr>
          <w:rFonts w:ascii="Times New Roman" w:eastAsia="Times New Roman" w:hAnsi="Times New Roman" w:cs="Times New Roman"/>
          <w:sz w:val="22"/>
          <w:szCs w:val="22"/>
        </w:rPr>
        <w:t xml:space="preserve">ifferent subjects, the line is the average voxel count for short (continuous line) and long (dashed line) context. In each cluster, the number of accurately classified voxels is greater for the preferred duration of that cluster. </w:t>
      </w:r>
    </w:p>
    <w:sectPr w:rsidR="004B379E">
      <w:footerReference w:type="default" r:id="rId24"/>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72F" w:rsidRDefault="0033772F">
      <w:r>
        <w:separator/>
      </w:r>
    </w:p>
  </w:endnote>
  <w:endnote w:type="continuationSeparator" w:id="0">
    <w:p w:rsidR="0033772F" w:rsidRDefault="0033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79E" w:rsidRDefault="0033772F">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Pr>
        <w:rFonts w:ascii="Times New Roman" w:eastAsia="Times New Roman" w:hAnsi="Times New Roman" w:cs="Times New Roman"/>
        <w:sz w:val="22"/>
        <w:szCs w:val="22"/>
      </w:rPr>
      <w:instrText>PAGE</w:instrText>
    </w:r>
    <w:r w:rsidR="0011185C">
      <w:rPr>
        <w:rFonts w:ascii="Times New Roman" w:eastAsia="Times New Roman" w:hAnsi="Times New Roman" w:cs="Times New Roman"/>
        <w:sz w:val="22"/>
        <w:szCs w:val="22"/>
      </w:rPr>
      <w:fldChar w:fldCharType="separate"/>
    </w:r>
    <w:r w:rsidR="0011185C">
      <w:rPr>
        <w:rFonts w:ascii="Times New Roman" w:eastAsia="Times New Roman" w:hAnsi="Times New Roman" w:cs="Times New Roman"/>
        <w:noProof/>
        <w:sz w:val="22"/>
        <w:szCs w:val="22"/>
      </w:rPr>
      <w:t>1</w:t>
    </w:r>
    <w:r>
      <w:rPr>
        <w:rFonts w:ascii="Times New Roman" w:eastAsia="Times New Roman" w:hAnsi="Times New Roman" w:cs="Times New Roman"/>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72F" w:rsidRDefault="0033772F">
      <w:r>
        <w:separator/>
      </w:r>
    </w:p>
  </w:footnote>
  <w:footnote w:type="continuationSeparator" w:id="0">
    <w:p w:rsidR="0033772F" w:rsidRDefault="00337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79E"/>
    <w:rsid w:val="00084660"/>
    <w:rsid w:val="0011185C"/>
    <w:rsid w:val="0033772F"/>
    <w:rsid w:val="004B379E"/>
    <w:rsid w:val="00D00FD1"/>
    <w:rsid w:val="00EF34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AFB052B"/>
  <w15:docId w15:val="{4C9CA33D-6332-A440-BA43-6E3710DE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82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2C89"/>
    <w:rPr>
      <w:rFonts w:ascii="Times New Roman" w:hAnsi="Times New Roman" w:cs="Times New Roman"/>
      <w:sz w:val="18"/>
      <w:szCs w:val="18"/>
    </w:rPr>
  </w:style>
  <w:style w:type="paragraph" w:styleId="Header">
    <w:name w:val="header"/>
    <w:basedOn w:val="Normal"/>
    <w:link w:val="HeaderChar"/>
    <w:uiPriority w:val="99"/>
    <w:unhideWhenUsed/>
    <w:rsid w:val="00956FB9"/>
    <w:pPr>
      <w:tabs>
        <w:tab w:val="center" w:pos="4819"/>
        <w:tab w:val="right" w:pos="9638"/>
      </w:tabs>
    </w:pPr>
  </w:style>
  <w:style w:type="character" w:customStyle="1" w:styleId="HeaderChar">
    <w:name w:val="Header Char"/>
    <w:basedOn w:val="DefaultParagraphFont"/>
    <w:link w:val="Header"/>
    <w:uiPriority w:val="99"/>
    <w:rsid w:val="00956FB9"/>
  </w:style>
  <w:style w:type="paragraph" w:styleId="Footer">
    <w:name w:val="footer"/>
    <w:basedOn w:val="Normal"/>
    <w:link w:val="FooterChar"/>
    <w:uiPriority w:val="99"/>
    <w:unhideWhenUsed/>
    <w:rsid w:val="00956FB9"/>
    <w:pPr>
      <w:tabs>
        <w:tab w:val="center" w:pos="4819"/>
        <w:tab w:val="right" w:pos="9638"/>
      </w:tabs>
    </w:pPr>
  </w:style>
  <w:style w:type="character" w:customStyle="1" w:styleId="FooterChar">
    <w:name w:val="Footer Char"/>
    <w:basedOn w:val="DefaultParagraphFont"/>
    <w:link w:val="Footer"/>
    <w:uiPriority w:val="99"/>
    <w:rsid w:val="00956FB9"/>
  </w:style>
  <w:style w:type="character" w:styleId="CommentReference">
    <w:name w:val="annotation reference"/>
    <w:basedOn w:val="DefaultParagraphFont"/>
    <w:uiPriority w:val="99"/>
    <w:semiHidden/>
    <w:unhideWhenUsed/>
    <w:rsid w:val="003C7EA8"/>
    <w:rPr>
      <w:sz w:val="16"/>
      <w:szCs w:val="16"/>
    </w:rPr>
  </w:style>
  <w:style w:type="paragraph" w:styleId="CommentText">
    <w:name w:val="annotation text"/>
    <w:basedOn w:val="Normal"/>
    <w:link w:val="CommentTextChar"/>
    <w:uiPriority w:val="99"/>
    <w:semiHidden/>
    <w:unhideWhenUsed/>
    <w:rsid w:val="003C7EA8"/>
    <w:rPr>
      <w:sz w:val="20"/>
      <w:szCs w:val="20"/>
    </w:rPr>
  </w:style>
  <w:style w:type="character" w:customStyle="1" w:styleId="CommentTextChar">
    <w:name w:val="Comment Text Char"/>
    <w:basedOn w:val="DefaultParagraphFont"/>
    <w:link w:val="CommentText"/>
    <w:uiPriority w:val="99"/>
    <w:semiHidden/>
    <w:rsid w:val="003C7EA8"/>
    <w:rPr>
      <w:sz w:val="20"/>
      <w:szCs w:val="20"/>
    </w:rPr>
  </w:style>
  <w:style w:type="paragraph" w:styleId="CommentSubject">
    <w:name w:val="annotation subject"/>
    <w:basedOn w:val="CommentText"/>
    <w:next w:val="CommentText"/>
    <w:link w:val="CommentSubjectChar"/>
    <w:uiPriority w:val="99"/>
    <w:semiHidden/>
    <w:unhideWhenUsed/>
    <w:rsid w:val="003C7EA8"/>
    <w:rPr>
      <w:b/>
      <w:bCs/>
    </w:rPr>
  </w:style>
  <w:style w:type="character" w:customStyle="1" w:styleId="CommentSubjectChar">
    <w:name w:val="Comment Subject Char"/>
    <w:basedOn w:val="CommentTextChar"/>
    <w:link w:val="CommentSubject"/>
    <w:uiPriority w:val="99"/>
    <w:semiHidden/>
    <w:rsid w:val="003C7E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w6eerU4d/Ir9Lw6II1AO5z8EtQ==">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dcterms:created xsi:type="dcterms:W3CDTF">2021-07-26T10:14:00Z</dcterms:created>
  <dcterms:modified xsi:type="dcterms:W3CDTF">2021-07-26T10:37:00Z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http://www.zotero.org/styles/plos-biology</vt:lpwstr>
  </property>
  <property fmtid="{D5CDD505-2E9C-101B-9397-08002B2CF9AE}" pid="19" name="Mendeley Recent Style Name 8_1">
    <vt:lpwstr>PLOS Biology</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ies>
</file>