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0586" w:rsidRDefault="00250586" w:rsidP="00250586">
      <w:pPr>
        <w:rPr>
          <w:rFonts w:ascii="Times New Roman" w:hAnsi="Times New Roman"/>
          <w:sz w:val="24"/>
          <w:szCs w:val="24"/>
          <w:shd w:val="clear" w:color="auto" w:fill="FFFFFF"/>
        </w:rPr>
      </w:pPr>
      <w:r>
        <w:rPr>
          <w:rFonts w:ascii="Times New Roman" w:hAnsi="Times New Roman"/>
          <w:sz w:val="24"/>
          <w:szCs w:val="24"/>
          <w:shd w:val="clear" w:color="auto" w:fill="FFFFFF"/>
        </w:rPr>
        <w:t>This document includes Supplementa</w:t>
      </w:r>
      <w:r>
        <w:rPr>
          <w:rFonts w:ascii="Times New Roman" w:hAnsi="Times New Roman" w:hint="eastAsia"/>
          <w:sz w:val="24"/>
          <w:szCs w:val="24"/>
          <w:shd w:val="clear" w:color="auto" w:fill="FFFFFF"/>
        </w:rPr>
        <w:t xml:space="preserve">ry Figure S1, </w:t>
      </w:r>
      <w:r>
        <w:rPr>
          <w:rFonts w:ascii="Times New Roman" w:hAnsi="Times New Roman"/>
          <w:sz w:val="24"/>
          <w:szCs w:val="24"/>
          <w:shd w:val="clear" w:color="auto" w:fill="FFFFFF"/>
        </w:rPr>
        <w:t>Supplementa</w:t>
      </w:r>
      <w:r>
        <w:rPr>
          <w:rFonts w:ascii="Times New Roman" w:hAnsi="Times New Roman" w:hint="eastAsia"/>
          <w:sz w:val="24"/>
          <w:szCs w:val="24"/>
          <w:shd w:val="clear" w:color="auto" w:fill="FFFFFF"/>
        </w:rPr>
        <w:t xml:space="preserve">ry Figure Legend and </w:t>
      </w:r>
      <w:r>
        <w:rPr>
          <w:rFonts w:ascii="Times New Roman" w:hAnsi="Times New Roman"/>
          <w:sz w:val="24"/>
          <w:szCs w:val="24"/>
          <w:shd w:val="clear" w:color="auto" w:fill="FFFFFF"/>
        </w:rPr>
        <w:t>Supplementa</w:t>
      </w:r>
      <w:r>
        <w:rPr>
          <w:rFonts w:ascii="Times New Roman" w:hAnsi="Times New Roman" w:hint="eastAsia"/>
          <w:sz w:val="24"/>
          <w:szCs w:val="24"/>
          <w:shd w:val="clear" w:color="auto" w:fill="FFFFFF"/>
        </w:rPr>
        <w:t xml:space="preserve">ry Table S1 </w:t>
      </w:r>
    </w:p>
    <w:p w:rsidR="00250586" w:rsidRDefault="00250586" w:rsidP="00250586">
      <w:pPr>
        <w:rPr>
          <w:rFonts w:ascii="sans-serif" w:eastAsia="sans-serif" w:hAnsi="sans-serif" w:cs="sans-serif" w:hint="eastAsia"/>
          <w:sz w:val="20"/>
          <w:szCs w:val="20"/>
        </w:rPr>
      </w:pPr>
    </w:p>
    <w:p w:rsidR="00250586" w:rsidRDefault="00250586" w:rsidP="00250586">
      <w:pPr>
        <w:widowControl/>
        <w:jc w:val="left"/>
      </w:pPr>
      <w:r>
        <w:br w:type="page"/>
      </w:r>
    </w:p>
    <w:tbl>
      <w:tblPr>
        <w:tblpPr w:leftFromText="180" w:rightFromText="180" w:vertAnchor="text" w:horzAnchor="page" w:tblpX="1782" w:tblpY="304"/>
        <w:tblOverlap w:val="never"/>
        <w:tblW w:w="0" w:type="auto"/>
        <w:tblLook w:val="0000" w:firstRow="0" w:lastRow="0" w:firstColumn="0" w:lastColumn="0" w:noHBand="0" w:noVBand="0"/>
      </w:tblPr>
      <w:tblGrid>
        <w:gridCol w:w="8522"/>
      </w:tblGrid>
      <w:tr w:rsidR="00250586" w:rsidTr="00CB2E2C">
        <w:tc>
          <w:tcPr>
            <w:tcW w:w="8522" w:type="dxa"/>
          </w:tcPr>
          <w:p w:rsidR="00250586" w:rsidRDefault="00250586" w:rsidP="00CB2E2C">
            <w:pPr>
              <w:rPr>
                <w:rFonts w:ascii="Times New Roman" w:eastAsia="SimSun" w:hAnsi="Times New Roman"/>
                <w:kern w:val="0"/>
                <w:sz w:val="24"/>
                <w:szCs w:val="24"/>
              </w:rPr>
            </w:pPr>
            <w:r>
              <w:rPr>
                <w:rFonts w:ascii="Times New Roman" w:eastAsia="SimSun" w:hAnsi="Times New Roman"/>
                <w:noProof/>
                <w:kern w:val="0"/>
                <w:sz w:val="24"/>
                <w:szCs w:val="24"/>
                <w:lang w:eastAsia="en-US"/>
              </w:rPr>
              <w:lastRenderedPageBreak/>
              <w:drawing>
                <wp:inline distT="0" distB="0" distL="0" distR="0">
                  <wp:extent cx="5266690" cy="2879725"/>
                  <wp:effectExtent l="0" t="0" r="0" b="0"/>
                  <wp:docPr id="1" name="Picture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Figure S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66690" cy="2879725"/>
                          </a:xfrm>
                          <a:prstGeom prst="rect">
                            <a:avLst/>
                          </a:prstGeom>
                          <a:noFill/>
                          <a:ln>
                            <a:noFill/>
                          </a:ln>
                        </pic:spPr>
                      </pic:pic>
                    </a:graphicData>
                  </a:graphic>
                </wp:inline>
              </w:drawing>
            </w:r>
          </w:p>
        </w:tc>
      </w:tr>
    </w:tbl>
    <w:p w:rsidR="00250586" w:rsidRDefault="00250586" w:rsidP="00250586">
      <w:pPr>
        <w:widowControl/>
        <w:jc w:val="left"/>
        <w:rPr>
          <w:rFonts w:ascii="Times New Roman" w:hAnsi="Times New Roman"/>
          <w:b/>
          <w:sz w:val="24"/>
          <w:szCs w:val="24"/>
        </w:rPr>
      </w:pPr>
      <w:r>
        <w:rPr>
          <w:rFonts w:ascii="Times New Roman" w:eastAsia="SimSun" w:hAnsi="Times New Roman"/>
          <w:b/>
          <w:bCs/>
          <w:kern w:val="0"/>
          <w:sz w:val="24"/>
          <w:szCs w:val="24"/>
        </w:rPr>
        <w:t xml:space="preserve">Supplementary Figure S1. Overview of the N-glycoproteomic profiling in SARS-CoV-2 cellular model and CEP drug intervention. </w:t>
      </w:r>
      <w:r>
        <w:rPr>
          <w:rFonts w:ascii="Times New Roman" w:eastAsia="SimSun" w:hAnsi="Times New Roman"/>
          <w:kern w:val="0"/>
          <w:sz w:val="24"/>
          <w:szCs w:val="24"/>
        </w:rPr>
        <w:t>A. Workflow of N-glycoproteomics analysis process. Vero E6 were treated with (/or without) GX_P2V at presence or absence of CEP. Proteins were extracted from cell cultures and digested using trypsin. LC-MS/MS was carried out to analyze the enriched glycopeptides and global proteins which were used for N-glycoproteion normalization. Bioinformatics analysis was performed by using the software listed. B. Basic statistics of mass spectrometry data. C. The motif analysis of protein glycosylation modifications sites reveals the characteristic sequences around glycosylation modifications sites.</w:t>
      </w:r>
      <w:r>
        <w:rPr>
          <w:rFonts w:ascii="Times New Roman" w:hAnsi="Times New Roman"/>
          <w:b/>
          <w:bCs/>
          <w:sz w:val="24"/>
          <w:szCs w:val="24"/>
        </w:rPr>
        <w:br w:type="page"/>
      </w:r>
      <w:r>
        <w:rPr>
          <w:rFonts w:ascii="Times New Roman" w:hAnsi="Times New Roman" w:hint="eastAsia"/>
          <w:b/>
          <w:bCs/>
          <w:sz w:val="24"/>
          <w:szCs w:val="24"/>
        </w:rPr>
        <w:lastRenderedPageBreak/>
        <w:t>Supplementary</w:t>
      </w:r>
      <w:r>
        <w:rPr>
          <w:rFonts w:ascii="Times New Roman" w:hAnsi="Times New Roman" w:hint="eastAsia"/>
          <w:sz w:val="24"/>
          <w:szCs w:val="24"/>
        </w:rPr>
        <w:t xml:space="preserve"> </w:t>
      </w:r>
      <w:r>
        <w:rPr>
          <w:rFonts w:ascii="Times New Roman" w:hAnsi="Times New Roman" w:hint="eastAsia"/>
          <w:b/>
          <w:bCs/>
          <w:sz w:val="24"/>
          <w:szCs w:val="24"/>
        </w:rPr>
        <w:t>T</w:t>
      </w:r>
      <w:r>
        <w:rPr>
          <w:rFonts w:ascii="Times New Roman" w:hAnsi="Times New Roman" w:hint="eastAsia"/>
          <w:b/>
          <w:sz w:val="24"/>
          <w:szCs w:val="24"/>
        </w:rPr>
        <w:t>able</w:t>
      </w:r>
      <w:r>
        <w:rPr>
          <w:rFonts w:ascii="Times New Roman" w:hAnsi="Times New Roman"/>
          <w:b/>
          <w:sz w:val="24"/>
          <w:szCs w:val="24"/>
        </w:rPr>
        <w:t xml:space="preserve"> </w:t>
      </w:r>
      <w:r>
        <w:rPr>
          <w:rFonts w:ascii="Times New Roman" w:hAnsi="Times New Roman" w:hint="eastAsia"/>
          <w:b/>
          <w:sz w:val="24"/>
          <w:szCs w:val="24"/>
        </w:rPr>
        <w:t xml:space="preserve">S1 . </w:t>
      </w:r>
      <w:r>
        <w:rPr>
          <w:rFonts w:ascii="Times New Roman" w:hAnsi="Times New Roman"/>
          <w:b/>
          <w:sz w:val="24"/>
          <w:szCs w:val="24"/>
        </w:rPr>
        <w:t xml:space="preserve">Key glycoproteins affected by CEP treatment against GX_P2V infestation </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709"/>
        <w:gridCol w:w="1063"/>
        <w:gridCol w:w="922"/>
        <w:gridCol w:w="850"/>
        <w:gridCol w:w="709"/>
        <w:gridCol w:w="850"/>
        <w:gridCol w:w="3119"/>
      </w:tblGrid>
      <w:tr w:rsidR="00250586" w:rsidTr="00CB2E2C">
        <w:tc>
          <w:tcPr>
            <w:tcW w:w="993" w:type="dxa"/>
          </w:tcPr>
          <w:p w:rsidR="00250586" w:rsidRDefault="00250586" w:rsidP="00CB2E2C">
            <w:pPr>
              <w:jc w:val="center"/>
              <w:rPr>
                <w:rFonts w:ascii="Times New Roman" w:hAnsi="Times New Roman"/>
                <w:b/>
                <w:bCs/>
                <w:sz w:val="18"/>
                <w:szCs w:val="18"/>
              </w:rPr>
            </w:pPr>
            <w:r>
              <w:rPr>
                <w:rFonts w:ascii="Times New Roman" w:hAnsi="Times New Roman"/>
                <w:b/>
                <w:bCs/>
                <w:sz w:val="18"/>
                <w:szCs w:val="18"/>
              </w:rPr>
              <w:t>Protein name</w:t>
            </w:r>
          </w:p>
        </w:tc>
        <w:tc>
          <w:tcPr>
            <w:tcW w:w="709" w:type="dxa"/>
          </w:tcPr>
          <w:p w:rsidR="00250586" w:rsidRDefault="00250586" w:rsidP="00CB2E2C">
            <w:pPr>
              <w:jc w:val="center"/>
              <w:rPr>
                <w:rFonts w:ascii="Times New Roman" w:hAnsi="Times New Roman"/>
                <w:b/>
                <w:bCs/>
                <w:sz w:val="18"/>
                <w:szCs w:val="18"/>
              </w:rPr>
            </w:pPr>
            <w:r>
              <w:rPr>
                <w:rFonts w:ascii="Times New Roman" w:hAnsi="Times New Roman"/>
                <w:b/>
                <w:bCs/>
                <w:sz w:val="18"/>
                <w:szCs w:val="18"/>
              </w:rPr>
              <w:t>Sites</w:t>
            </w:r>
          </w:p>
        </w:tc>
        <w:tc>
          <w:tcPr>
            <w:tcW w:w="1063" w:type="dxa"/>
          </w:tcPr>
          <w:p w:rsidR="00250586" w:rsidRDefault="00250586" w:rsidP="00CB2E2C">
            <w:pPr>
              <w:jc w:val="center"/>
              <w:rPr>
                <w:rFonts w:ascii="Times New Roman" w:hAnsi="Times New Roman"/>
                <w:b/>
                <w:bCs/>
                <w:sz w:val="18"/>
                <w:szCs w:val="18"/>
              </w:rPr>
            </w:pPr>
            <w:r>
              <w:rPr>
                <w:rFonts w:ascii="Times New Roman" w:hAnsi="Times New Roman"/>
                <w:b/>
                <w:bCs/>
                <w:sz w:val="18"/>
                <w:szCs w:val="18"/>
              </w:rPr>
              <w:t>Regulation type</w:t>
            </w:r>
          </w:p>
        </w:tc>
        <w:tc>
          <w:tcPr>
            <w:tcW w:w="922" w:type="dxa"/>
          </w:tcPr>
          <w:p w:rsidR="00250586" w:rsidRDefault="00250586" w:rsidP="00CB2E2C">
            <w:pPr>
              <w:jc w:val="center"/>
              <w:rPr>
                <w:rFonts w:ascii="Times New Roman" w:hAnsi="Times New Roman"/>
                <w:b/>
                <w:bCs/>
                <w:sz w:val="18"/>
                <w:szCs w:val="18"/>
              </w:rPr>
            </w:pPr>
            <w:r>
              <w:rPr>
                <w:rFonts w:ascii="Times New Roman" w:hAnsi="Times New Roman" w:hint="eastAsia"/>
                <w:b/>
                <w:bCs/>
                <w:sz w:val="18"/>
                <w:szCs w:val="18"/>
              </w:rPr>
              <w:t>V</w:t>
            </w:r>
            <w:r>
              <w:rPr>
                <w:rFonts w:ascii="Times New Roman" w:hAnsi="Times New Roman"/>
                <w:b/>
                <w:bCs/>
                <w:sz w:val="18"/>
                <w:szCs w:val="18"/>
              </w:rPr>
              <w:t>_P/V ratio</w:t>
            </w:r>
          </w:p>
        </w:tc>
        <w:tc>
          <w:tcPr>
            <w:tcW w:w="850" w:type="dxa"/>
          </w:tcPr>
          <w:p w:rsidR="00250586" w:rsidRDefault="00250586" w:rsidP="00CB2E2C">
            <w:pPr>
              <w:jc w:val="center"/>
              <w:rPr>
                <w:rFonts w:ascii="Times New Roman" w:hAnsi="Times New Roman"/>
                <w:b/>
                <w:bCs/>
                <w:sz w:val="18"/>
                <w:szCs w:val="18"/>
              </w:rPr>
            </w:pPr>
            <w:r>
              <w:rPr>
                <w:rFonts w:ascii="Times New Roman" w:hAnsi="Times New Roman" w:hint="eastAsia"/>
                <w:b/>
                <w:bCs/>
                <w:sz w:val="18"/>
                <w:szCs w:val="18"/>
              </w:rPr>
              <w:t>V</w:t>
            </w:r>
            <w:r>
              <w:rPr>
                <w:rFonts w:ascii="Times New Roman" w:hAnsi="Times New Roman"/>
                <w:b/>
                <w:bCs/>
                <w:sz w:val="18"/>
                <w:szCs w:val="18"/>
              </w:rPr>
              <w:t>_P/V ratio</w:t>
            </w:r>
          </w:p>
        </w:tc>
        <w:tc>
          <w:tcPr>
            <w:tcW w:w="709" w:type="dxa"/>
          </w:tcPr>
          <w:p w:rsidR="00250586" w:rsidRDefault="00250586" w:rsidP="00CB2E2C">
            <w:pPr>
              <w:jc w:val="center"/>
              <w:rPr>
                <w:rFonts w:ascii="Times New Roman" w:hAnsi="Times New Roman"/>
                <w:b/>
                <w:bCs/>
                <w:sz w:val="18"/>
                <w:szCs w:val="18"/>
              </w:rPr>
            </w:pPr>
            <w:r>
              <w:rPr>
                <w:rFonts w:ascii="Times New Roman" w:hAnsi="Times New Roman"/>
                <w:b/>
                <w:bCs/>
                <w:sz w:val="18"/>
                <w:szCs w:val="18"/>
              </w:rPr>
              <w:t>Key nodes</w:t>
            </w:r>
          </w:p>
        </w:tc>
        <w:tc>
          <w:tcPr>
            <w:tcW w:w="850" w:type="dxa"/>
          </w:tcPr>
          <w:p w:rsidR="00250586" w:rsidRDefault="00250586" w:rsidP="00CB2E2C">
            <w:pPr>
              <w:jc w:val="center"/>
              <w:rPr>
                <w:rFonts w:ascii="Times New Roman" w:hAnsi="Times New Roman"/>
                <w:b/>
                <w:bCs/>
                <w:sz w:val="18"/>
                <w:szCs w:val="18"/>
              </w:rPr>
            </w:pPr>
            <w:r>
              <w:rPr>
                <w:rFonts w:ascii="Times New Roman" w:hAnsi="Times New Roman" w:hint="eastAsia"/>
                <w:b/>
                <w:bCs/>
                <w:sz w:val="18"/>
                <w:szCs w:val="18"/>
              </w:rPr>
              <w:t>l</w:t>
            </w:r>
            <w:r>
              <w:rPr>
                <w:rFonts w:ascii="Times New Roman" w:hAnsi="Times New Roman"/>
                <w:b/>
                <w:bCs/>
                <w:sz w:val="18"/>
                <w:szCs w:val="18"/>
              </w:rPr>
              <w:t>ocation</w:t>
            </w:r>
          </w:p>
        </w:tc>
        <w:tc>
          <w:tcPr>
            <w:tcW w:w="3119" w:type="dxa"/>
          </w:tcPr>
          <w:p w:rsidR="00250586" w:rsidRDefault="00250586" w:rsidP="00CB2E2C">
            <w:pPr>
              <w:jc w:val="center"/>
              <w:rPr>
                <w:rFonts w:ascii="Times New Roman" w:hAnsi="Times New Roman"/>
                <w:b/>
                <w:bCs/>
                <w:sz w:val="18"/>
                <w:szCs w:val="18"/>
              </w:rPr>
            </w:pPr>
            <w:r>
              <w:rPr>
                <w:rFonts w:ascii="Times New Roman" w:hAnsi="Times New Roman"/>
                <w:b/>
                <w:bCs/>
                <w:sz w:val="18"/>
                <w:szCs w:val="18"/>
              </w:rPr>
              <w:t>Function</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M</w:t>
            </w:r>
            <w:r>
              <w:rPr>
                <w:rFonts w:ascii="Times New Roman" w:hAnsi="Times New Roman"/>
                <w:sz w:val="18"/>
                <w:szCs w:val="18"/>
              </w:rPr>
              <w:t>RC2</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w:t>
            </w:r>
            <w:r>
              <w:rPr>
                <w:rFonts w:ascii="Times New Roman" w:hAnsi="Times New Roman" w:hint="eastAsia"/>
                <w:sz w:val="18"/>
                <w:szCs w:val="18"/>
              </w:rPr>
              <w:t>6</w:t>
            </w:r>
            <w:r>
              <w:rPr>
                <w:rFonts w:ascii="Times New Roman" w:hAnsi="Times New Roman"/>
                <w:sz w:val="18"/>
                <w:szCs w:val="18"/>
              </w:rPr>
              <w:t>9</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3</w:t>
            </w:r>
            <w:r>
              <w:rPr>
                <w:rFonts w:ascii="Times New Roman" w:hAnsi="Times New Roman"/>
                <w:sz w:val="18"/>
                <w:szCs w:val="18"/>
              </w:rPr>
              <w:t>.61</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.444</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sz w:val="18"/>
                <w:szCs w:val="18"/>
              </w:rPr>
              <w:t>CM</w:t>
            </w:r>
          </w:p>
        </w:tc>
        <w:tc>
          <w:tcPr>
            <w:tcW w:w="3119" w:type="dxa"/>
            <w:vMerge w:val="restart"/>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Urokinase type plasminogen activator receptor-associated Protein,</w:t>
            </w:r>
            <w:r>
              <w:rPr>
                <w:rStyle w:val="Emphasis"/>
                <w:rFonts w:ascii="Times New Roman" w:hAnsi="Times New Roman"/>
                <w:sz w:val="18"/>
                <w:szCs w:val="18"/>
              </w:rPr>
              <w:t xml:space="preserve"> </w:t>
            </w:r>
          </w:p>
        </w:tc>
      </w:tr>
      <w:tr w:rsidR="00250586" w:rsidTr="00CB2E2C">
        <w:tc>
          <w:tcPr>
            <w:tcW w:w="993" w:type="dxa"/>
          </w:tcPr>
          <w:p w:rsidR="00250586" w:rsidRDefault="00250586" w:rsidP="00CB2E2C">
            <w:pPr>
              <w:rPr>
                <w:rFonts w:ascii="Times New Roman" w:hAnsi="Times New Roman" w:hint="eastAsia"/>
                <w:sz w:val="18"/>
                <w:szCs w:val="18"/>
              </w:rPr>
            </w:pPr>
            <w:r>
              <w:rPr>
                <w:rFonts w:ascii="Times New Roman" w:hAnsi="Times New Roman"/>
                <w:sz w:val="18"/>
                <w:szCs w:val="18"/>
                <w:highlight w:val="yellow"/>
              </w:rPr>
              <w:t>MRC2</w:t>
            </w:r>
            <w:r>
              <w:rPr>
                <w:rFonts w:ascii="Times New Roman" w:hAnsi="Times New Roman" w:hint="eastAsia"/>
                <w:sz w:val="18"/>
                <w:szCs w:val="18"/>
                <w:highlight w:val="yellow"/>
              </w:rPr>
              <w:t>*</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1134</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.616</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.497</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C</w:t>
            </w:r>
            <w:r>
              <w:rPr>
                <w:rFonts w:ascii="Times New Roman" w:hAnsi="Times New Roman"/>
                <w:sz w:val="18"/>
                <w:szCs w:val="18"/>
              </w:rPr>
              <w:t>M</w:t>
            </w:r>
          </w:p>
        </w:tc>
        <w:tc>
          <w:tcPr>
            <w:tcW w:w="3119" w:type="dxa"/>
            <w:vMerge/>
          </w:tcPr>
          <w:p w:rsidR="00250586" w:rsidRDefault="00250586" w:rsidP="00CB2E2C">
            <w:pPr>
              <w:rPr>
                <w:rFonts w:ascii="Times New Roman" w:hAnsi="Times New Roman"/>
                <w:sz w:val="18"/>
                <w:szCs w:val="18"/>
              </w:rPr>
            </w:pP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A</w:t>
            </w:r>
            <w:r>
              <w:rPr>
                <w:rFonts w:ascii="Times New Roman" w:hAnsi="Times New Roman"/>
                <w:sz w:val="18"/>
                <w:szCs w:val="18"/>
              </w:rPr>
              <w:t>SPH</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64</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.156</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.202</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E</w:t>
            </w:r>
            <w:r>
              <w:rPr>
                <w:rFonts w:ascii="Times New Roman" w:hAnsi="Times New Roman"/>
                <w:sz w:val="18"/>
                <w:szCs w:val="18"/>
              </w:rPr>
              <w:t>R</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Aspartyl beta-hydroxylase, calcium homeostasis.</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T</w:t>
            </w:r>
            <w:r>
              <w:rPr>
                <w:rFonts w:ascii="Times New Roman" w:hAnsi="Times New Roman"/>
                <w:sz w:val="18"/>
                <w:szCs w:val="18"/>
              </w:rPr>
              <w:t>GFB2</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241</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.284</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.043</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E</w:t>
            </w:r>
            <w:r>
              <w:rPr>
                <w:rFonts w:ascii="Times New Roman" w:hAnsi="Times New Roman"/>
                <w:sz w:val="18"/>
                <w:szCs w:val="18"/>
              </w:rPr>
              <w:t>CM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Protein homodimerization activity and signaling receptor binding</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BA</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309</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,443</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.744</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L</w:t>
            </w:r>
            <w:r>
              <w:rPr>
                <w:rFonts w:ascii="Times New Roman" w:hAnsi="Times New Roman"/>
                <w:sz w:val="18"/>
                <w:szCs w:val="18"/>
              </w:rPr>
              <w:t>yso.</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Lysosomal membrane protein related to glycolipid metabolism</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NS</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N111</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down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.385</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.768</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L</w:t>
            </w:r>
            <w:r>
              <w:rPr>
                <w:rFonts w:ascii="Times New Roman" w:hAnsi="Times New Roman"/>
                <w:sz w:val="18"/>
                <w:szCs w:val="18"/>
              </w:rPr>
              <w:t>yso.</w:t>
            </w:r>
          </w:p>
        </w:tc>
        <w:tc>
          <w:tcPr>
            <w:tcW w:w="3119" w:type="dxa"/>
            <w:vMerge w:val="restart"/>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Glycosaminoglycan degradation</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NS</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117</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down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.384</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.713</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L</w:t>
            </w:r>
            <w:r>
              <w:rPr>
                <w:rFonts w:ascii="Times New Roman" w:hAnsi="Times New Roman"/>
                <w:sz w:val="18"/>
                <w:szCs w:val="18"/>
              </w:rPr>
              <w:t>yso.</w:t>
            </w:r>
          </w:p>
        </w:tc>
        <w:tc>
          <w:tcPr>
            <w:tcW w:w="3119" w:type="dxa"/>
            <w:vMerge/>
          </w:tcPr>
          <w:p w:rsidR="00250586" w:rsidRDefault="00250586" w:rsidP="00CB2E2C">
            <w:pPr>
              <w:rPr>
                <w:rFonts w:ascii="Times New Roman" w:hAnsi="Times New Roman"/>
                <w:sz w:val="18"/>
                <w:szCs w:val="18"/>
              </w:rPr>
            </w:pP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F</w:t>
            </w:r>
            <w:r>
              <w:rPr>
                <w:rFonts w:ascii="Times New Roman" w:hAnsi="Times New Roman"/>
                <w:sz w:val="18"/>
                <w:szCs w:val="18"/>
              </w:rPr>
              <w:t>N1</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430</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down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.131</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.731</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yes</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E</w:t>
            </w:r>
            <w:r>
              <w:rPr>
                <w:rFonts w:ascii="Times New Roman" w:hAnsi="Times New Roman"/>
                <w:sz w:val="18"/>
                <w:szCs w:val="18"/>
              </w:rPr>
              <w:t>CM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Bind to cell surfaces and various compounds (collagen, fibrin, Heparin and protease.), involved in cell adhesion, cell motility.</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A</w:t>
            </w:r>
            <w:r>
              <w:rPr>
                <w:rFonts w:ascii="Times New Roman" w:hAnsi="Times New Roman"/>
                <w:sz w:val="18"/>
                <w:szCs w:val="18"/>
              </w:rPr>
              <w:t>TP1B1</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158</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.43</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.714</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sz w:val="18"/>
                <w:szCs w:val="18"/>
              </w:rPr>
              <w:t>CM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cAMP signaling</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LAMB1</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N1343</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down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.492</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.706</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y</w:t>
            </w:r>
            <w:r>
              <w:rPr>
                <w:rFonts w:ascii="Times New Roman" w:hAnsi="Times New Roman"/>
                <w:sz w:val="18"/>
                <w:szCs w:val="18"/>
              </w:rPr>
              <w:t>es</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E</w:t>
            </w:r>
            <w:r>
              <w:rPr>
                <w:rFonts w:ascii="Times New Roman" w:hAnsi="Times New Roman"/>
                <w:sz w:val="18"/>
                <w:szCs w:val="18"/>
              </w:rPr>
              <w:t>CM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 xml:space="preserve">Enzyme binding and integrin binding, mediate the attachment, migration of cell to tissue. </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TK7</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567</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.068</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.673</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C</w:t>
            </w:r>
            <w:r>
              <w:rPr>
                <w:rFonts w:ascii="Times New Roman" w:hAnsi="Times New Roman"/>
                <w:sz w:val="18"/>
                <w:szCs w:val="18"/>
              </w:rPr>
              <w:t>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Wnt pathway-related tyrosine kinase</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sz w:val="18"/>
                <w:szCs w:val="18"/>
              </w:rPr>
              <w:t>LAMP1</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N83</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.468</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.099</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C</w:t>
            </w:r>
            <w:r>
              <w:rPr>
                <w:rFonts w:ascii="Times New Roman" w:hAnsi="Times New Roman"/>
                <w:sz w:val="18"/>
                <w:szCs w:val="18"/>
              </w:rPr>
              <w:t>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lysosome-associated membrane Protein 1</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CSTN</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530</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.367</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.851</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C</w:t>
            </w:r>
            <w:r>
              <w:rPr>
                <w:rFonts w:ascii="Times New Roman" w:hAnsi="Times New Roman"/>
                <w:sz w:val="18"/>
                <w:szCs w:val="18"/>
              </w:rPr>
              <w:t>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Essential subunit of gamma-secretase complex</w:t>
            </w:r>
          </w:p>
        </w:tc>
      </w:tr>
      <w:tr w:rsidR="00250586" w:rsidTr="00CB2E2C">
        <w:trPr>
          <w:trHeight w:val="440"/>
        </w:trPr>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M</w:t>
            </w:r>
            <w:r>
              <w:rPr>
                <w:rFonts w:ascii="Times New Roman" w:hAnsi="Times New Roman"/>
                <w:sz w:val="18"/>
                <w:szCs w:val="18"/>
              </w:rPr>
              <w:t>YORG</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240</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down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.477</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.683</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uc.</w:t>
            </w:r>
          </w:p>
        </w:tc>
        <w:tc>
          <w:tcPr>
            <w:tcW w:w="3119" w:type="dxa"/>
            <w:vMerge w:val="restart"/>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Myogenesis regulating glycosidase</w:t>
            </w:r>
          </w:p>
        </w:tc>
      </w:tr>
      <w:tr w:rsidR="00250586" w:rsidTr="00CB2E2C">
        <w:tc>
          <w:tcPr>
            <w:tcW w:w="993" w:type="dxa"/>
          </w:tcPr>
          <w:p w:rsidR="00250586" w:rsidRDefault="00250586" w:rsidP="00CB2E2C">
            <w:pPr>
              <w:rPr>
                <w:rFonts w:ascii="Times New Roman" w:hAnsi="Times New Roman"/>
                <w:sz w:val="18"/>
                <w:szCs w:val="18"/>
              </w:rPr>
            </w:pPr>
            <w:r>
              <w:rPr>
                <w:rFonts w:ascii="Times New Roman" w:hAnsi="Times New Roman" w:hint="eastAsia"/>
                <w:sz w:val="18"/>
                <w:szCs w:val="18"/>
              </w:rPr>
              <w:t>M</w:t>
            </w:r>
            <w:r>
              <w:rPr>
                <w:rFonts w:ascii="Times New Roman" w:hAnsi="Times New Roman"/>
                <w:sz w:val="18"/>
                <w:szCs w:val="18"/>
              </w:rPr>
              <w:t>YORG</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250</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own</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.477</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.683</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uc.</w:t>
            </w:r>
          </w:p>
        </w:tc>
        <w:tc>
          <w:tcPr>
            <w:tcW w:w="3119" w:type="dxa"/>
            <w:vMerge/>
          </w:tcPr>
          <w:p w:rsidR="00250586" w:rsidRDefault="00250586" w:rsidP="00CB2E2C">
            <w:pPr>
              <w:spacing w:line="240" w:lineRule="exact"/>
              <w:rPr>
                <w:rFonts w:ascii="Times New Roman" w:hAnsi="Times New Roman"/>
                <w:sz w:val="18"/>
                <w:szCs w:val="18"/>
              </w:rPr>
            </w:pPr>
          </w:p>
        </w:tc>
      </w:tr>
      <w:tr w:rsidR="00250586" w:rsidTr="00CB2E2C">
        <w:tc>
          <w:tcPr>
            <w:tcW w:w="993" w:type="dxa"/>
          </w:tcPr>
          <w:p w:rsidR="00250586" w:rsidRDefault="00250586" w:rsidP="00CB2E2C">
            <w:pPr>
              <w:rPr>
                <w:rFonts w:ascii="Times New Roman" w:hAnsi="Times New Roman" w:hint="eastAsia"/>
                <w:sz w:val="18"/>
                <w:szCs w:val="18"/>
                <w:highlight w:val="yellow"/>
              </w:rPr>
            </w:pPr>
            <w:r>
              <w:rPr>
                <w:rFonts w:ascii="Times New Roman" w:hAnsi="Times New Roman"/>
                <w:sz w:val="18"/>
                <w:szCs w:val="18"/>
                <w:highlight w:val="yellow"/>
              </w:rPr>
              <w:t>PLAUR</w:t>
            </w:r>
            <w:r>
              <w:rPr>
                <w:rFonts w:ascii="Times New Roman" w:hAnsi="Times New Roman" w:hint="eastAsia"/>
                <w:sz w:val="18"/>
                <w:szCs w:val="18"/>
                <w:highlight w:val="yellow"/>
              </w:rPr>
              <w:t>*</w:t>
            </w:r>
          </w:p>
        </w:tc>
        <w:tc>
          <w:tcPr>
            <w:tcW w:w="709" w:type="dxa"/>
          </w:tcPr>
          <w:p w:rsidR="00250586" w:rsidRDefault="00250586" w:rsidP="00CB2E2C">
            <w:pPr>
              <w:rPr>
                <w:rFonts w:ascii="Times New Roman" w:hAnsi="Times New Roman"/>
                <w:sz w:val="18"/>
                <w:szCs w:val="18"/>
              </w:rPr>
            </w:pPr>
            <w:r>
              <w:rPr>
                <w:rFonts w:ascii="Times New Roman" w:hAnsi="Times New Roman"/>
                <w:sz w:val="18"/>
                <w:szCs w:val="18"/>
              </w:rPr>
              <w:t>N183</w:t>
            </w:r>
          </w:p>
        </w:tc>
        <w:tc>
          <w:tcPr>
            <w:tcW w:w="1063" w:type="dxa"/>
          </w:tcPr>
          <w:p w:rsidR="00250586" w:rsidRDefault="00250586" w:rsidP="00CB2E2C">
            <w:pPr>
              <w:rPr>
                <w:rFonts w:ascii="Times New Roman" w:hAnsi="Times New Roman"/>
                <w:sz w:val="18"/>
                <w:szCs w:val="18"/>
              </w:rPr>
            </w:pPr>
            <w:r>
              <w:rPr>
                <w:rFonts w:ascii="Times New Roman" w:hAnsi="Times New Roman"/>
                <w:sz w:val="18"/>
                <w:szCs w:val="18"/>
              </w:rPr>
              <w:t xml:space="preserve">down </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.297</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.448</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C</w:t>
            </w:r>
            <w:r>
              <w:rPr>
                <w:rFonts w:ascii="Times New Roman" w:hAnsi="Times New Roman"/>
                <w:sz w:val="18"/>
                <w:szCs w:val="18"/>
              </w:rPr>
              <w:t>M</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Plasminogen activator, urokinase receptor</w:t>
            </w:r>
          </w:p>
        </w:tc>
      </w:tr>
      <w:tr w:rsidR="00250586" w:rsidTr="00CB2E2C">
        <w:tc>
          <w:tcPr>
            <w:tcW w:w="993" w:type="dxa"/>
          </w:tcPr>
          <w:p w:rsidR="00250586" w:rsidRDefault="00250586" w:rsidP="00CB2E2C">
            <w:pPr>
              <w:rPr>
                <w:rFonts w:ascii="Times New Roman" w:hAnsi="Times New Roman" w:hint="eastAsia"/>
                <w:sz w:val="18"/>
                <w:szCs w:val="18"/>
                <w:highlight w:val="yellow"/>
              </w:rPr>
            </w:pPr>
            <w:r>
              <w:rPr>
                <w:rFonts w:ascii="Times New Roman" w:hAnsi="Times New Roman" w:hint="eastAsia"/>
                <w:sz w:val="18"/>
                <w:szCs w:val="18"/>
                <w:highlight w:val="yellow"/>
              </w:rPr>
              <w:t>G</w:t>
            </w:r>
            <w:r>
              <w:rPr>
                <w:rFonts w:ascii="Times New Roman" w:hAnsi="Times New Roman"/>
                <w:sz w:val="18"/>
                <w:szCs w:val="18"/>
                <w:highlight w:val="yellow"/>
              </w:rPr>
              <w:t>RN</w:t>
            </w:r>
            <w:r>
              <w:rPr>
                <w:rFonts w:ascii="Times New Roman" w:hAnsi="Times New Roman" w:hint="eastAsia"/>
                <w:sz w:val="18"/>
                <w:szCs w:val="18"/>
                <w:highlight w:val="yellow"/>
              </w:rPr>
              <w:t>*</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277</w:t>
            </w:r>
          </w:p>
        </w:tc>
        <w:tc>
          <w:tcPr>
            <w:tcW w:w="1063" w:type="dxa"/>
          </w:tcPr>
          <w:p w:rsidR="00250586" w:rsidRDefault="00250586" w:rsidP="00CB2E2C">
            <w:pPr>
              <w:rPr>
                <w:rFonts w:ascii="Times New Roman" w:hAnsi="Times New Roman"/>
                <w:sz w:val="18"/>
                <w:szCs w:val="18"/>
              </w:rPr>
            </w:pPr>
            <w:r>
              <w:rPr>
                <w:rFonts w:ascii="Times New Roman" w:hAnsi="Times New Roman" w:hint="eastAsia"/>
                <w:sz w:val="18"/>
                <w:szCs w:val="18"/>
              </w:rPr>
              <w:t>u</w:t>
            </w:r>
            <w:r>
              <w:rPr>
                <w:rFonts w:ascii="Times New Roman" w:hAnsi="Times New Roman"/>
                <w:sz w:val="18"/>
                <w:szCs w:val="18"/>
              </w:rPr>
              <w:t>p</w:t>
            </w:r>
          </w:p>
        </w:tc>
        <w:tc>
          <w:tcPr>
            <w:tcW w:w="922" w:type="dxa"/>
          </w:tcPr>
          <w:p w:rsidR="00250586" w:rsidRDefault="00250586" w:rsidP="00CB2E2C">
            <w:pPr>
              <w:rPr>
                <w:rFonts w:ascii="Times New Roman" w:hAnsi="Times New Roman"/>
                <w:sz w:val="18"/>
                <w:szCs w:val="18"/>
              </w:rPr>
            </w:pPr>
            <w:r>
              <w:rPr>
                <w:rFonts w:ascii="Times New Roman" w:hAnsi="Times New Roman" w:hint="eastAsia"/>
                <w:sz w:val="18"/>
                <w:szCs w:val="18"/>
              </w:rPr>
              <w:t>3</w:t>
            </w:r>
            <w:r>
              <w:rPr>
                <w:rFonts w:ascii="Times New Roman" w:hAnsi="Times New Roman"/>
                <w:sz w:val="18"/>
                <w:szCs w:val="18"/>
              </w:rPr>
              <w:t>.029</w:t>
            </w:r>
          </w:p>
        </w:tc>
        <w:tc>
          <w:tcPr>
            <w:tcW w:w="850" w:type="dxa"/>
          </w:tcPr>
          <w:p w:rsidR="00250586" w:rsidRDefault="00250586" w:rsidP="00CB2E2C">
            <w:pP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.545</w:t>
            </w:r>
          </w:p>
        </w:tc>
        <w:tc>
          <w:tcPr>
            <w:tcW w:w="709" w:type="dxa"/>
          </w:tcPr>
          <w:p w:rsidR="00250586" w:rsidRDefault="00250586" w:rsidP="00CB2E2C">
            <w:pPr>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w:t>
            </w:r>
          </w:p>
        </w:tc>
        <w:tc>
          <w:tcPr>
            <w:tcW w:w="850" w:type="dxa"/>
          </w:tcPr>
          <w:p w:rsidR="00250586" w:rsidRDefault="00250586" w:rsidP="00CB2E2C">
            <w:pPr>
              <w:rPr>
                <w:rFonts w:ascii="Times New Roman" w:hAnsi="Times New Roman"/>
                <w:sz w:val="18"/>
                <w:szCs w:val="18"/>
              </w:rPr>
            </w:pPr>
            <w:r>
              <w:rPr>
                <w:rFonts w:ascii="Times New Roman" w:hAnsi="Times New Roman"/>
                <w:sz w:val="18"/>
                <w:szCs w:val="18"/>
              </w:rPr>
              <w:t>Lyso.</w:t>
            </w:r>
          </w:p>
        </w:tc>
        <w:tc>
          <w:tcPr>
            <w:tcW w:w="3119" w:type="dxa"/>
          </w:tcPr>
          <w:p w:rsidR="00250586" w:rsidRDefault="00250586" w:rsidP="00CB2E2C">
            <w:pPr>
              <w:spacing w:line="240" w:lineRule="exact"/>
              <w:rPr>
                <w:rFonts w:ascii="Times New Roman" w:hAnsi="Times New Roman"/>
                <w:sz w:val="18"/>
                <w:szCs w:val="18"/>
              </w:rPr>
            </w:pPr>
            <w:r>
              <w:rPr>
                <w:rFonts w:ascii="Times New Roman" w:hAnsi="Times New Roman"/>
                <w:sz w:val="18"/>
                <w:szCs w:val="18"/>
              </w:rPr>
              <w:t>Regulates protein trafficking to lysosomes</w:t>
            </w:r>
          </w:p>
        </w:tc>
      </w:tr>
    </w:tbl>
    <w:p w:rsidR="00250586" w:rsidRDefault="00250586" w:rsidP="00250586">
      <w:pPr>
        <w:rPr>
          <w:rFonts w:ascii="Times New Roman" w:hAnsi="Times New Roman"/>
          <w:sz w:val="24"/>
          <w:szCs w:val="24"/>
        </w:rPr>
      </w:pPr>
      <w:r>
        <w:rPr>
          <w:rFonts w:ascii="Times New Roman" w:hAnsi="Times New Roman"/>
          <w:sz w:val="24"/>
          <w:szCs w:val="24"/>
        </w:rPr>
        <w:t xml:space="preserve">Note: CM, cell membrane; Lyso., Lysosome; Nuc., Nucleus; ECM, extracellular matrix; ER, endoplasmic reticulum. </w:t>
      </w:r>
    </w:p>
    <w:p w:rsidR="00250586" w:rsidRDefault="00250586" w:rsidP="00250586">
      <w:pPr>
        <w:rPr>
          <w:rFonts w:ascii="Times New Roman" w:hAnsi="Times New Roman"/>
          <w:sz w:val="24"/>
          <w:szCs w:val="24"/>
        </w:rPr>
      </w:pPr>
      <w:r>
        <w:rPr>
          <w:rFonts w:ascii="Times New Roman" w:hAnsi="Times New Roman" w:hint="eastAsia"/>
          <w:sz w:val="24"/>
          <w:szCs w:val="24"/>
          <w:highlight w:val="yellow"/>
        </w:rPr>
        <w:t xml:space="preserve">* indicate the over-corrected protein glycosylation in GX_P2V treated cells in presence of CEP. </w:t>
      </w:r>
      <w:r>
        <w:rPr>
          <w:rFonts w:ascii="Times New Roman" w:hAnsi="Times New Roman" w:hint="eastAsia"/>
          <w:sz w:val="24"/>
          <w:szCs w:val="24"/>
        </w:rPr>
        <w:fldChar w:fldCharType="begin"/>
      </w:r>
      <w:r>
        <w:rPr>
          <w:rFonts w:ascii="Times New Roman" w:hAnsi="Times New Roman" w:hint="eastAsia"/>
          <w:sz w:val="24"/>
          <w:szCs w:val="24"/>
        </w:rPr>
        <w:instrText xml:space="preserve"> ADDIN  EN.REFLIST </w:instrText>
      </w:r>
      <w:r>
        <w:rPr>
          <w:rFonts w:ascii="Times New Roman" w:hAnsi="Times New Roman" w:hint="eastAsia"/>
          <w:sz w:val="24"/>
          <w:szCs w:val="24"/>
        </w:rPr>
        <w:fldChar w:fldCharType="end"/>
      </w:r>
    </w:p>
    <w:p w:rsidR="00EF532D" w:rsidRDefault="00EF532D">
      <w:bookmarkStart w:id="0" w:name="_GoBack"/>
      <w:bookmarkEnd w:id="0"/>
    </w:p>
    <w:sectPr w:rsidR="00EF53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Arial Unicode MS"/>
    <w:charset w:val="86"/>
    <w:family w:val="auto"/>
    <w:pitch w:val="default"/>
    <w:sig w:usb0="00000000" w:usb1="38CF7CFA" w:usb2="00000016" w:usb3="00000000" w:csb0="0004000F" w:csb1="00000000"/>
  </w:font>
  <w:font w:name="sans-serif">
    <w:altName w:val="Segoe Print"/>
    <w:charset w:val="00"/>
    <w:family w:val="auto"/>
    <w:pitch w:val="default"/>
    <w:sig w:usb0="00000000" w:usb1="00000000" w:usb2="00000000"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586"/>
    <w:rsid w:val="00250586"/>
    <w:rsid w:val="00EF5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3CF57E-C4F9-4FE1-A0A0-0C57A8F89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0586"/>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2505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2020-09-24T12:32:00Z</dcterms:created>
  <dcterms:modified xsi:type="dcterms:W3CDTF">2020-09-24T12:33:00Z</dcterms:modified>
</cp:coreProperties>
</file>