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55A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 Regular" w:hAnsi="Times New Roman Regular" w:eastAsia="AdvTTa9c1b374" w:cs="Times New Roman Regular"/>
          <w:sz w:val="21"/>
          <w:szCs w:val="21"/>
          <w:lang w:val="en-US" w:eastAsia="zh-CN"/>
        </w:rPr>
      </w:pPr>
      <w:r>
        <w:rPr>
          <w:rFonts w:hint="eastAsia" w:ascii="Times New Roman Regular" w:hAnsi="Times New Roman Regular" w:eastAsia="AdvTTa9c1b374" w:cs="Times New Roman Regular"/>
          <w:sz w:val="21"/>
          <w:szCs w:val="21"/>
          <w:lang w:val="en-US" w:eastAsia="zh-CN"/>
        </w:rPr>
        <w:t>Table S1. Comparative Analysis of Clinical Characteristics Stratified by EAT Entropy Groups</w:t>
      </w:r>
    </w:p>
    <w:p w14:paraId="3C6A2D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 Regular" w:hAnsi="Times New Roman Regular" w:eastAsia="AdvTTa9c1b374" w:cs="Times New Roman Regular"/>
          <w:sz w:val="21"/>
          <w:szCs w:val="21"/>
          <w:lang w:val="en-US" w:eastAsia="zh-CN"/>
        </w:rPr>
      </w:pPr>
    </w:p>
    <w:tbl>
      <w:tblPr>
        <w:tblStyle w:val="4"/>
        <w:tblpPr w:leftFromText="180" w:rightFromText="180" w:vertAnchor="page" w:horzAnchor="page" w:tblpX="1789" w:tblpY="2491"/>
        <w:tblOverlap w:val="never"/>
        <w:tblW w:w="50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1866"/>
        <w:gridCol w:w="1947"/>
        <w:gridCol w:w="2107"/>
      </w:tblGrid>
      <w:tr w14:paraId="66176EFB">
        <w:tc>
          <w:tcPr>
            <w:tcW w:w="15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</w:tcBorders>
            <w:shd w:val="clear" w:color="auto" w:fill="FFFFFF"/>
          </w:tcPr>
          <w:p w14:paraId="4D0301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  <w:t>Characteristics</w:t>
            </w:r>
          </w:p>
        </w:tc>
        <w:tc>
          <w:tcPr>
            <w:tcW w:w="108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4D481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EAT entropy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＜6.73</w:t>
            </w:r>
          </w:p>
          <w:p w14:paraId="5EC96B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(n=120)</w:t>
            </w:r>
          </w:p>
        </w:tc>
        <w:tc>
          <w:tcPr>
            <w:tcW w:w="113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FACF8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EAT entropy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≥6.73</w:t>
            </w:r>
          </w:p>
          <w:p w14:paraId="4B202D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(n=121)</w:t>
            </w:r>
          </w:p>
        </w:tc>
        <w:tc>
          <w:tcPr>
            <w:tcW w:w="123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12230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P value</w:t>
            </w:r>
          </w:p>
        </w:tc>
      </w:tr>
      <w:tr w14:paraId="2A1E3D8C">
        <w:trPr>
          <w:trHeight w:val="90" w:hRule="atLeast"/>
        </w:trPr>
        <w:tc>
          <w:tcPr>
            <w:tcW w:w="154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1B4D2A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  <w:t>Age, y</w:t>
            </w:r>
          </w:p>
        </w:tc>
        <w:tc>
          <w:tcPr>
            <w:tcW w:w="108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479247A8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54±13</w:t>
            </w:r>
          </w:p>
        </w:tc>
        <w:tc>
          <w:tcPr>
            <w:tcW w:w="113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6E9BFDDE">
            <w:pPr>
              <w:spacing w:line="300" w:lineRule="auto"/>
              <w:jc w:val="center"/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57±14</w:t>
            </w:r>
          </w:p>
        </w:tc>
        <w:tc>
          <w:tcPr>
            <w:tcW w:w="123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7649261A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0.058</w:t>
            </w:r>
          </w:p>
        </w:tc>
      </w:tr>
      <w:tr w14:paraId="5C424B5B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EEB7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  <w:t>Male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CCCD9D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89(74.17)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B05D38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87(71.90)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EB995A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0.692</w:t>
            </w:r>
          </w:p>
        </w:tc>
      </w:tr>
      <w:tr w14:paraId="23263FF0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1D8C31">
            <w:pPr>
              <w:spacing w:line="300" w:lineRule="auto"/>
              <w:jc w:val="left"/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BMI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kg/m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CF492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24.65±3.53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3F1FEF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24.11±3.26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A79A0D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0.110</w:t>
            </w:r>
          </w:p>
        </w:tc>
      </w:tr>
      <w:tr w14:paraId="605B0E6A">
        <w:trPr>
          <w:trHeight w:val="90" w:hRule="atLeast"/>
        </w:trPr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E54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  <w:t>Hypertension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7038F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50.83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6B1D9F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54.55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895CB7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0.564</w:t>
            </w:r>
          </w:p>
        </w:tc>
      </w:tr>
      <w:tr w14:paraId="638B1424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FFD0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  <w:t>Hypercholesterolemia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67B4F3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79.17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3E086F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76.86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ACADF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0.665</w:t>
            </w:r>
          </w:p>
        </w:tc>
      </w:tr>
      <w:tr w14:paraId="292D72B6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9FF5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  <w:t>Diabetes mellitus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C3402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26.67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EDD1E9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24.79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FFF885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0.739</w:t>
            </w:r>
          </w:p>
        </w:tc>
      </w:tr>
      <w:tr w14:paraId="2DD36498">
        <w:trPr>
          <w:trHeight w:val="456" w:hRule="atLeast"/>
        </w:trPr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26B4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  <w:t>moking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ACEC35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48.33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828B0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47.11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BB8EEF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0.849</w:t>
            </w:r>
          </w:p>
        </w:tc>
      </w:tr>
      <w:tr w14:paraId="2D763138">
        <w:trPr>
          <w:trHeight w:val="90" w:hRule="atLeast"/>
        </w:trPr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9D60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NYHA class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3785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E001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703E3D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0.238</w:t>
            </w:r>
          </w:p>
        </w:tc>
      </w:tr>
      <w:tr w14:paraId="3572FEAA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B98703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ED7505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42.50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32FDDC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42.98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D6B10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65665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1E05F7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II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8F1BB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42.50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EF2DAD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48.76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54CBEC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B0681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B057E6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III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1432BE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15.00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2D6FC4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8.26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D46FC2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340CE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3F6ED">
            <w:pPr>
              <w:spacing w:line="300" w:lineRule="auto"/>
              <w:jc w:val="left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MI type 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08DA1A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49A0C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E228F0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0.042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075BD6D4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2F6F2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STEMI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C783D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(55.00)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50979D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(67.77)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CE4124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68DCA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4F1E5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NSTEMI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21A333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(45.00)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32C8F5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(32.23)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59C165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7399F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C52C9">
            <w:pPr>
              <w:spacing w:line="300" w:lineRule="auto"/>
              <w:jc w:val="left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ulprit arteries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EE3C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604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F26489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925</w:t>
            </w:r>
          </w:p>
        </w:tc>
      </w:tr>
      <w:tr w14:paraId="187170F6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B3E65">
            <w:pPr>
              <w:spacing w:line="300" w:lineRule="auto"/>
              <w:jc w:val="right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LAD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551114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42.50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BF8C8C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47.11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2D8F8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6A80A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E8125">
            <w:pPr>
              <w:spacing w:line="300" w:lineRule="auto"/>
              <w:jc w:val="right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LCX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DA2E74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25.00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F8BA7F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26.45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9C42F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E963B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D9F10">
            <w:pPr>
              <w:spacing w:line="300" w:lineRule="auto"/>
              <w:jc w:val="right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RCA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ACF485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26.67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B8FB76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32.23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CC0D8D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7C162F">
        <w:trPr>
          <w:trHeight w:val="375" w:hRule="atLeast"/>
        </w:trPr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DA0F6">
            <w:pPr>
              <w:spacing w:line="300" w:lineRule="auto"/>
              <w:jc w:val="left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Medication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4EFC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A928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63A0EF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35D021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97350">
            <w:pPr>
              <w:spacing w:line="300" w:lineRule="auto"/>
              <w:jc w:val="right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Beta-blockers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9CE4AD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106(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88.33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F76326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88.43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A294F6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0.981</w:t>
            </w:r>
          </w:p>
        </w:tc>
      </w:tr>
      <w:tr w14:paraId="407FE539">
        <w:trPr>
          <w:trHeight w:val="456" w:hRule="atLeast"/>
        </w:trPr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7A3C7">
            <w:pPr>
              <w:spacing w:line="300" w:lineRule="auto"/>
              <w:jc w:val="right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RAAS-inhibitors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44E60D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83(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69.17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6A7B1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76.03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A3882D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0.232</w:t>
            </w:r>
          </w:p>
        </w:tc>
      </w:tr>
      <w:tr w14:paraId="149492FE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20B07">
            <w:pPr>
              <w:spacing w:line="300" w:lineRule="auto"/>
              <w:jc w:val="right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Statins 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1C801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109(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90.83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7CCBFC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92.56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939C2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0.627</w:t>
            </w:r>
          </w:p>
        </w:tc>
      </w:tr>
      <w:tr w14:paraId="15D16D65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A9402">
            <w:pPr>
              <w:spacing w:line="300" w:lineRule="auto"/>
              <w:jc w:val="right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Loop diuretics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587F17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39(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32.50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C69E95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40.50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051268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0.197</w:t>
            </w:r>
          </w:p>
        </w:tc>
      </w:tr>
      <w:tr w14:paraId="735CE903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70B3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righ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  <w:t>Aspirin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78A0B7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98(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81.67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38E5EF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88.43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3797F0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0.141</w:t>
            </w:r>
          </w:p>
        </w:tc>
      </w:tr>
      <w:tr w14:paraId="37E6192E"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C00F6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  <w:t>Clopidogrel/Prasugrel/Ticagrelor</w:t>
            </w:r>
          </w:p>
        </w:tc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57C1014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68(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56.67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4D3DCD6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67.77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A2E2C31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0.075</w:t>
            </w:r>
          </w:p>
        </w:tc>
      </w:tr>
    </w:tbl>
    <w:p w14:paraId="763BF3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 Regular" w:hAnsi="Times New Roman Regular" w:eastAsia="AdvTTa9c1b374" w:cs="Times New Roman Regular"/>
          <w:sz w:val="21"/>
          <w:szCs w:val="21"/>
          <w:lang w:val="en-US" w:eastAsia="zh-CN"/>
        </w:rPr>
      </w:pPr>
    </w:p>
    <w:p w14:paraId="5BB8A8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 Regular" w:hAnsi="Times New Roman Regular" w:eastAsia="AdvTTa9c1b374" w:cs="Times New Roman Regular"/>
          <w:sz w:val="21"/>
          <w:szCs w:val="21"/>
          <w:lang w:val="en-US" w:eastAsia="zh-CN"/>
        </w:rPr>
      </w:pPr>
    </w:p>
    <w:p w14:paraId="7C6C7C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 Regular" w:hAnsi="Times New Roman Regular" w:eastAsia="AdvTTa9c1b374" w:cs="Times New Roman Regular"/>
          <w:sz w:val="21"/>
          <w:szCs w:val="21"/>
          <w:lang w:val="en-US" w:eastAsia="zh-CN"/>
        </w:rPr>
      </w:pPr>
    </w:p>
    <w:p w14:paraId="173B72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 Regular" w:hAnsi="Times New Roman Regular" w:eastAsia="AdvTTa9c1b374" w:cs="Times New Roman Regular"/>
          <w:sz w:val="21"/>
          <w:szCs w:val="21"/>
          <w:lang w:val="en-US" w:eastAsia="zh-CN"/>
        </w:rPr>
      </w:pPr>
    </w:p>
    <w:tbl>
      <w:tblPr>
        <w:tblStyle w:val="4"/>
        <w:tblpPr w:leftFromText="180" w:rightFromText="180" w:vertAnchor="page" w:horzAnchor="page" w:tblpX="1790" w:tblpY="2491"/>
        <w:tblOverlap w:val="never"/>
        <w:tblW w:w="50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1728"/>
        <w:gridCol w:w="2085"/>
        <w:gridCol w:w="2107"/>
      </w:tblGrid>
      <w:tr w14:paraId="3ADEB394">
        <w:tc>
          <w:tcPr>
            <w:tcW w:w="15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</w:tcBorders>
            <w:shd w:val="clear" w:color="auto" w:fill="FFFFFF"/>
          </w:tcPr>
          <w:p w14:paraId="4FE01E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  <w:t>Characteristics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37E73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EAT entropy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＜6.73</w:t>
            </w:r>
          </w:p>
          <w:p w14:paraId="79AC7C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(n=120)</w:t>
            </w:r>
          </w:p>
        </w:tc>
        <w:tc>
          <w:tcPr>
            <w:tcW w:w="121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516A6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EAT entropy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≥6.73</w:t>
            </w:r>
          </w:p>
          <w:p w14:paraId="6DBE2E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(n=121)</w:t>
            </w:r>
          </w:p>
        </w:tc>
        <w:tc>
          <w:tcPr>
            <w:tcW w:w="123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36A8E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P value</w:t>
            </w:r>
          </w:p>
        </w:tc>
      </w:tr>
      <w:tr w14:paraId="53AC722A">
        <w:trPr>
          <w:trHeight w:val="90" w:hRule="atLeast"/>
        </w:trPr>
        <w:tc>
          <w:tcPr>
            <w:tcW w:w="154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169F6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CI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 L/min·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624FB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2.56±0.90</w:t>
            </w:r>
          </w:p>
        </w:tc>
        <w:tc>
          <w:tcPr>
            <w:tcW w:w="121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0F5649A7">
            <w:pPr>
              <w:spacing w:line="300" w:lineRule="auto"/>
              <w:jc w:val="center"/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2.48±0.90</w:t>
            </w:r>
          </w:p>
        </w:tc>
        <w:tc>
          <w:tcPr>
            <w:tcW w:w="123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485BB175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0.517</w:t>
            </w:r>
          </w:p>
        </w:tc>
      </w:tr>
      <w:tr w14:paraId="6E64E542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833A1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LVMI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 g/m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05663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54.10(20.44)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2581B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55.28(18.72)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60EC31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0.581</w:t>
            </w:r>
          </w:p>
        </w:tc>
      </w:tr>
      <w:tr w14:paraId="1B463F43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19C486">
            <w:pPr>
              <w:spacing w:line="300" w:lineRule="auto"/>
              <w:jc w:val="center"/>
              <w:rPr>
                <w:rFonts w:hint="eastAsia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LVEDVI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 mL/m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3B38F5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79.28(43.70)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136343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81.84(54.95)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CA3FAE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0.680</w:t>
            </w:r>
          </w:p>
        </w:tc>
      </w:tr>
      <w:tr w14:paraId="68BE7412">
        <w:trPr>
          <w:trHeight w:val="90" w:hRule="atLeast"/>
        </w:trPr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FBD3A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LVESVI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 mL/m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1F54F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40.13(36.03)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436E03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40.90(47.32)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3488FF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0.514</w:t>
            </w:r>
          </w:p>
        </w:tc>
      </w:tr>
      <w:tr w14:paraId="6CC7289B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48A8E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LVEF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A59E4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46.54(23.14)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EF4939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46.83(25.37)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081328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0.354</w:t>
            </w:r>
          </w:p>
        </w:tc>
      </w:tr>
      <w:tr w14:paraId="6BA70E4F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291D6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(reservoir)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F83B7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26.00(9.00)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565717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24.00(9.00)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EB6B5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0.029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2606CB8F">
        <w:trPr>
          <w:trHeight w:val="456" w:hRule="atLeast"/>
        </w:trPr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8A835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Ee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(conduit)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EB472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15.30(7.00)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DDBF9F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15.00(8.00)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645DB3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0.375</w:t>
            </w:r>
          </w:p>
        </w:tc>
      </w:tr>
      <w:tr w14:paraId="4D7AD3F8">
        <w:trPr>
          <w:trHeight w:val="90" w:hRule="atLeast"/>
        </w:trPr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A6412">
            <w:pPr>
              <w:spacing w:line="300" w:lineRule="auto"/>
              <w:jc w:val="center"/>
              <w:rPr>
                <w:rFonts w:hint="eastAsia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Ea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(contraction)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B4E5F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14.00(7.00)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AAB989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11.00(7.00)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68FE0E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0.010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6986A386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B317BB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LACI, 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1000E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19.28(10.68)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6CE3F5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25.78(10.80)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92D422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＜0.001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5D0910AB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DB3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Degree of transmural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315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DF3F6D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ACBA95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0.054</w:t>
            </w:r>
          </w:p>
        </w:tc>
      </w:tr>
      <w:tr w14:paraId="6DE11A9F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7C3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≤25%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161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46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(38.33)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C6DC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57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(47.11)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8DBE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A12918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3B9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26%-50%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522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27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(22.50)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5426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(9.92)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592D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229C3D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5E5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51%-75%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BAF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24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(20.00)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B775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(24.79)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A523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9DD7CE">
        <w:trPr>
          <w:trHeight w:val="90" w:hRule="atLeast"/>
        </w:trPr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A8E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≥76%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AFF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23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(19.17)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39B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22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(18.18)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D0EA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AC5691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7C0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IC, 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582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13.47(10.90)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1A22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15.50(13.21)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8BA1B4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0.027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149AB34E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265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BZ, 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C085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5.67(5.24)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32E1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7.39(7.27)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E9F69A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0.013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7FF9E7E7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045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eastAsia="AdvTTa9c1b374" w:cs="Times New Roman Regular"/>
                <w:b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AdvTTa9c1b374" w:cs="Times New Roman Regular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IBZ, 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BA7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20.21(18.05)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505C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23.98(20.68)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CA0108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0.017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6805C898">
        <w:trPr>
          <w:trHeight w:val="453" w:hRule="atLeast"/>
        </w:trPr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68C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GRS, 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D45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23.37±10.17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14AE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22.22±11.52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5E6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0.415</w:t>
            </w:r>
          </w:p>
        </w:tc>
      </w:tr>
      <w:tr w14:paraId="3F70787E">
        <w:trPr>
          <w:trHeight w:val="375" w:hRule="atLeast"/>
        </w:trPr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98B8B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GCS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054B0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-15.59(7.53)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ECB0DE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-14.76(8.33)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4C94D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0.145</w:t>
            </w:r>
          </w:p>
        </w:tc>
      </w:tr>
      <w:tr w14:paraId="7B95AA9B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5899B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GLS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90B4E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-11.60±4.34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29D0A4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-10.75±3.91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5F0E03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0.111</w:t>
            </w:r>
          </w:p>
        </w:tc>
      </w:tr>
      <w:tr w14:paraId="49E75E36">
        <w:trPr>
          <w:trHeight w:val="456" w:hRule="atLeast"/>
        </w:trPr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3C753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mitral regurgitation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CA9AA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34(28.33)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410D92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42(34.71)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6889E8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0.287</w:t>
            </w:r>
          </w:p>
        </w:tc>
      </w:tr>
      <w:tr w14:paraId="321D5D4A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A391E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aortic regurgitatio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67750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14(11.67)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E5DE67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24(19.83)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7578AA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0.082</w:t>
            </w:r>
          </w:p>
        </w:tc>
      </w:tr>
      <w:tr w14:paraId="2786E0B9"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A8CEC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MVO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8FF41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3(2.50)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E3292C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10(8.26)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2230D1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0.048</w:t>
            </w: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6B3F9C24">
        <w:tc>
          <w:tcPr>
            <w:tcW w:w="15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866D8A5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ventricular aneurysm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C787F97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12(10.00)</w:t>
            </w:r>
          </w:p>
        </w:tc>
        <w:tc>
          <w:tcPr>
            <w:tcW w:w="121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E773623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18(14.88)</w:t>
            </w:r>
          </w:p>
        </w:tc>
        <w:tc>
          <w:tcPr>
            <w:tcW w:w="123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666C7EE">
            <w:pPr>
              <w:spacing w:line="300" w:lineRule="auto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0.252</w:t>
            </w:r>
          </w:p>
        </w:tc>
      </w:tr>
    </w:tbl>
    <w:p w14:paraId="4AA5C0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 Regular" w:hAnsi="Times New Roman Regular" w:eastAsia="AdvTTa9c1b374" w:cs="Times New Roman Regular"/>
          <w:sz w:val="21"/>
          <w:szCs w:val="21"/>
          <w:lang w:val="en-US" w:eastAsia="zh-CN"/>
        </w:rPr>
      </w:pPr>
      <w:r>
        <w:rPr>
          <w:rFonts w:hint="eastAsia" w:ascii="Times New Roman Regular" w:hAnsi="Times New Roman Regular" w:eastAsia="AdvTTa9c1b374" w:cs="Times New Roman Regular"/>
          <w:sz w:val="21"/>
          <w:szCs w:val="21"/>
          <w:lang w:val="en-US" w:eastAsia="zh-CN"/>
        </w:rPr>
        <w:t>Table S2. Comparative Analysis of CMR Characteristics Stratified by EAT Entropy Groups</w:t>
      </w:r>
    </w:p>
    <w:p w14:paraId="7FA140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 Regular" w:hAnsi="Times New Roman Regular" w:eastAsia="AdvTTa9c1b374" w:cs="Times New Roman Regular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dvTTa9c1b374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32797"/>
    <w:rsid w:val="0FEE17A0"/>
    <w:rsid w:val="1DD29918"/>
    <w:rsid w:val="1DF1765A"/>
    <w:rsid w:val="22B183D1"/>
    <w:rsid w:val="2F732797"/>
    <w:rsid w:val="3CFDE937"/>
    <w:rsid w:val="3FF75E13"/>
    <w:rsid w:val="3FFE9575"/>
    <w:rsid w:val="3FFF564A"/>
    <w:rsid w:val="3FFFE8E5"/>
    <w:rsid w:val="47BFAC41"/>
    <w:rsid w:val="4FDB27CA"/>
    <w:rsid w:val="4FFF68C7"/>
    <w:rsid w:val="54FEDB92"/>
    <w:rsid w:val="568FA795"/>
    <w:rsid w:val="577F8E5C"/>
    <w:rsid w:val="5ACF2CB2"/>
    <w:rsid w:val="5BB7AB50"/>
    <w:rsid w:val="5DA9AAC4"/>
    <w:rsid w:val="5ED736D9"/>
    <w:rsid w:val="5EFBFB8E"/>
    <w:rsid w:val="5EFF44DA"/>
    <w:rsid w:val="5F3F2CD8"/>
    <w:rsid w:val="5FF9A3C3"/>
    <w:rsid w:val="6BFCD00E"/>
    <w:rsid w:val="6D3C46EB"/>
    <w:rsid w:val="6F7DF876"/>
    <w:rsid w:val="6FF76992"/>
    <w:rsid w:val="73C81AFE"/>
    <w:rsid w:val="755B766A"/>
    <w:rsid w:val="75B757D8"/>
    <w:rsid w:val="77AF724C"/>
    <w:rsid w:val="79FF2214"/>
    <w:rsid w:val="7B7F9150"/>
    <w:rsid w:val="7E773DF6"/>
    <w:rsid w:val="7EDD28B3"/>
    <w:rsid w:val="7EEF5D1E"/>
    <w:rsid w:val="7F7B72BB"/>
    <w:rsid w:val="9FC74055"/>
    <w:rsid w:val="ABED6C4A"/>
    <w:rsid w:val="BDFEC50C"/>
    <w:rsid w:val="BFF790F4"/>
    <w:rsid w:val="BFFBCB0C"/>
    <w:rsid w:val="CB3E493F"/>
    <w:rsid w:val="D5D31E18"/>
    <w:rsid w:val="DE7F2D79"/>
    <w:rsid w:val="DFDC5C80"/>
    <w:rsid w:val="E6FF9DD7"/>
    <w:rsid w:val="E7AF1768"/>
    <w:rsid w:val="ECEFC10B"/>
    <w:rsid w:val="EE7E2971"/>
    <w:rsid w:val="F337301C"/>
    <w:rsid w:val="F4C9A972"/>
    <w:rsid w:val="F9BCD2CA"/>
    <w:rsid w:val="FAFB6242"/>
    <w:rsid w:val="FBBBE86E"/>
    <w:rsid w:val="FE9E10BC"/>
    <w:rsid w:val="FEDBF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2025-06-25T05:18:00Z</dcterms:created>
  <dc:creator>Amaranth</dc:creator>
  <cp:lastModifiedBy>Amaranth</cp:lastModifiedBy>
  <dcterms:modified xsi:type="dcterms:W3CDTF">2025-06-25T20:02:03Z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D939B20B2A289258EC705B6817495DA9_43</vt:lpwstr>
  </property>
</Properties>
</file>