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48A47" w14:textId="77777777" w:rsidR="00211037" w:rsidRDefault="00211037" w:rsidP="00211037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GRAPHIC ABSTRACT</w:t>
      </w:r>
    </w:p>
    <w:p w14:paraId="58E9BBF4" w14:textId="77777777" w:rsidR="00211037" w:rsidRDefault="00211037" w:rsidP="00211037">
      <w:pPr>
        <w:spacing w:before="240" w:after="240"/>
        <w:rPr>
          <w:sz w:val="24"/>
          <w:szCs w:val="24"/>
        </w:rPr>
      </w:pPr>
    </w:p>
    <w:tbl>
      <w:tblPr>
        <w:tblStyle w:val="StGen0"/>
        <w:tblW w:w="1395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958"/>
      </w:tblGrid>
      <w:tr w:rsidR="00211037" w14:paraId="37F6B79C" w14:textId="77777777" w:rsidTr="00073156">
        <w:tc>
          <w:tcPr>
            <w:tcW w:w="13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C6AB7" w14:textId="77777777" w:rsidR="00211037" w:rsidRDefault="00211037" w:rsidP="0007315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509A38A7" wp14:editId="477C3FB3">
                  <wp:extent cx="8715375" cy="4292600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/>
                        </pic:nvPicPr>
                        <pic:blipFill>
                          <a:blip r:embed="rId4"/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8715375" cy="4292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1037" w14:paraId="4E9B57FC" w14:textId="77777777" w:rsidTr="00073156">
        <w:tc>
          <w:tcPr>
            <w:tcW w:w="1395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EC04E" w14:textId="77777777" w:rsidR="00211037" w:rsidRDefault="00211037" w:rsidP="0007315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Figure legend: </w:t>
            </w:r>
            <w:r>
              <w:rPr>
                <w:i/>
                <w:sz w:val="24"/>
                <w:szCs w:val="24"/>
              </w:rPr>
              <w:t>Adenylyl Cyclase enzyme</w:t>
            </w:r>
            <w:r>
              <w:rPr>
                <w:sz w:val="24"/>
                <w:szCs w:val="24"/>
              </w:rPr>
              <w:t xml:space="preserve"> (isoforms 5 or 6), </w:t>
            </w:r>
            <w:r>
              <w:rPr>
                <w:i/>
                <w:sz w:val="24"/>
                <w:szCs w:val="24"/>
              </w:rPr>
              <w:t>BDNF</w:t>
            </w:r>
            <w:r>
              <w:rPr>
                <w:sz w:val="24"/>
                <w:szCs w:val="24"/>
              </w:rPr>
              <w:t xml:space="preserve"> (Brain-Derived Neurotrophic Factor), </w:t>
            </w:r>
            <w:r>
              <w:rPr>
                <w:i/>
                <w:sz w:val="24"/>
                <w:szCs w:val="24"/>
              </w:rPr>
              <w:t xml:space="preserve">CB2-R </w:t>
            </w:r>
            <w:r>
              <w:rPr>
                <w:sz w:val="24"/>
                <w:szCs w:val="24"/>
              </w:rPr>
              <w:t xml:space="preserve">(Cannabinoid 2 receptor), </w:t>
            </w:r>
            <w:r>
              <w:rPr>
                <w:i/>
                <w:sz w:val="24"/>
                <w:szCs w:val="24"/>
              </w:rPr>
              <w:t>CREB</w:t>
            </w:r>
            <w:r>
              <w:rPr>
                <w:sz w:val="24"/>
                <w:szCs w:val="24"/>
              </w:rPr>
              <w:t xml:space="preserve"> (cAMP Response Element-Binding Protein), </w:t>
            </w:r>
            <w:r>
              <w:rPr>
                <w:i/>
                <w:sz w:val="24"/>
                <w:szCs w:val="24"/>
              </w:rPr>
              <w:t xml:space="preserve">ERK1/2 </w:t>
            </w:r>
            <w:r>
              <w:rPr>
                <w:sz w:val="24"/>
                <w:szCs w:val="24"/>
              </w:rPr>
              <w:t xml:space="preserve">(Extracellular signal-Regulated Kinase 1/2), </w:t>
            </w:r>
            <w:r>
              <w:rPr>
                <w:i/>
                <w:sz w:val="24"/>
                <w:szCs w:val="24"/>
              </w:rPr>
              <w:t xml:space="preserve">IL-1 </w:t>
            </w:r>
            <w:r>
              <w:rPr>
                <w:sz w:val="24"/>
                <w:szCs w:val="24"/>
              </w:rPr>
              <w:lastRenderedPageBreak/>
              <w:t xml:space="preserve">(Interleukin-1), </w:t>
            </w:r>
            <w:r>
              <w:rPr>
                <w:i/>
                <w:sz w:val="24"/>
                <w:szCs w:val="24"/>
              </w:rPr>
              <w:t>IL-6</w:t>
            </w:r>
            <w:r>
              <w:rPr>
                <w:sz w:val="24"/>
                <w:szCs w:val="24"/>
              </w:rPr>
              <w:t xml:space="preserve"> (Interleukin-6), </w:t>
            </w:r>
            <w:r>
              <w:rPr>
                <w:i/>
                <w:sz w:val="24"/>
                <w:szCs w:val="24"/>
              </w:rPr>
              <w:t>iNOS</w:t>
            </w:r>
            <w:r>
              <w:rPr>
                <w:sz w:val="24"/>
                <w:szCs w:val="24"/>
              </w:rPr>
              <w:t xml:space="preserve"> (inducible nitric oxide synthase), </w:t>
            </w:r>
            <w:r>
              <w:rPr>
                <w:i/>
                <w:sz w:val="24"/>
                <w:szCs w:val="24"/>
              </w:rPr>
              <w:t>mTORC1</w:t>
            </w:r>
            <w:r>
              <w:rPr>
                <w:sz w:val="24"/>
                <w:szCs w:val="24"/>
              </w:rPr>
              <w:t xml:space="preserve"> (Mechanistic Target of Rapamycin Complex 1),</w:t>
            </w:r>
            <w:r>
              <w:rPr>
                <w:i/>
                <w:sz w:val="24"/>
                <w:szCs w:val="24"/>
              </w:rPr>
              <w:t xml:space="preserve"> NF-κB </w:t>
            </w:r>
            <w:r>
              <w:rPr>
                <w:sz w:val="24"/>
                <w:szCs w:val="24"/>
              </w:rPr>
              <w:t xml:space="preserve">(Nuclear factor kappa light chain enhancer of activated B cells), </w:t>
            </w:r>
            <w:r>
              <w:rPr>
                <w:i/>
                <w:sz w:val="24"/>
                <w:szCs w:val="24"/>
              </w:rPr>
              <w:t>NF-kB (p65)</w:t>
            </w:r>
            <w:r>
              <w:rPr>
                <w:sz w:val="24"/>
                <w:szCs w:val="24"/>
              </w:rPr>
              <w:t xml:space="preserve"> (Nuclear factor kappa light chain enhancer of activated B cells protein 65), </w:t>
            </w:r>
            <w:r>
              <w:rPr>
                <w:i/>
                <w:sz w:val="24"/>
                <w:szCs w:val="24"/>
              </w:rPr>
              <w:t xml:space="preserve">p38 MAPK </w:t>
            </w:r>
            <w:r>
              <w:rPr>
                <w:sz w:val="24"/>
                <w:szCs w:val="24"/>
              </w:rPr>
              <w:t xml:space="preserve">(mitogen-activated protein kinase p38 protein), </w:t>
            </w:r>
            <w:r>
              <w:rPr>
                <w:i/>
                <w:sz w:val="24"/>
                <w:szCs w:val="24"/>
              </w:rPr>
              <w:t>PI3K-Akt</w:t>
            </w:r>
            <w:r>
              <w:rPr>
                <w:sz w:val="24"/>
                <w:szCs w:val="24"/>
              </w:rPr>
              <w:t xml:space="preserve"> (Phosphoinositide 3-Kinase/ Protein Kinase B), </w:t>
            </w:r>
            <w:r>
              <w:rPr>
                <w:i/>
                <w:sz w:val="24"/>
                <w:szCs w:val="24"/>
              </w:rPr>
              <w:t xml:space="preserve">PLC </w:t>
            </w:r>
            <w:r>
              <w:rPr>
                <w:sz w:val="24"/>
                <w:szCs w:val="24"/>
              </w:rPr>
              <w:t xml:space="preserve">(Phospholipase C), </w:t>
            </w:r>
            <w:r>
              <w:rPr>
                <w:i/>
                <w:sz w:val="24"/>
                <w:szCs w:val="24"/>
              </w:rPr>
              <w:t xml:space="preserve">TNF-α </w:t>
            </w:r>
            <w:r>
              <w:rPr>
                <w:sz w:val="24"/>
                <w:szCs w:val="24"/>
              </w:rPr>
              <w:t>(Tumor Necrosis Factor-α). Light green arrows indicate direct activation. Red dashed arrow: the pathway leads to inhibition downstream.</w:t>
            </w:r>
          </w:p>
          <w:p w14:paraId="785421A3" w14:textId="77777777" w:rsidR="00211037" w:rsidRDefault="00211037" w:rsidP="0007315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Created in  https://BioRender.com</w:t>
            </w:r>
          </w:p>
        </w:tc>
      </w:tr>
    </w:tbl>
    <w:p w14:paraId="388B3C6F" w14:textId="77777777" w:rsidR="00211037" w:rsidRDefault="00211037" w:rsidP="00211037">
      <w:pPr>
        <w:spacing w:before="240" w:after="240"/>
        <w:rPr>
          <w:sz w:val="24"/>
          <w:szCs w:val="24"/>
        </w:rPr>
      </w:pPr>
    </w:p>
    <w:p w14:paraId="4DDE3F1F" w14:textId="77777777" w:rsidR="00755780" w:rsidRDefault="00755780"/>
    <w:sectPr w:rsidR="00755780" w:rsidSect="002110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037"/>
    <w:rsid w:val="00011C58"/>
    <w:rsid w:val="00016091"/>
    <w:rsid w:val="0006021D"/>
    <w:rsid w:val="00211037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7D41E"/>
  <w15:chartTrackingRefBased/>
  <w15:docId w15:val="{D84CFBA4-53CA-4547-9A72-424EC0166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11037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03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03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03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03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03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03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03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03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03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10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0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0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0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0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0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0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0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0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10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110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03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110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103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110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103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110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0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0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1037"/>
    <w:rPr>
      <w:b/>
      <w:bCs/>
      <w:smallCaps/>
      <w:color w:val="0F4761" w:themeColor="accent1" w:themeShade="BF"/>
      <w:spacing w:val="5"/>
    </w:rPr>
  </w:style>
  <w:style w:type="table" w:customStyle="1" w:styleId="StGen0">
    <w:name w:val="StGen0"/>
    <w:basedOn w:val="TableNormal"/>
    <w:rsid w:val="00211037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735</Characters>
  <Application>Microsoft Office Word</Application>
  <DocSecurity>0</DocSecurity>
  <Lines>6</Lines>
  <Paragraphs>1</Paragraphs>
  <ScaleCrop>false</ScaleCrop>
  <Company>Springer Nature</Company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2025-09-07T13:27:00Z</dcterms:created>
  <dcterms:modified xsi:type="dcterms:W3CDTF">2025-09-07T13:28:00Z</dcterms:modified>
</cp:coreProperties>
</file>