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C0EB7">
      <w:pPr>
        <w:jc w:val="center"/>
        <w:rPr>
          <w:rFonts w:hint="default" w:ascii="Times New Roman" w:hAnsi="Times New Roman" w:cs="Times New Roman"/>
          <w:sz w:val="24"/>
          <w:szCs w:val="24"/>
        </w:rPr>
      </w:pPr>
      <w:r>
        <w:rPr>
          <w:rFonts w:hint="default" w:ascii="Times New Roman" w:hAnsi="Times New Roman" w:cs="Times New Roman"/>
          <w:sz w:val="24"/>
          <w:szCs w:val="24"/>
        </w:rPr>
        <w:t>Supplementary materials</w:t>
      </w:r>
    </w:p>
    <w:p w14:paraId="5F28829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 xml:space="preserve">Breast-milk </w:t>
      </w:r>
      <w:r>
        <w:rPr>
          <w:rFonts w:hint="default" w:ascii="Times New Roman" w:hAnsi="Times New Roman" w:eastAsia="宋体" w:cs="Times New Roman"/>
          <w:b/>
          <w:bCs/>
          <w:i/>
          <w:iCs/>
          <w:sz w:val="24"/>
        </w:rPr>
        <w:t>Lacticaseibacillus gasseri</w:t>
      </w:r>
      <w:r>
        <w:rPr>
          <w:rFonts w:hint="default" w:ascii="Times New Roman" w:hAnsi="Times New Roman" w:eastAsia="宋体" w:cs="Times New Roman"/>
          <w:b/>
          <w:bCs/>
          <w:sz w:val="24"/>
        </w:rPr>
        <w:t xml:space="preserve"> FN136 alleviates DSS-induced ulcerative colitis through microbiota-independent metabolite–host interactions</w:t>
      </w:r>
    </w:p>
    <w:p w14:paraId="3CE99FB3">
      <w:pPr>
        <w:keepNext w:val="0"/>
        <w:keepLines w:val="0"/>
        <w:pageBreakBefore w:val="0"/>
        <w:widowControl w:val="0"/>
        <w:kinsoku/>
        <w:wordWrap/>
        <w:overflowPunct/>
        <w:topLinePunct/>
        <w:autoSpaceDE/>
        <w:autoSpaceDN/>
        <w:bidi w:val="0"/>
        <w:adjustRightInd/>
        <w:snapToGrid/>
        <w:spacing w:beforeLines="0" w:afterLines="0" w:line="480" w:lineRule="auto"/>
        <w:textAlignment w:val="auto"/>
        <w:rPr>
          <w:rFonts w:hint="default" w:ascii="Times New Roman" w:hAnsi="Times New Roman" w:cs="Times New Roman"/>
          <w:kern w:val="0"/>
          <w:sz w:val="24"/>
          <w:szCs w:val="24"/>
          <w:vertAlign w:val="superscript"/>
        </w:rPr>
      </w:pPr>
      <w:r>
        <w:rPr>
          <w:rFonts w:hint="default" w:ascii="Times New Roman" w:hAnsi="Times New Roman" w:cs="Times New Roman"/>
          <w:sz w:val="24"/>
          <w:szCs w:val="24"/>
        </w:rPr>
        <w:t>Qingcui Li</w:t>
      </w: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 xml:space="preserve">, </w:t>
      </w:r>
      <w:r>
        <w:rPr>
          <w:rFonts w:hint="default" w:ascii="Times New Roman" w:hAnsi="Times New Roman" w:cs="Times New Roman"/>
          <w:kern w:val="0"/>
          <w:sz w:val="24"/>
          <w:szCs w:val="24"/>
        </w:rPr>
        <w:t>Wenhao Wang</w:t>
      </w:r>
      <w:r>
        <w:rPr>
          <w:rFonts w:hint="default" w:ascii="Times New Roman" w:hAnsi="Times New Roman" w:cs="Times New Roman"/>
          <w:kern w:val="0"/>
          <w:sz w:val="24"/>
          <w:szCs w:val="24"/>
          <w:vertAlign w:val="superscript"/>
        </w:rPr>
        <w:t>1</w:t>
      </w:r>
      <w:r>
        <w:rPr>
          <w:rFonts w:hint="default" w:ascii="Times New Roman" w:hAnsi="Times New Roman" w:cs="Times New Roman"/>
          <w:kern w:val="0"/>
          <w:sz w:val="24"/>
          <w:szCs w:val="24"/>
        </w:rPr>
        <w:t>, Fan Zhou</w:t>
      </w:r>
      <w:r>
        <w:rPr>
          <w:rFonts w:hint="default" w:ascii="Times New Roman" w:hAnsi="Times New Roman" w:cs="Times New Roman"/>
          <w:kern w:val="0"/>
          <w:sz w:val="24"/>
          <w:szCs w:val="24"/>
          <w:vertAlign w:val="superscript"/>
        </w:rPr>
        <w:t>1</w:t>
      </w:r>
      <w:r>
        <w:rPr>
          <w:rFonts w:hint="default" w:ascii="Times New Roman" w:hAnsi="Times New Roman" w:cs="Times New Roman"/>
          <w:kern w:val="0"/>
          <w:sz w:val="24"/>
          <w:szCs w:val="24"/>
        </w:rPr>
        <w:t>, Xin Geng</w:t>
      </w:r>
      <w:r>
        <w:rPr>
          <w:rFonts w:hint="default" w:ascii="Times New Roman" w:hAnsi="Times New Roman" w:cs="Times New Roman"/>
          <w:kern w:val="0"/>
          <w:sz w:val="24"/>
          <w:szCs w:val="24"/>
          <w:vertAlign w:val="superscript"/>
        </w:rPr>
        <w:t>1</w:t>
      </w:r>
      <w:r>
        <w:rPr>
          <w:rFonts w:hint="default" w:ascii="Times New Roman" w:hAnsi="Times New Roman" w:cs="Times New Roman"/>
          <w:kern w:val="0"/>
          <w:sz w:val="24"/>
          <w:szCs w:val="24"/>
        </w:rPr>
        <w:t xml:space="preserve">, </w:t>
      </w:r>
      <w:r>
        <w:rPr>
          <w:rFonts w:hint="default" w:ascii="Times New Roman" w:hAnsi="Times New Roman" w:cs="Times New Roman"/>
          <w:sz w:val="24"/>
          <w:szCs w:val="24"/>
        </w:rPr>
        <w:t>Ce Qi</w:t>
      </w: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w:t>
      </w:r>
      <w:r>
        <w:rPr>
          <w:rFonts w:hint="default" w:ascii="Times New Roman" w:hAnsi="Times New Roman" w:cs="Times New Roman"/>
          <w:kern w:val="0"/>
          <w:sz w:val="24"/>
          <w:szCs w:val="24"/>
          <w:vertAlign w:val="superscript"/>
        </w:rPr>
        <w:t xml:space="preserve"> </w:t>
      </w:r>
      <w:r>
        <w:rPr>
          <w:rFonts w:hint="default" w:ascii="Times New Roman" w:hAnsi="Times New Roman" w:cs="Times New Roman"/>
          <w:kern w:val="0"/>
          <w:sz w:val="24"/>
          <w:szCs w:val="24"/>
        </w:rPr>
        <w:t>Chengwen Li</w:t>
      </w:r>
      <w:r>
        <w:rPr>
          <w:rFonts w:hint="default" w:ascii="Times New Roman" w:hAnsi="Times New Roman" w:cs="Times New Roman"/>
          <w:kern w:val="0"/>
          <w:sz w:val="24"/>
          <w:szCs w:val="24"/>
          <w:vertAlign w:val="superscript"/>
        </w:rPr>
        <w:t>2</w:t>
      </w:r>
      <w:r>
        <w:rPr>
          <w:rFonts w:hint="default" w:ascii="Times New Roman" w:hAnsi="Times New Roman" w:cs="Times New Roman"/>
          <w:kern w:val="0"/>
          <w:sz w:val="24"/>
          <w:szCs w:val="24"/>
        </w:rPr>
        <w:t xml:space="preserve">, </w:t>
      </w:r>
      <w:r>
        <w:rPr>
          <w:rFonts w:hint="default" w:ascii="Times New Roman" w:hAnsi="Times New Roman" w:cs="Times New Roman"/>
          <w:sz w:val="24"/>
          <w:szCs w:val="24"/>
        </w:rPr>
        <w:t>Jin Sun</w:t>
      </w: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w:t>
      </w:r>
    </w:p>
    <w:p w14:paraId="6AB8C7D1">
      <w:pPr>
        <w:spacing w:beforeLines="0" w:afterLines="0" w:line="48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vertAlign w:val="superscript"/>
        </w:rPr>
        <w:t>1</w:t>
      </w:r>
      <w:r>
        <w:rPr>
          <w:rFonts w:hint="default" w:ascii="Times New Roman" w:hAnsi="Times New Roman" w:cs="Times New Roman"/>
          <w:color w:val="000000"/>
          <w:sz w:val="24"/>
          <w:szCs w:val="24"/>
        </w:rPr>
        <w:t xml:space="preserve"> Institute of Nutrition and Health, Qingdao University, Qingdao 266071, China</w:t>
      </w:r>
      <w:bookmarkStart w:id="0" w:name="_GoBack"/>
      <w:bookmarkEnd w:id="0"/>
    </w:p>
    <w:p w14:paraId="0C4A10D3">
      <w:pPr>
        <w:spacing w:beforeLines="0" w:afterLines="0" w:line="48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vertAlign w:val="superscript"/>
          <w:lang w:val="en-US" w:eastAsia="zh-CN"/>
        </w:rPr>
        <w:t xml:space="preserve"> </w:t>
      </w:r>
      <w:r>
        <w:rPr>
          <w:rFonts w:hint="default" w:ascii="Times New Roman" w:hAnsi="Times New Roman" w:cs="Times New Roman"/>
          <w:color w:val="000000"/>
          <w:sz w:val="24"/>
          <w:szCs w:val="24"/>
        </w:rPr>
        <w:t>Gannan Tibetan Autonomous Prefecture Maternal and Child Health Hospital</w:t>
      </w:r>
    </w:p>
    <w:p w14:paraId="0ADF1824">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*Correspondence: Jin Sun (sunj@qdu.edu.cn)</w:t>
      </w:r>
      <w:r>
        <w:rPr>
          <w:rFonts w:hint="default" w:ascii="Times New Roman" w:hAnsi="Times New Roman" w:cs="Times New Roman" w:eastAsiaTheme="minorEastAsia"/>
          <w:sz w:val="24"/>
          <w:szCs w:val="24"/>
          <w:lang w:eastAsia="zh-CN"/>
        </w:rPr>
        <w:br w:type="page"/>
      </w:r>
    </w:p>
    <w:p w14:paraId="49A34C48">
      <w:pPr>
        <w:jc w:val="both"/>
        <w:rPr>
          <w:rFonts w:hint="eastAsia" w:ascii="Times New Roman" w:hAnsi="Times New Roman" w:cs="Times New Roman" w:eastAsiaTheme="minorEastAsia"/>
          <w:sz w:val="24"/>
          <w:szCs w:val="24"/>
          <w:lang w:eastAsia="zh-CN"/>
        </w:rPr>
      </w:pPr>
    </w:p>
    <w:p w14:paraId="40B74B00">
      <w:pPr>
        <w:jc w:val="both"/>
        <w:rPr>
          <w:rFonts w:hint="eastAsia" w:ascii="Times New Roman" w:hAnsi="Times New Roman" w:cs="Times New Roman" w:eastAsiaTheme="minorEastAsia"/>
          <w:sz w:val="24"/>
          <w:szCs w:val="24"/>
          <w:lang w:eastAsia="zh-CN"/>
        </w:rPr>
      </w:pPr>
    </w:p>
    <w:p w14:paraId="625CCBFA">
      <w:pPr>
        <w:jc w:val="both"/>
        <w:rPr>
          <w:rFonts w:hint="eastAsia" w:ascii="Times New Roman" w:hAnsi="Times New Roman" w:cs="Times New Roman" w:eastAsiaTheme="minorEastAsia"/>
          <w:sz w:val="24"/>
          <w:szCs w:val="24"/>
          <w:lang w:eastAsia="zh-CN"/>
        </w:rPr>
      </w:pPr>
    </w:p>
    <w:p w14:paraId="15BD05D1">
      <w:pPr>
        <w:jc w:val="both"/>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1135" cy="3752215"/>
            <wp:effectExtent l="0" t="0" r="1905" b="12065"/>
            <wp:docPr id="1" name="图片 1" descr="fajiao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jiaoye"/>
                    <pic:cNvPicPr>
                      <a:picLocks noChangeAspect="1"/>
                    </pic:cNvPicPr>
                  </pic:nvPicPr>
                  <pic:blipFill>
                    <a:blip r:embed="rId4"/>
                    <a:stretch>
                      <a:fillRect/>
                    </a:stretch>
                  </pic:blipFill>
                  <pic:spPr>
                    <a:xfrm>
                      <a:off x="0" y="0"/>
                      <a:ext cx="5271135" cy="3752215"/>
                    </a:xfrm>
                    <a:prstGeom prst="rect">
                      <a:avLst/>
                    </a:prstGeom>
                  </pic:spPr>
                </pic:pic>
              </a:graphicData>
            </a:graphic>
          </wp:inline>
        </w:drawing>
      </w:r>
    </w:p>
    <w:p w14:paraId="1B093C2E">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 xml:space="preserve">Figure </w:t>
      </w:r>
      <w:r>
        <w:rPr>
          <w:rFonts w:hint="eastAsia" w:ascii="Times New Roman" w:hAnsi="Times New Roman" w:cs="Times New Roman"/>
          <w:sz w:val="24"/>
          <w:szCs w:val="24"/>
          <w:lang w:val="en-US" w:eastAsia="zh-CN"/>
        </w:rPr>
        <w:t xml:space="preserve">S1. </w:t>
      </w:r>
      <w:r>
        <w:rPr>
          <w:rFonts w:hint="eastAsia" w:ascii="Times New Roman" w:hAnsi="Times New Roman" w:cs="Times New Roman" w:eastAsiaTheme="minorEastAsia"/>
          <w:sz w:val="24"/>
          <w:szCs w:val="24"/>
          <w:lang w:eastAsia="zh-CN"/>
        </w:rPr>
        <w:t xml:space="preserve">Non-targeted metabolomic profiling of FN136 fermentation broth across multiple time points. (A) OPLS-DA permutation test and corresponding v-plot comparing 0 h and 8 h fermentation samples. (B) OPLS-DA permutation test and corresponding v-plot comparing 0 h and 12 h fermentation samples. (C) OPLS-DA permutation test and corresponding v-plot comparing 0 h and 16 h fermentation samples. (D) OPLS-DA permutation test and corresponding v-plot comparing 0 h and 20 h fermentation samples. (E) OPLS-DA permutation test and corresponding v-plot comparing 0 h and 20 h fermentation samples. 0 h, unfermented medium; 8 h, 8-h FN136 culture supernatant; 12 h, 12-h FN136 culture supernatant; 16 h, 16-h FN136 culture supernatant; 20 h, 20-h FN136 culture supernatant; 24 h, 24-h FN136 culture supernatant. </w:t>
      </w:r>
    </w:p>
    <w:p w14:paraId="149F37B1">
      <w:pPr>
        <w:jc w:val="both"/>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2405" cy="8184515"/>
            <wp:effectExtent l="0" t="0" r="635" b="14605"/>
            <wp:docPr id="3" name="图片 3"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1"/>
                    <pic:cNvPicPr>
                      <a:picLocks noChangeAspect="1"/>
                    </pic:cNvPicPr>
                  </pic:nvPicPr>
                  <pic:blipFill>
                    <a:blip r:embed="rId5"/>
                    <a:stretch>
                      <a:fillRect/>
                    </a:stretch>
                  </pic:blipFill>
                  <pic:spPr>
                    <a:xfrm>
                      <a:off x="0" y="0"/>
                      <a:ext cx="5272405" cy="8184515"/>
                    </a:xfrm>
                    <a:prstGeom prst="rect">
                      <a:avLst/>
                    </a:prstGeom>
                  </pic:spPr>
                </pic:pic>
              </a:graphicData>
            </a:graphic>
          </wp:inline>
        </w:drawing>
      </w:r>
    </w:p>
    <w:p w14:paraId="4E8E643D">
      <w:pPr>
        <w:topLinePunct/>
        <w:spacing w:line="480" w:lineRule="auto"/>
        <w:rPr>
          <w:rFonts w:ascii="Times New Roman" w:hAnsi="Times New Roman" w:eastAsia="宋体"/>
          <w:bCs/>
          <w:sz w:val="24"/>
        </w:rPr>
      </w:pPr>
      <w:r>
        <w:rPr>
          <w:rFonts w:hint="eastAsia" w:ascii="Times New Roman" w:hAnsi="Times New Roman" w:cs="Times New Roman" w:eastAsiaTheme="minorEastAsia"/>
          <w:sz w:val="24"/>
          <w:szCs w:val="24"/>
          <w:lang w:eastAsia="zh-CN"/>
        </w:rPr>
        <w:t>Figure S</w:t>
      </w:r>
      <w:r>
        <w:rPr>
          <w:rFonts w:hint="eastAsia" w:ascii="Times New Roman" w:hAnsi="Times New Roman" w:cs="Times New Roman"/>
          <w:sz w:val="24"/>
          <w:szCs w:val="24"/>
          <w:lang w:val="en-US" w:eastAsia="zh-CN"/>
        </w:rPr>
        <w:t xml:space="preserve">2.Effects of </w:t>
      </w:r>
      <w:r>
        <w:rPr>
          <w:rFonts w:hint="eastAsia" w:ascii="Times New Roman" w:hAnsi="Times New Roman" w:cs="Times New Roman"/>
          <w:i/>
          <w:iCs/>
          <w:sz w:val="24"/>
          <w:szCs w:val="24"/>
          <w:lang w:val="en-US" w:eastAsia="zh-CN"/>
        </w:rPr>
        <w:t xml:space="preserve">Lacticaseibacillus gasseri </w:t>
      </w:r>
      <w:r>
        <w:rPr>
          <w:rFonts w:hint="eastAsia" w:ascii="Times New Roman" w:hAnsi="Times New Roman" w:cs="Times New Roman"/>
          <w:sz w:val="24"/>
          <w:szCs w:val="24"/>
          <w:lang w:val="en-US" w:eastAsia="zh-CN"/>
        </w:rPr>
        <w:t>FN136 on the relative abundance of the gut microbiota(n=8 per group). (A) Differential analysis of the murine gut microbiota at the genus level by STAMP. (B) Differential analysis of the murine gut microbiota at the species level by STAMP. (C) Relative abundance of discriminatory genera between the CON and DSS groups.</w:t>
      </w:r>
      <w:r>
        <w:rPr>
          <w:rFonts w:ascii="Times New Roman" w:hAnsi="Times New Roman" w:eastAsia="宋体"/>
          <w:bCs/>
          <w:sz w:val="24"/>
        </w:rPr>
        <w:t xml:space="preserve">CON, healthy control; DSS, dextran sulfate sodium-induced </w:t>
      </w:r>
      <w:r>
        <w:rPr>
          <w:rFonts w:hint="eastAsia" w:ascii="Times New Roman" w:hAnsi="Times New Roman" w:eastAsia="宋体"/>
          <w:bCs/>
          <w:sz w:val="24"/>
        </w:rPr>
        <w:t>UC</w:t>
      </w:r>
      <w:r>
        <w:rPr>
          <w:rFonts w:ascii="Times New Roman" w:hAnsi="Times New Roman" w:eastAsia="宋体"/>
          <w:bCs/>
          <w:sz w:val="24"/>
        </w:rPr>
        <w:t xml:space="preserve">; FN136+DSS, </w:t>
      </w:r>
      <w:r>
        <w:rPr>
          <w:rFonts w:ascii="Times New Roman" w:hAnsi="Times New Roman" w:eastAsia="宋体"/>
          <w:bCs/>
          <w:i/>
          <w:iCs/>
          <w:sz w:val="24"/>
        </w:rPr>
        <w:t>L. gasseri</w:t>
      </w:r>
      <w:r>
        <w:rPr>
          <w:rFonts w:ascii="Times New Roman" w:hAnsi="Times New Roman" w:eastAsia="宋体"/>
          <w:bCs/>
          <w:sz w:val="24"/>
        </w:rPr>
        <w:t xml:space="preserve"> FN136-treated DSS </w:t>
      </w:r>
      <w:r>
        <w:rPr>
          <w:rFonts w:hint="eastAsia" w:ascii="Times New Roman" w:hAnsi="Times New Roman" w:eastAsia="宋体"/>
          <w:bCs/>
          <w:sz w:val="24"/>
        </w:rPr>
        <w:t>UC</w:t>
      </w:r>
      <w:r>
        <w:rPr>
          <w:rFonts w:ascii="Times New Roman" w:hAnsi="Times New Roman" w:eastAsia="宋体"/>
          <w:bCs/>
          <w:sz w:val="24"/>
        </w:rPr>
        <w:t xml:space="preserve">; FN041+DSS, </w:t>
      </w:r>
      <w:r>
        <w:rPr>
          <w:rFonts w:ascii="Times New Roman" w:hAnsi="Times New Roman" w:eastAsia="宋体"/>
          <w:bCs/>
          <w:i/>
          <w:iCs/>
          <w:sz w:val="24"/>
        </w:rPr>
        <w:t>L. reuteri</w:t>
      </w:r>
      <w:r>
        <w:rPr>
          <w:rFonts w:ascii="Times New Roman" w:hAnsi="Times New Roman" w:eastAsia="宋体"/>
          <w:bCs/>
          <w:sz w:val="24"/>
        </w:rPr>
        <w:t xml:space="preserve"> FN041-treated DSS </w:t>
      </w:r>
      <w:r>
        <w:rPr>
          <w:rFonts w:hint="eastAsia" w:ascii="Times New Roman" w:hAnsi="Times New Roman" w:eastAsia="宋体"/>
          <w:bCs/>
          <w:sz w:val="24"/>
        </w:rPr>
        <w:t>UC</w:t>
      </w:r>
      <w:r>
        <w:rPr>
          <w:rFonts w:ascii="Times New Roman" w:hAnsi="Times New Roman" w:eastAsia="宋体"/>
          <w:bCs/>
          <w:sz w:val="24"/>
        </w:rPr>
        <w:t xml:space="preserve">; LGG+DSS, </w:t>
      </w:r>
      <w:r>
        <w:rPr>
          <w:rFonts w:ascii="Times New Roman" w:hAnsi="Times New Roman" w:eastAsia="宋体"/>
          <w:bCs/>
          <w:i/>
          <w:iCs/>
          <w:sz w:val="24"/>
        </w:rPr>
        <w:t>L. rhamnosus</w:t>
      </w:r>
      <w:r>
        <w:rPr>
          <w:rFonts w:ascii="Times New Roman" w:hAnsi="Times New Roman" w:eastAsia="宋体"/>
          <w:bCs/>
          <w:sz w:val="24"/>
        </w:rPr>
        <w:t xml:space="preserve"> GG-treated DSS </w:t>
      </w:r>
      <w:r>
        <w:rPr>
          <w:rFonts w:hint="eastAsia" w:ascii="Times New Roman" w:hAnsi="Times New Roman" w:eastAsia="宋体"/>
          <w:bCs/>
          <w:sz w:val="24"/>
        </w:rPr>
        <w:t>UC</w:t>
      </w:r>
      <w:r>
        <w:rPr>
          <w:rFonts w:ascii="Times New Roman" w:hAnsi="Times New Roman" w:eastAsia="宋体"/>
          <w:bCs/>
          <w:sz w:val="24"/>
        </w:rPr>
        <w:t>.</w:t>
      </w:r>
    </w:p>
    <w:p w14:paraId="79DEE397">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4"/>
          <w:szCs w:val="24"/>
          <w:lang w:val="en-US" w:eastAsia="zh-CN"/>
        </w:rPr>
      </w:pPr>
    </w:p>
    <w:p w14:paraId="4277322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6B3E4643">
      <w:pPr>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71135" cy="2867025"/>
            <wp:effectExtent l="0" t="0" r="1905" b="13335"/>
            <wp:docPr id="4" name="图片 4"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2"/>
                    <pic:cNvPicPr>
                      <a:picLocks noChangeAspect="1"/>
                    </pic:cNvPicPr>
                  </pic:nvPicPr>
                  <pic:blipFill>
                    <a:blip r:embed="rId6"/>
                    <a:stretch>
                      <a:fillRect/>
                    </a:stretch>
                  </pic:blipFill>
                  <pic:spPr>
                    <a:xfrm>
                      <a:off x="0" y="0"/>
                      <a:ext cx="5271135" cy="2867025"/>
                    </a:xfrm>
                    <a:prstGeom prst="rect">
                      <a:avLst/>
                    </a:prstGeom>
                  </pic:spPr>
                </pic:pic>
              </a:graphicData>
            </a:graphic>
          </wp:inline>
        </w:drawing>
      </w:r>
    </w:p>
    <w:p w14:paraId="6C5106FE">
      <w:pPr>
        <w:topLinePunct/>
        <w:spacing w:line="480" w:lineRule="auto"/>
        <w:rPr>
          <w:rFonts w:ascii="Times New Roman" w:hAnsi="Times New Roman" w:eastAsia="宋体"/>
          <w:bCs/>
          <w:sz w:val="24"/>
        </w:rPr>
      </w:pPr>
      <w:r>
        <w:rPr>
          <w:rFonts w:hint="eastAsia" w:ascii="Times New Roman" w:hAnsi="Times New Roman" w:cs="Times New Roman" w:eastAsiaTheme="minorEastAsia"/>
          <w:sz w:val="24"/>
          <w:szCs w:val="24"/>
          <w:lang w:eastAsia="zh-CN"/>
        </w:rPr>
        <w:t>Figure S</w:t>
      </w:r>
      <w:r>
        <w:rPr>
          <w:rFonts w:hint="eastAsia" w:ascii="Times New Roman" w:hAnsi="Times New Roman" w:cs="Times New Roman"/>
          <w:sz w:val="24"/>
          <w:szCs w:val="24"/>
          <w:lang w:val="en-US" w:eastAsia="zh-CN"/>
        </w:rPr>
        <w:t xml:space="preserve">3. Functional prediction analysis using STAMP(n=8 per group). </w:t>
      </w:r>
      <w:r>
        <w:rPr>
          <w:rFonts w:ascii="Times New Roman" w:hAnsi="Times New Roman" w:eastAsia="宋体"/>
          <w:bCs/>
          <w:sz w:val="24"/>
        </w:rPr>
        <w:t xml:space="preserve">CON, healthy control; DSS, dextran sulfate sodium-induced </w:t>
      </w:r>
      <w:r>
        <w:rPr>
          <w:rFonts w:hint="eastAsia" w:ascii="Times New Roman" w:hAnsi="Times New Roman" w:eastAsia="宋体"/>
          <w:bCs/>
          <w:sz w:val="24"/>
        </w:rPr>
        <w:t>UC</w:t>
      </w:r>
      <w:r>
        <w:rPr>
          <w:rFonts w:ascii="Times New Roman" w:hAnsi="Times New Roman" w:eastAsia="宋体"/>
          <w:bCs/>
          <w:sz w:val="24"/>
        </w:rPr>
        <w:t xml:space="preserve">; FN136+DSS, </w:t>
      </w:r>
      <w:r>
        <w:rPr>
          <w:rFonts w:ascii="Times New Roman" w:hAnsi="Times New Roman" w:eastAsia="宋体"/>
          <w:bCs/>
          <w:i/>
          <w:iCs/>
          <w:sz w:val="24"/>
        </w:rPr>
        <w:t>L. gasseri</w:t>
      </w:r>
      <w:r>
        <w:rPr>
          <w:rFonts w:ascii="Times New Roman" w:hAnsi="Times New Roman" w:eastAsia="宋体"/>
          <w:bCs/>
          <w:sz w:val="24"/>
        </w:rPr>
        <w:t xml:space="preserve"> FN136-treated DSS </w:t>
      </w:r>
      <w:r>
        <w:rPr>
          <w:rFonts w:hint="eastAsia" w:ascii="Times New Roman" w:hAnsi="Times New Roman" w:eastAsia="宋体"/>
          <w:bCs/>
          <w:sz w:val="24"/>
        </w:rPr>
        <w:t>UC</w:t>
      </w:r>
      <w:r>
        <w:rPr>
          <w:rFonts w:ascii="Times New Roman" w:hAnsi="Times New Roman" w:eastAsia="宋体"/>
          <w:bCs/>
          <w:sz w:val="24"/>
        </w:rPr>
        <w:t xml:space="preserve">; FN041+DSS, </w:t>
      </w:r>
      <w:r>
        <w:rPr>
          <w:rFonts w:ascii="Times New Roman" w:hAnsi="Times New Roman" w:eastAsia="宋体"/>
          <w:bCs/>
          <w:i/>
          <w:iCs/>
          <w:sz w:val="24"/>
        </w:rPr>
        <w:t>L. reuteri</w:t>
      </w:r>
      <w:r>
        <w:rPr>
          <w:rFonts w:ascii="Times New Roman" w:hAnsi="Times New Roman" w:eastAsia="宋体"/>
          <w:bCs/>
          <w:sz w:val="24"/>
        </w:rPr>
        <w:t xml:space="preserve"> FN041-treated DSS </w:t>
      </w:r>
      <w:r>
        <w:rPr>
          <w:rFonts w:hint="eastAsia" w:ascii="Times New Roman" w:hAnsi="Times New Roman" w:eastAsia="宋体"/>
          <w:bCs/>
          <w:sz w:val="24"/>
        </w:rPr>
        <w:t>UC</w:t>
      </w:r>
      <w:r>
        <w:rPr>
          <w:rFonts w:ascii="Times New Roman" w:hAnsi="Times New Roman" w:eastAsia="宋体"/>
          <w:bCs/>
          <w:sz w:val="24"/>
        </w:rPr>
        <w:t xml:space="preserve">; LGG+DSS, </w:t>
      </w:r>
      <w:r>
        <w:rPr>
          <w:rFonts w:ascii="Times New Roman" w:hAnsi="Times New Roman" w:eastAsia="宋体"/>
          <w:bCs/>
          <w:i/>
          <w:iCs/>
          <w:sz w:val="24"/>
        </w:rPr>
        <w:t>L. rhamnosus</w:t>
      </w:r>
      <w:r>
        <w:rPr>
          <w:rFonts w:ascii="Times New Roman" w:hAnsi="Times New Roman" w:eastAsia="宋体"/>
          <w:bCs/>
          <w:sz w:val="24"/>
        </w:rPr>
        <w:t xml:space="preserve"> GG-treated DSS </w:t>
      </w:r>
      <w:r>
        <w:rPr>
          <w:rFonts w:hint="eastAsia" w:ascii="Times New Roman" w:hAnsi="Times New Roman" w:eastAsia="宋体"/>
          <w:bCs/>
          <w:sz w:val="24"/>
        </w:rPr>
        <w:t>UC</w:t>
      </w:r>
      <w:r>
        <w:rPr>
          <w:rFonts w:ascii="Times New Roman" w:hAnsi="Times New Roman" w:eastAsia="宋体"/>
          <w:bCs/>
          <w:sz w:val="24"/>
        </w:rPr>
        <w:t>.</w:t>
      </w:r>
    </w:p>
    <w:p w14:paraId="2C56FB5B">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C63262B"/>
    <w:rsid w:val="1A0D279E"/>
    <w:rsid w:val="2AD62852"/>
    <w:rsid w:val="340C7523"/>
    <w:rsid w:val="3A6C1162"/>
    <w:rsid w:val="3F1E4982"/>
    <w:rsid w:val="461F5F7F"/>
    <w:rsid w:val="577E200A"/>
    <w:rsid w:val="726760BC"/>
    <w:rsid w:val="78881B5C"/>
    <w:rsid w:val="78E23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spacing w:beforeLines="0" w:afterLines="0"/>
      <w:jc w:val="left"/>
    </w:pPr>
    <w:rPr>
      <w:rFonts w:hint="default"/>
      <w:sz w:val="18"/>
      <w:szCs w:val="18"/>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281</Words>
  <Characters>1710</Characters>
  <Lines>0</Lines>
  <Paragraphs>0</Paragraphs>
  <TotalTime>3</TotalTime>
  <ScaleCrop>false</ScaleCrop>
  <LinksUpToDate>false</LinksUpToDate>
  <CharactersWithSpaces>1982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2025-08-01T09:46:00Z</dcterms:created>
  <dc:creator>小丸子</dc:creator>
  <cp:lastModifiedBy>小丸子</cp:lastModifiedBy>
  <dcterms:modified xsi:type="dcterms:W3CDTF">2025-09-03T09:32:06Z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51D567CDAAD54E0291767C208BE84F86_11</vt:lpwstr>
  </property>
  <property fmtid="{D5CDD505-2E9C-101B-9397-08002B2CF9AE}" pid="4" name="KSOTemplateDocerSaveRecord">
    <vt:lpwstr>eyJoZGlkIjoiZDQ4MGQyYzAwMmY1YWZkMGRmOTdiY2ZhODRhYWRkYjgiLCJ1c2VySWQiOiIxMjM1MzAxMDIxIn0=</vt:lpwstr>
  </property>
</Properties>
</file>