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34A" w:rsidRPr="00E62E28" w:rsidRDefault="00BA767A" w:rsidP="00C5534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Cs w:val="21"/>
        </w:rPr>
      </w:pPr>
      <w:r w:rsidRPr="00FF1A5B">
        <w:rPr>
          <w:rFonts w:hint="eastAsia"/>
          <w:b/>
        </w:rPr>
        <w:t xml:space="preserve">Table </w:t>
      </w:r>
      <w:r w:rsidR="00A13516">
        <w:rPr>
          <w:rFonts w:hint="eastAsia"/>
          <w:b/>
        </w:rPr>
        <w:t>S3</w:t>
      </w:r>
      <w:r w:rsidRPr="00FF1A5B">
        <w:rPr>
          <w:rFonts w:hint="eastAsia"/>
        </w:rPr>
        <w:t xml:space="preserve">. </w:t>
      </w:r>
      <w:r w:rsidR="00C5534A" w:rsidRPr="00E62E28">
        <w:rPr>
          <w:rFonts w:ascii="Times New Roman" w:hAnsi="Times New Roman" w:cs="Times New Roman"/>
          <w:kern w:val="0"/>
          <w:szCs w:val="21"/>
        </w:rPr>
        <w:t>E</w:t>
      </w:r>
      <w:r w:rsidR="00C5534A" w:rsidRPr="00E62E28">
        <w:rPr>
          <w:rFonts w:ascii="Times New Roman" w:hAnsi="Times New Roman" w:cs="Times New Roman" w:hint="eastAsia"/>
          <w:kern w:val="0"/>
          <w:szCs w:val="21"/>
        </w:rPr>
        <w:t xml:space="preserve">ndogenous </w:t>
      </w:r>
      <w:r w:rsidR="00C5534A" w:rsidRPr="00E62E28">
        <w:rPr>
          <w:rFonts w:ascii="Times New Roman" w:hAnsi="Times New Roman" w:cs="Times New Roman"/>
          <w:kern w:val="0"/>
          <w:szCs w:val="21"/>
        </w:rPr>
        <w:t>Linc-GmSTT1</w:t>
      </w:r>
      <w:r w:rsidR="00C5534A" w:rsidRPr="00E62E28">
        <w:rPr>
          <w:rFonts w:ascii="Times New Roman" w:hAnsi="Times New Roman" w:cs="Times New Roman" w:hint="eastAsia"/>
          <w:kern w:val="0"/>
          <w:szCs w:val="21"/>
        </w:rPr>
        <w:t xml:space="preserve"> target genes </w:t>
      </w:r>
      <w:r w:rsidR="00C5534A" w:rsidRPr="00E62E28">
        <w:rPr>
          <w:rFonts w:ascii="Times New Roman" w:hAnsi="Times New Roman" w:cs="Times New Roman"/>
          <w:kern w:val="0"/>
          <w:szCs w:val="21"/>
        </w:rPr>
        <w:t>involved</w:t>
      </w:r>
      <w:r w:rsidR="00C5534A" w:rsidRPr="00E62E28">
        <w:rPr>
          <w:rFonts w:ascii="Times New Roman" w:hAnsi="Times New Roman" w:cs="Times New Roman" w:hint="eastAsia"/>
          <w:kern w:val="0"/>
          <w:szCs w:val="21"/>
        </w:rPr>
        <w:t xml:space="preserve"> in </w:t>
      </w:r>
      <w:r w:rsidR="00C5534A" w:rsidRPr="00E62E28">
        <w:rPr>
          <w:rFonts w:ascii="Times New Roman" w:hAnsi="Times New Roman" w:cs="Times New Roman"/>
          <w:kern w:val="0"/>
          <w:szCs w:val="21"/>
        </w:rPr>
        <w:t xml:space="preserve">the </w:t>
      </w:r>
      <w:r w:rsidR="00C5534A" w:rsidRPr="00E62E28">
        <w:rPr>
          <w:rFonts w:ascii="Times New Roman" w:hAnsi="Times New Roman" w:cs="Times New Roman" w:hint="eastAsia"/>
          <w:kern w:val="0"/>
          <w:szCs w:val="21"/>
        </w:rPr>
        <w:t>transcription termination 3</w:t>
      </w:r>
      <w:r w:rsidR="00C5534A" w:rsidRPr="00E62E28">
        <w:rPr>
          <w:rFonts w:ascii="Times New Roman" w:hAnsi="Times New Roman" w:cs="Times New Roman"/>
          <w:kern w:val="0"/>
          <w:szCs w:val="21"/>
        </w:rPr>
        <w:t>′</w:t>
      </w:r>
      <w:r w:rsidR="00C5534A" w:rsidRPr="00E62E28">
        <w:rPr>
          <w:rFonts w:ascii="Times New Roman" w:hAnsi="Times New Roman" w:cs="Times New Roman" w:hint="eastAsia"/>
          <w:kern w:val="0"/>
          <w:szCs w:val="21"/>
        </w:rPr>
        <w:t>-end processing machinery</w:t>
      </w:r>
      <w:bookmarkStart w:id="0" w:name="_GoBack"/>
      <w:bookmarkEnd w:id="0"/>
      <w:r w:rsidR="00C5534A" w:rsidRPr="00E62E28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C5534A" w:rsidRPr="00E62E28">
        <w:rPr>
          <w:rFonts w:ascii="Times New Roman" w:hAnsi="Times New Roman" w:cs="Times New Roman"/>
          <w:kern w:val="0"/>
          <w:szCs w:val="21"/>
        </w:rPr>
        <w:t xml:space="preserve">as </w:t>
      </w:r>
      <w:r w:rsidR="00C5534A" w:rsidRPr="00E62E28">
        <w:rPr>
          <w:rFonts w:ascii="Times New Roman" w:hAnsi="Times New Roman" w:cs="Times New Roman" w:hint="eastAsia"/>
          <w:kern w:val="0"/>
          <w:szCs w:val="21"/>
        </w:rPr>
        <w:t xml:space="preserve">identified by </w:t>
      </w:r>
      <w:proofErr w:type="spellStart"/>
      <w:r w:rsidR="00C5534A" w:rsidRPr="00E62E28">
        <w:rPr>
          <w:rFonts w:ascii="Times New Roman" w:hAnsi="Times New Roman" w:cs="Times New Roman" w:hint="eastAsia"/>
          <w:kern w:val="0"/>
          <w:szCs w:val="21"/>
        </w:rPr>
        <w:t>ChIRP</w:t>
      </w:r>
      <w:proofErr w:type="spellEnd"/>
      <w:r w:rsidR="00C5534A" w:rsidRPr="00E62E28">
        <w:rPr>
          <w:rFonts w:ascii="Times New Roman" w:hAnsi="Times New Roman" w:cs="Times New Roman" w:hint="eastAsia"/>
          <w:kern w:val="0"/>
          <w:szCs w:val="21"/>
        </w:rPr>
        <w:t xml:space="preserve"> analysis</w:t>
      </w:r>
    </w:p>
    <w:p w:rsidR="00B76347" w:rsidRPr="0073559F" w:rsidRDefault="00BA767A">
      <w:r w:rsidRPr="00FF1A5B">
        <w:rPr>
          <w:rFonts w:ascii="Times New Roman" w:eastAsia="宋体" w:hAnsi="Times New Roman" w:cs="Times New Roman" w:hint="eastAsia"/>
        </w:rPr>
        <w:t xml:space="preserve">. </w:t>
      </w:r>
      <w:r w:rsidR="003F2BBD">
        <w:rPr>
          <w:rFonts w:hint="eastAsia"/>
        </w:rPr>
        <w:t xml:space="preserve"> </w:t>
      </w:r>
    </w:p>
    <w:tbl>
      <w:tblPr>
        <w:tblW w:w="13553" w:type="dxa"/>
        <w:tblInd w:w="93" w:type="dxa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667"/>
        <w:gridCol w:w="2636"/>
        <w:gridCol w:w="2285"/>
        <w:gridCol w:w="124"/>
        <w:gridCol w:w="1746"/>
        <w:gridCol w:w="1736"/>
        <w:gridCol w:w="2930"/>
        <w:gridCol w:w="1429"/>
      </w:tblGrid>
      <w:tr w:rsidR="0073559F" w:rsidTr="0073559F">
        <w:trPr>
          <w:trHeight w:val="270"/>
        </w:trPr>
        <w:tc>
          <w:tcPr>
            <w:tcW w:w="55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3559F" w:rsidRDefault="0073559F">
            <w:pPr>
              <w:widowControl/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Factors involved in </w:t>
            </w:r>
            <w:r>
              <w:rPr>
                <w:rFonts w:hint="eastAsia"/>
              </w:rPr>
              <w:t>3</w:t>
            </w:r>
            <w:r>
              <w:t>’</w:t>
            </w:r>
            <w:r>
              <w:rPr>
                <w:rFonts w:hint="eastAsia"/>
              </w:rPr>
              <w:t>-end processing machinery</w:t>
            </w:r>
          </w:p>
        </w:tc>
        <w:tc>
          <w:tcPr>
            <w:tcW w:w="1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3559F" w:rsidRPr="0073559F" w:rsidRDefault="007355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3559F" w:rsidRDefault="0073559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ntermolecular  Interaction</w:t>
            </w:r>
          </w:p>
        </w:tc>
      </w:tr>
      <w:tr w:rsidR="00B76347" w:rsidTr="0073559F">
        <w:trPr>
          <w:trHeight w:val="270"/>
        </w:trPr>
        <w:tc>
          <w:tcPr>
            <w:tcW w:w="6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2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Function annotation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Linc-GmSTR1-DNA Gene ID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Linc-GmSTR1-RNA Gene ID</w:t>
            </w:r>
          </w:p>
        </w:tc>
        <w:tc>
          <w:tcPr>
            <w:tcW w:w="2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escription 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PN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CPSF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Cleavage and polyadenylation specificity factor.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Ryan et al. 2004;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Glyma.03G206600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Glyma.03G206600</w:t>
            </w:r>
          </w:p>
        </w:tc>
        <w:tc>
          <w:tcPr>
            <w:tcW w:w="29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CPSF A subunit protein</w:t>
            </w:r>
          </w:p>
        </w:tc>
        <w:tc>
          <w:tcPr>
            <w:tcW w:w="14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Mandel et al. 2006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Glyma.09G153100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Glyma.09G153100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K14401|CPSF1, CFT1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I1L3K1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Marzluff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et al. 200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Glyma.20G240500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Glyma.20G240500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CPSF  A subunit protein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I1NJ61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Yang et al. 2009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Glyma.16G203900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K14401|CPSF1, CFT1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I1MQ84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Glyma.18G077300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K14398|CPSF6_7|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Glyma.08G329400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K14398|CPSF6_7|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Glyma.08G329500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K14398|CPSF6_7|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Glyma.09G066700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K14397|NUDT21, CPSF5, CFIM25|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Glyma.09G136900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K14402|CPSF2, CFT2|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K7LDR8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Glyma.10G291300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CPSF  A subunit protein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I1LFD7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Glyma.11G170700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K14402|CPSF2, CFT2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Glyma.12G168900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K14403|CPSF3, YSH1|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K7LVE4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Glyma.18G077400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K14398|CPSF6_7|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Glyma.19G204200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CPSF A subunit protein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A0A0R0F241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B76347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bottom w:val="dashSmallGap" w:sz="4" w:space="0" w:color="auto"/>
            </w:tcBorders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Glyma.20G157800</w:t>
            </w:r>
          </w:p>
        </w:tc>
        <w:tc>
          <w:tcPr>
            <w:tcW w:w="2930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K14397|NUDT21, CPSF5, CFIM25|</w:t>
            </w:r>
          </w:p>
        </w:tc>
        <w:tc>
          <w:tcPr>
            <w:tcW w:w="1429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C6SXT8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Clp1</w:t>
            </w:r>
          </w:p>
        </w:tc>
        <w:tc>
          <w:tcPr>
            <w:tcW w:w="2636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Interacts with the CFI and CPSF complexes; possesses an RNA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kidase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activity</w:t>
            </w:r>
          </w:p>
        </w:tc>
        <w:tc>
          <w:tcPr>
            <w:tcW w:w="2409" w:type="dxa"/>
            <w:gridSpan w:val="2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Devries et al. 2000</w:t>
            </w:r>
          </w:p>
        </w:tc>
        <w:tc>
          <w:tcPr>
            <w:tcW w:w="174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Glyma.20G242900</w:t>
            </w:r>
          </w:p>
        </w:tc>
        <w:tc>
          <w:tcPr>
            <w:tcW w:w="173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K14399|CLP1, HERB|</w:t>
            </w:r>
          </w:p>
        </w:tc>
        <w:tc>
          <w:tcPr>
            <w:tcW w:w="1429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</w:tcPr>
          <w:p w:rsidR="00B76347" w:rsidRDefault="00B76347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Wwitzer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and Martinez,2007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Glyma.10G292700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K14399|CLP1, HERB|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A0A368UHM1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bottom w:val="dashSmallGap" w:sz="4" w:space="0" w:color="auto"/>
            </w:tcBorders>
          </w:tcPr>
          <w:p w:rsidR="00B76347" w:rsidRDefault="00B76347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bottom w:val="dashSmallGap" w:sz="4" w:space="0" w:color="auto"/>
            </w:tcBorders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Glyma.20G242800</w:t>
            </w:r>
          </w:p>
        </w:tc>
        <w:tc>
          <w:tcPr>
            <w:tcW w:w="2930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K14399|CLP1, HERB|ko:K14399</w:t>
            </w:r>
          </w:p>
        </w:tc>
        <w:tc>
          <w:tcPr>
            <w:tcW w:w="1429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K7N5D9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</w:t>
            </w:r>
          </w:p>
        </w:tc>
        <w:tc>
          <w:tcPr>
            <w:tcW w:w="2636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C-terminal domain of the RNA polymerase II large subunit</w:t>
            </w:r>
          </w:p>
        </w:tc>
        <w:tc>
          <w:tcPr>
            <w:tcW w:w="2409" w:type="dxa"/>
            <w:gridSpan w:val="2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Glyma.07G148100</w:t>
            </w:r>
          </w:p>
        </w:tc>
        <w:tc>
          <w:tcPr>
            <w:tcW w:w="173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Glyma.07G148100</w:t>
            </w:r>
          </w:p>
        </w:tc>
        <w:tc>
          <w:tcPr>
            <w:tcW w:w="2930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2</w:t>
            </w:r>
          </w:p>
        </w:tc>
        <w:tc>
          <w:tcPr>
            <w:tcW w:w="1429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Glyma.18G199400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Glyma.18G199400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2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Glyma.02G203000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4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Glyma.07G194800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Glyma.13G181700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Glyma.13G241400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Glyma.15G072000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B76347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bottom w:val="dashSmallGap" w:sz="4" w:space="0" w:color="auto"/>
            </w:tcBorders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Glyma.18G282300</w:t>
            </w:r>
          </w:p>
        </w:tc>
        <w:tc>
          <w:tcPr>
            <w:tcW w:w="2930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CTD  phosphatase-like 3</w:t>
            </w:r>
          </w:p>
        </w:tc>
        <w:tc>
          <w:tcPr>
            <w:tcW w:w="1429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</w:t>
            </w:r>
          </w:p>
        </w:tc>
        <w:tc>
          <w:tcPr>
            <w:tcW w:w="2636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Cyclin-dependent kinase</w:t>
            </w:r>
          </w:p>
        </w:tc>
        <w:tc>
          <w:tcPr>
            <w:tcW w:w="2409" w:type="dxa"/>
            <w:gridSpan w:val="2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Komarnitsky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et al. 2000</w:t>
            </w:r>
          </w:p>
        </w:tc>
        <w:tc>
          <w:tcPr>
            <w:tcW w:w="174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Glyma.07G084300</w:t>
            </w:r>
          </w:p>
        </w:tc>
        <w:tc>
          <w:tcPr>
            <w:tcW w:w="173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Glyma.07G084300</w:t>
            </w:r>
          </w:p>
        </w:tc>
        <w:tc>
          <w:tcPr>
            <w:tcW w:w="2930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CDK-activating kinase 1AT</w:t>
            </w:r>
          </w:p>
        </w:tc>
        <w:tc>
          <w:tcPr>
            <w:tcW w:w="1429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Schroeder et al. 2000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Glyma.08G095400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Glyma.08G095400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 inhibitor P21 binding protein BCCIP homolog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Glyma.14G150700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 inhibitor P21 binding protein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Glyma.02G276000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K08819|CDK12_13|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Glyma.07G021100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K07760|CDK|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Glyma.07G100200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K02202|CDK7|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Glyma.08G002900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K02208|CDK8_11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Glyma.08G037300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CDK- F-1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Glyma.08G050900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K02202|CDK7|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Glyma.12G082300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CDK-subunit 2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Glyma.19G036900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CDK -related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B76347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bottom w:val="dashSmallGap" w:sz="4" w:space="0" w:color="auto"/>
            </w:tcBorders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Glyma.20G048000</w:t>
            </w:r>
          </w:p>
        </w:tc>
        <w:tc>
          <w:tcPr>
            <w:tcW w:w="2930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K08819|CDK12_13|</w:t>
            </w:r>
          </w:p>
        </w:tc>
        <w:tc>
          <w:tcPr>
            <w:tcW w:w="1429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I1NE25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PABP</w:t>
            </w:r>
          </w:p>
        </w:tc>
        <w:tc>
          <w:tcPr>
            <w:tcW w:w="2636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Poly(A)-binding protein protects the pre-mRNA from exonuclease degradation by binding the poly(A) tail and is required for correct and efficient poly(A) tail synthesis </w:t>
            </w:r>
          </w:p>
        </w:tc>
        <w:tc>
          <w:tcPr>
            <w:tcW w:w="2409" w:type="dxa"/>
            <w:gridSpan w:val="2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Minvielle-Sebastia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et al. 1997</w:t>
            </w:r>
          </w:p>
        </w:tc>
        <w:tc>
          <w:tcPr>
            <w:tcW w:w="174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Glyma.10G191400</w:t>
            </w:r>
          </w:p>
        </w:tc>
        <w:tc>
          <w:tcPr>
            <w:tcW w:w="173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K13126|PABPC</w:t>
            </w:r>
          </w:p>
        </w:tc>
        <w:tc>
          <w:tcPr>
            <w:tcW w:w="1429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I1LCG0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Glyma.13G327200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K14396|PABPN1, PABP2|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Glyma.02G103900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K13126|PABPC|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I1JE12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Glyma.03G188500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K13126|PABPC|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Glyma.06G041700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K13126|PABPC|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I1K813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Glyma.07G215300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K13126|PABPC|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I1KM25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shd w:val="clear" w:color="auto" w:fill="auto"/>
            <w:noWrap/>
          </w:tcPr>
          <w:p w:rsidR="00B76347" w:rsidRDefault="00B76347" w:rsidP="0073559F">
            <w:pPr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Glyma.14G084500</w:t>
            </w:r>
          </w:p>
        </w:tc>
        <w:tc>
          <w:tcPr>
            <w:tcW w:w="2930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K13126|PABPC|</w:t>
            </w: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I1M8P0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B76347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bottom w:val="dashSmallGap" w:sz="4" w:space="0" w:color="auto"/>
            </w:tcBorders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dashSmallGap" w:sz="4" w:space="0" w:color="auto"/>
            </w:tcBorders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Glyma.20G171200</w:t>
            </w:r>
          </w:p>
        </w:tc>
        <w:tc>
          <w:tcPr>
            <w:tcW w:w="2930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K13126|PABPC|</w:t>
            </w:r>
          </w:p>
        </w:tc>
        <w:tc>
          <w:tcPr>
            <w:tcW w:w="1429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I1NH63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CstF</w:t>
            </w:r>
            <w:proofErr w:type="spellEnd"/>
          </w:p>
        </w:tc>
        <w:tc>
          <w:tcPr>
            <w:tcW w:w="263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Cleavage stimulation factor</w:t>
            </w:r>
          </w:p>
        </w:tc>
        <w:tc>
          <w:tcPr>
            <w:tcW w:w="2409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Glyma.19G064500</w:t>
            </w:r>
          </w:p>
        </w:tc>
        <w:tc>
          <w:tcPr>
            <w:tcW w:w="293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K14408|CSTF3, RNA14 cleavage stimulation factor subunit 77</w:t>
            </w:r>
          </w:p>
        </w:tc>
        <w:tc>
          <w:tcPr>
            <w:tcW w:w="1429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Fip1</w:t>
            </w:r>
          </w:p>
        </w:tc>
        <w:tc>
          <w:tcPr>
            <w:tcW w:w="2636" w:type="dxa"/>
            <w:vMerge w:val="restart"/>
            <w:tcBorders>
              <w:top w:val="dashSmallGap" w:sz="4" w:space="0" w:color="auto"/>
            </w:tcBorders>
            <w:shd w:val="clear" w:color="auto" w:fill="auto"/>
            <w:noWrap/>
          </w:tcPr>
          <w:p w:rsidR="00B76347" w:rsidRPr="0073559F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Binds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CPSF-160 which directly recognizes AAUAAA</w:t>
            </w:r>
          </w:p>
        </w:tc>
        <w:tc>
          <w:tcPr>
            <w:tcW w:w="2409" w:type="dxa"/>
            <w:gridSpan w:val="2"/>
            <w:vMerge w:val="restart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Murthy and Manley 1995</w:t>
            </w:r>
          </w:p>
          <w:p w:rsidR="00B76347" w:rsidRDefault="003F2BBD" w:rsidP="0073559F">
            <w:pPr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Kaufmann et al. 2004</w:t>
            </w:r>
          </w:p>
        </w:tc>
        <w:tc>
          <w:tcPr>
            <w:tcW w:w="174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Glyma.09G097600</w:t>
            </w:r>
          </w:p>
        </w:tc>
        <w:tc>
          <w:tcPr>
            <w:tcW w:w="2930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homolog of  yeast  FIP1 [V]</w:t>
            </w:r>
          </w:p>
        </w:tc>
        <w:tc>
          <w:tcPr>
            <w:tcW w:w="1429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bottom w:val="dashSmallGap" w:sz="4" w:space="0" w:color="auto"/>
            </w:tcBorders>
          </w:tcPr>
          <w:p w:rsidR="00B76347" w:rsidRDefault="00B76347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bottom w:val="dashSmallGap" w:sz="4" w:space="0" w:color="auto"/>
            </w:tcBorders>
            <w:shd w:val="clear" w:color="auto" w:fill="auto"/>
            <w:noWrap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Glyma.15G205600</w:t>
            </w:r>
          </w:p>
        </w:tc>
        <w:tc>
          <w:tcPr>
            <w:tcW w:w="2930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homolog of  yeast  FIP1 [V]</w:t>
            </w:r>
          </w:p>
        </w:tc>
        <w:tc>
          <w:tcPr>
            <w:tcW w:w="1429" w:type="dxa"/>
            <w:tcBorders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K7MD15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Paf</w:t>
            </w:r>
            <w:proofErr w:type="spellEnd"/>
          </w:p>
        </w:tc>
        <w:tc>
          <w:tcPr>
            <w:tcW w:w="2636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Involved in mRNA 3’-end formation by interacting with CPSF,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CstF</w:t>
            </w:r>
            <w:proofErr w:type="spellEnd"/>
          </w:p>
        </w:tc>
        <w:tc>
          <w:tcPr>
            <w:tcW w:w="2409" w:type="dxa"/>
            <w:gridSpan w:val="2"/>
            <w:vMerge w:val="restart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Penbeither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et al. 2005</w:t>
            </w:r>
          </w:p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Rosonina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and Manley et al. 2005;</w:t>
            </w:r>
          </w:p>
          <w:p w:rsidR="00B76347" w:rsidRDefault="003F2BBD" w:rsidP="0073559F">
            <w:pPr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Nordick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et al. 2008</w:t>
            </w:r>
          </w:p>
        </w:tc>
        <w:tc>
          <w:tcPr>
            <w:tcW w:w="174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Glyma.04G080800</w:t>
            </w:r>
          </w:p>
        </w:tc>
        <w:tc>
          <w:tcPr>
            <w:tcW w:w="2930" w:type="dxa"/>
            <w:vMerge w:val="restart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RNA polymerase I-associated factor PAF67</w:t>
            </w:r>
          </w:p>
        </w:tc>
        <w:tc>
          <w:tcPr>
            <w:tcW w:w="1429" w:type="dxa"/>
            <w:tcBorders>
              <w:top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I1JUS7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B76347" w:rsidP="0073559F">
            <w:pPr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Glyma.06G082500</w:t>
            </w:r>
          </w:p>
        </w:tc>
        <w:tc>
          <w:tcPr>
            <w:tcW w:w="2930" w:type="dxa"/>
            <w:vMerge/>
            <w:tcBorders>
              <w:top w:val="dashSmallGap" w:sz="4" w:space="0" w:color="auto"/>
              <w:bottom w:val="nil"/>
            </w:tcBorders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I1K9A0</w:t>
            </w:r>
          </w:p>
        </w:tc>
      </w:tr>
      <w:tr w:rsidR="00B76347" w:rsidTr="0073559F">
        <w:trPr>
          <w:trHeight w:val="85"/>
        </w:trPr>
        <w:tc>
          <w:tcPr>
            <w:tcW w:w="667" w:type="dxa"/>
            <w:vMerge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vMerge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B76347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36" w:type="dxa"/>
            <w:tcBorders>
              <w:top w:val="nil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Glyma.19G247700</w:t>
            </w:r>
          </w:p>
        </w:tc>
        <w:tc>
          <w:tcPr>
            <w:tcW w:w="2930" w:type="dxa"/>
            <w:tcBorders>
              <w:top w:val="nil"/>
              <w:bottom w:val="dashSmallGap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K13345|PEX12, PAF3 peroxisome biogenesis protein 12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76347" w:rsidRDefault="003F2BBD" w:rsidP="0073559F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76347" w:rsidRDefault="00B76347"/>
    <w:p w:rsidR="00B76347" w:rsidRDefault="003F2BBD">
      <w:r>
        <w:rPr>
          <w:rFonts w:hint="eastAsia"/>
        </w:rPr>
        <w:t>N</w:t>
      </w:r>
      <w:r>
        <w:t>o</w:t>
      </w:r>
      <w:r>
        <w:rPr>
          <w:rFonts w:hint="eastAsia"/>
        </w:rPr>
        <w:t>te</w:t>
      </w:r>
      <w:r>
        <w:rPr>
          <w:rFonts w:hint="eastAsia"/>
        </w:rPr>
        <w:t>：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PN: Differential Expression Protein Name detected in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iTRACK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analysis. </w:t>
      </w:r>
    </w:p>
    <w:p w:rsidR="00B76347" w:rsidRDefault="00B76347"/>
    <w:p w:rsidR="00B76347" w:rsidRDefault="00B76347"/>
    <w:p w:rsidR="00B76347" w:rsidRDefault="00B76347"/>
    <w:p w:rsidR="00B76347" w:rsidRDefault="00B76347"/>
    <w:p w:rsidR="00B76347" w:rsidRDefault="00B76347"/>
    <w:p w:rsidR="00B76347" w:rsidRDefault="00B76347"/>
    <w:p w:rsidR="00B76347" w:rsidRDefault="00B76347"/>
    <w:sectPr w:rsidR="00B76347">
      <w:pgSz w:w="16839" w:h="11907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FD6" w:rsidRDefault="00100FD6" w:rsidP="00B41EF7">
      <w:r>
        <w:separator/>
      </w:r>
    </w:p>
  </w:endnote>
  <w:endnote w:type="continuationSeparator" w:id="0">
    <w:p w:rsidR="00100FD6" w:rsidRDefault="00100FD6" w:rsidP="00B41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FD6" w:rsidRDefault="00100FD6" w:rsidP="00B41EF7">
      <w:r>
        <w:separator/>
      </w:r>
    </w:p>
  </w:footnote>
  <w:footnote w:type="continuationSeparator" w:id="0">
    <w:p w:rsidR="00100FD6" w:rsidRDefault="00100FD6" w:rsidP="00B41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166"/>
    <w:rsid w:val="00013839"/>
    <w:rsid w:val="00053762"/>
    <w:rsid w:val="000762CB"/>
    <w:rsid w:val="000B14FC"/>
    <w:rsid w:val="00100FD6"/>
    <w:rsid w:val="0011529E"/>
    <w:rsid w:val="001414EA"/>
    <w:rsid w:val="001642D1"/>
    <w:rsid w:val="001A38C8"/>
    <w:rsid w:val="001A47DF"/>
    <w:rsid w:val="001E1373"/>
    <w:rsid w:val="002A090E"/>
    <w:rsid w:val="002A4652"/>
    <w:rsid w:val="002D1690"/>
    <w:rsid w:val="002F260F"/>
    <w:rsid w:val="003448C5"/>
    <w:rsid w:val="00350167"/>
    <w:rsid w:val="00385497"/>
    <w:rsid w:val="003F2BBD"/>
    <w:rsid w:val="004225E7"/>
    <w:rsid w:val="00461FE3"/>
    <w:rsid w:val="004E4AB8"/>
    <w:rsid w:val="00522979"/>
    <w:rsid w:val="00524EC9"/>
    <w:rsid w:val="00556700"/>
    <w:rsid w:val="005A008F"/>
    <w:rsid w:val="005B3166"/>
    <w:rsid w:val="006141E0"/>
    <w:rsid w:val="00624DC6"/>
    <w:rsid w:val="006553D3"/>
    <w:rsid w:val="00690E8D"/>
    <w:rsid w:val="006A0209"/>
    <w:rsid w:val="007066BE"/>
    <w:rsid w:val="007170ED"/>
    <w:rsid w:val="0073559F"/>
    <w:rsid w:val="00823544"/>
    <w:rsid w:val="00830587"/>
    <w:rsid w:val="00831698"/>
    <w:rsid w:val="00885FBE"/>
    <w:rsid w:val="008B1B5A"/>
    <w:rsid w:val="008D032A"/>
    <w:rsid w:val="00992E78"/>
    <w:rsid w:val="00A13516"/>
    <w:rsid w:val="00A44B91"/>
    <w:rsid w:val="00A537D4"/>
    <w:rsid w:val="00A61B05"/>
    <w:rsid w:val="00A84047"/>
    <w:rsid w:val="00AF7588"/>
    <w:rsid w:val="00B3444D"/>
    <w:rsid w:val="00B41EF7"/>
    <w:rsid w:val="00B76347"/>
    <w:rsid w:val="00B8600E"/>
    <w:rsid w:val="00BA459C"/>
    <w:rsid w:val="00BA767A"/>
    <w:rsid w:val="00C03635"/>
    <w:rsid w:val="00C27E78"/>
    <w:rsid w:val="00C4541C"/>
    <w:rsid w:val="00C5534A"/>
    <w:rsid w:val="00C97E2A"/>
    <w:rsid w:val="00CE4200"/>
    <w:rsid w:val="00D303B6"/>
    <w:rsid w:val="00D42425"/>
    <w:rsid w:val="00D85253"/>
    <w:rsid w:val="00DC4354"/>
    <w:rsid w:val="00E0152E"/>
    <w:rsid w:val="00E112DC"/>
    <w:rsid w:val="00E657A3"/>
    <w:rsid w:val="00F2422C"/>
    <w:rsid w:val="00F65025"/>
    <w:rsid w:val="00F8639B"/>
    <w:rsid w:val="00FE572D"/>
    <w:rsid w:val="20FC18D3"/>
    <w:rsid w:val="610669A9"/>
    <w:rsid w:val="61B41AFC"/>
    <w:rsid w:val="64FD3107"/>
    <w:rsid w:val="684954E9"/>
    <w:rsid w:val="6885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2</Pages>
  <Words>579</Words>
  <Characters>3304</Characters>
  <Application>Microsoft Office Word</Application>
  <DocSecurity>0</DocSecurity>
  <Lines>27</Lines>
  <Paragraphs>7</Paragraphs>
  <ScaleCrop>false</ScaleCrop>
  <Company>Microsoft</Company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45</cp:revision>
  <cp:lastPrinted>2020-07-18T11:51:00Z</cp:lastPrinted>
  <dcterms:created xsi:type="dcterms:W3CDTF">2020-05-30T01:38:00Z</dcterms:created>
  <dcterms:modified xsi:type="dcterms:W3CDTF">2020-08-24T02:35:00Z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