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71D0AE" w14:textId="5316911B" w:rsidR="00D43225" w:rsidRDefault="002A0637" w:rsidP="00D43225">
      <w:pPr>
        <w:jc w:val="center"/>
        <w:rPr>
          <w:b/>
          <w:bCs/>
          <w:sz w:val="28"/>
          <w:szCs w:val="24"/>
        </w:rPr>
      </w:pPr>
      <w:r w:rsidRPr="00DF11B8">
        <w:rPr>
          <w:b/>
          <w:bCs/>
          <w:sz w:val="28"/>
          <w:szCs w:val="24"/>
        </w:rPr>
        <w:t>Supplement</w:t>
      </w:r>
      <w:r w:rsidR="00D43225">
        <w:rPr>
          <w:b/>
          <w:bCs/>
          <w:sz w:val="28"/>
          <w:szCs w:val="24"/>
        </w:rPr>
        <w:t>ary Information for</w:t>
      </w:r>
    </w:p>
    <w:p w14:paraId="09F71A5B" w14:textId="77777777" w:rsidR="00D43225" w:rsidRDefault="00D43225" w:rsidP="00D43225">
      <w:pPr>
        <w:jc w:val="center"/>
        <w:rPr>
          <w:b/>
          <w:bCs/>
          <w:sz w:val="28"/>
          <w:szCs w:val="24"/>
        </w:rPr>
      </w:pPr>
    </w:p>
    <w:p w14:paraId="285EF9A2" w14:textId="77777777" w:rsidR="007C0EDF" w:rsidRPr="000E6DD2" w:rsidRDefault="007C0EDF" w:rsidP="007C0EDF">
      <w:pPr>
        <w:rPr>
          <w:b/>
          <w:bCs/>
          <w:szCs w:val="24"/>
        </w:rPr>
      </w:pPr>
      <w:r w:rsidRPr="000E6DD2">
        <w:rPr>
          <w:b/>
          <w:bCs/>
          <w:sz w:val="28"/>
          <w:szCs w:val="28"/>
        </w:rPr>
        <w:t xml:space="preserve">The volcanic history of the late Pleistocene </w:t>
      </w:r>
      <w:proofErr w:type="spellStart"/>
      <w:r w:rsidRPr="000E6DD2">
        <w:rPr>
          <w:b/>
          <w:bCs/>
          <w:sz w:val="28"/>
          <w:szCs w:val="28"/>
        </w:rPr>
        <w:t>Shamao</w:t>
      </w:r>
      <w:proofErr w:type="spellEnd"/>
      <w:r w:rsidRPr="000E6DD2">
        <w:rPr>
          <w:b/>
          <w:bCs/>
          <w:sz w:val="28"/>
          <w:szCs w:val="28"/>
        </w:rPr>
        <w:t xml:space="preserve"> complex, Tatun Volcano Group, northern Taiwan.</w:t>
      </w:r>
    </w:p>
    <w:p w14:paraId="5E9B953D" w14:textId="77777777" w:rsidR="007C0EDF" w:rsidRPr="00336EA0" w:rsidRDefault="007C0EDF" w:rsidP="007C0EDF">
      <w:pPr>
        <w:rPr>
          <w:sz w:val="20"/>
          <w:szCs w:val="20"/>
        </w:rPr>
      </w:pPr>
    </w:p>
    <w:p w14:paraId="11B939C0" w14:textId="77777777" w:rsidR="007C0EDF" w:rsidRDefault="007C0EDF" w:rsidP="007C0EDF">
      <w:pPr>
        <w:rPr>
          <w:szCs w:val="24"/>
          <w:vertAlign w:val="superscript"/>
        </w:rPr>
      </w:pPr>
      <w:r w:rsidRPr="000E6DD2">
        <w:rPr>
          <w:szCs w:val="24"/>
        </w:rPr>
        <w:t>Huai-Yu Tang</w:t>
      </w:r>
      <w:r w:rsidRPr="000E6DD2">
        <w:rPr>
          <w:szCs w:val="24"/>
          <w:vertAlign w:val="superscript"/>
        </w:rPr>
        <w:t>1</w:t>
      </w:r>
      <w:r w:rsidRPr="000E6DD2">
        <w:rPr>
          <w:szCs w:val="24"/>
        </w:rPr>
        <w:t>, Kerry Sieh</w:t>
      </w:r>
      <w:r w:rsidRPr="000E6DD2">
        <w:rPr>
          <w:szCs w:val="24"/>
          <w:vertAlign w:val="superscript"/>
        </w:rPr>
        <w:t>1,2*</w:t>
      </w:r>
      <w:r w:rsidRPr="000E6DD2">
        <w:rPr>
          <w:szCs w:val="24"/>
        </w:rPr>
        <w:t>, Yu-Ming Lai</w:t>
      </w:r>
      <w:r w:rsidRPr="000E6DD2">
        <w:rPr>
          <w:szCs w:val="24"/>
          <w:vertAlign w:val="superscript"/>
        </w:rPr>
        <w:t>3</w:t>
      </w:r>
      <w:r w:rsidRPr="000E6DD2">
        <w:rPr>
          <w:szCs w:val="24"/>
        </w:rPr>
        <w:t>, Brian Jicha</w:t>
      </w:r>
      <w:r w:rsidRPr="000E6DD2">
        <w:rPr>
          <w:szCs w:val="24"/>
          <w:vertAlign w:val="superscript"/>
        </w:rPr>
        <w:t>4</w:t>
      </w:r>
      <w:r w:rsidRPr="000E6DD2">
        <w:rPr>
          <w:rFonts w:hint="eastAsia"/>
          <w:szCs w:val="24"/>
        </w:rPr>
        <w:t>,</w:t>
      </w:r>
      <w:r>
        <w:rPr>
          <w:szCs w:val="24"/>
          <w:vertAlign w:val="superscript"/>
        </w:rPr>
        <w:t xml:space="preserve"> </w:t>
      </w:r>
      <w:r>
        <w:rPr>
          <w:szCs w:val="24"/>
        </w:rPr>
        <w:t>Kwan-Nang Pang,</w:t>
      </w:r>
      <w:r w:rsidRPr="00FF4929">
        <w:rPr>
          <w:szCs w:val="24"/>
          <w:vertAlign w:val="superscript"/>
        </w:rPr>
        <w:t>1,2</w:t>
      </w:r>
      <w:r>
        <w:rPr>
          <w:szCs w:val="24"/>
        </w:rPr>
        <w:t xml:space="preserve"> </w:t>
      </w:r>
    </w:p>
    <w:p w14:paraId="09E94682" w14:textId="77777777" w:rsidR="007C0EDF" w:rsidRPr="000E6DD2" w:rsidRDefault="007C0EDF" w:rsidP="007C0EDF">
      <w:pPr>
        <w:rPr>
          <w:szCs w:val="24"/>
        </w:rPr>
      </w:pPr>
    </w:p>
    <w:p w14:paraId="55428ED7" w14:textId="77777777" w:rsidR="007C0EDF" w:rsidRPr="000E6DD2" w:rsidRDefault="007C0EDF" w:rsidP="007C0EDF">
      <w:pPr>
        <w:rPr>
          <w:sz w:val="21"/>
          <w:szCs w:val="21"/>
        </w:rPr>
      </w:pPr>
      <w:r w:rsidRPr="000E6DD2">
        <w:rPr>
          <w:sz w:val="21"/>
          <w:szCs w:val="21"/>
        </w:rPr>
        <w:t>(1) Department of Geosciences, National Taiwan University, Taipei, Taiwan</w:t>
      </w:r>
    </w:p>
    <w:p w14:paraId="756EAEFC" w14:textId="77777777" w:rsidR="007C0EDF" w:rsidRPr="000E6DD2" w:rsidRDefault="007C0EDF" w:rsidP="007C0EDF">
      <w:pPr>
        <w:rPr>
          <w:sz w:val="21"/>
          <w:szCs w:val="21"/>
        </w:rPr>
      </w:pPr>
      <w:r w:rsidRPr="000E6DD2">
        <w:rPr>
          <w:sz w:val="21"/>
          <w:szCs w:val="21"/>
        </w:rPr>
        <w:t>(2) Institute of Earth Sciences, Academia Sinica, Taipei, Taiwan</w:t>
      </w:r>
    </w:p>
    <w:p w14:paraId="323BF46E" w14:textId="77777777" w:rsidR="007C0EDF" w:rsidRPr="000E6DD2" w:rsidRDefault="007C0EDF" w:rsidP="007C0EDF">
      <w:pPr>
        <w:rPr>
          <w:sz w:val="21"/>
          <w:szCs w:val="21"/>
        </w:rPr>
      </w:pPr>
      <w:r w:rsidRPr="000E6DD2">
        <w:rPr>
          <w:sz w:val="21"/>
          <w:szCs w:val="21"/>
        </w:rPr>
        <w:t>(3) Department of Earth Sciences, National Taiwan Normal University, Taipei, Taiwan</w:t>
      </w:r>
    </w:p>
    <w:p w14:paraId="411CF59B" w14:textId="77777777" w:rsidR="007C0EDF" w:rsidRPr="000E6DD2" w:rsidRDefault="007C0EDF" w:rsidP="007C0EDF">
      <w:pPr>
        <w:rPr>
          <w:sz w:val="21"/>
          <w:szCs w:val="21"/>
        </w:rPr>
      </w:pPr>
      <w:r w:rsidRPr="000E6DD2">
        <w:rPr>
          <w:sz w:val="21"/>
          <w:szCs w:val="21"/>
        </w:rPr>
        <w:t>(4) Department of Geoscience, University of Wisconsin-Madison, Madison, Wisconsin, USA</w:t>
      </w:r>
    </w:p>
    <w:p w14:paraId="0F070664" w14:textId="77777777" w:rsidR="007C0EDF" w:rsidRDefault="007C0EDF" w:rsidP="007C0EDF">
      <w:pPr>
        <w:rPr>
          <w:sz w:val="20"/>
          <w:szCs w:val="20"/>
        </w:rPr>
      </w:pPr>
    </w:p>
    <w:p w14:paraId="062BB941" w14:textId="2CBB9643" w:rsidR="007C0EDF" w:rsidRPr="00E91603" w:rsidRDefault="007C0EDF" w:rsidP="00E91603">
      <w:pPr>
        <w:spacing w:line="360" w:lineRule="auto"/>
        <w:rPr>
          <w:rStyle w:val="Hyperlink"/>
          <w:color w:val="auto"/>
          <w:szCs w:val="24"/>
          <w:u w:val="none"/>
        </w:rPr>
      </w:pPr>
      <w:r w:rsidRPr="000E6DD2">
        <w:rPr>
          <w:szCs w:val="24"/>
        </w:rPr>
        <w:t xml:space="preserve">*corresponding author: </w:t>
      </w:r>
      <w:r>
        <w:t>kayc1960@gmail.com</w:t>
      </w:r>
    </w:p>
    <w:p w14:paraId="6DBA9E9A" w14:textId="77777777" w:rsidR="007C0EDF" w:rsidRDefault="007C0EDF" w:rsidP="007C0EDF">
      <w:pPr>
        <w:jc w:val="center"/>
        <w:rPr>
          <w:b/>
          <w:bCs/>
          <w:sz w:val="28"/>
          <w:szCs w:val="28"/>
        </w:rPr>
      </w:pPr>
    </w:p>
    <w:p w14:paraId="683BC569" w14:textId="7371BF09" w:rsidR="007C0EDF" w:rsidRPr="000E6DD2" w:rsidRDefault="007C0EDF" w:rsidP="007C0EDF">
      <w:pPr>
        <w:jc w:val="center"/>
        <w:rPr>
          <w:b/>
          <w:bCs/>
          <w:szCs w:val="24"/>
        </w:rPr>
      </w:pPr>
      <w:r>
        <w:rPr>
          <w:b/>
          <w:bCs/>
          <w:sz w:val="28"/>
          <w:szCs w:val="28"/>
        </w:rPr>
        <w:t>Bulletin of Volcanology</w:t>
      </w:r>
    </w:p>
    <w:p w14:paraId="48F83244" w14:textId="77777777" w:rsidR="00D43225" w:rsidRPr="00336EA0" w:rsidRDefault="00D43225" w:rsidP="00D43225">
      <w:pPr>
        <w:rPr>
          <w:sz w:val="20"/>
          <w:szCs w:val="20"/>
        </w:rPr>
      </w:pPr>
    </w:p>
    <w:p w14:paraId="5E7C2B67" w14:textId="77777777" w:rsidR="002A0637" w:rsidRDefault="002A0637" w:rsidP="002A0637">
      <w:pPr>
        <w:contextualSpacing/>
        <w:rPr>
          <w:b/>
          <w:bCs/>
          <w:sz w:val="28"/>
          <w:szCs w:val="24"/>
        </w:rPr>
      </w:pPr>
    </w:p>
    <w:p w14:paraId="5C99F046" w14:textId="001B1B2D" w:rsidR="002A0637" w:rsidRPr="00102ACD" w:rsidRDefault="002A0637" w:rsidP="00C86ED2">
      <w:pPr>
        <w:spacing w:line="360" w:lineRule="auto"/>
        <w:contextualSpacing/>
        <w:rPr>
          <w:b/>
          <w:bCs/>
          <w:szCs w:val="24"/>
        </w:rPr>
      </w:pPr>
      <w:r w:rsidRPr="00102ACD">
        <w:rPr>
          <w:b/>
          <w:bCs/>
          <w:szCs w:val="24"/>
        </w:rPr>
        <w:t>Field Observations and Sampling</w:t>
      </w:r>
    </w:p>
    <w:p w14:paraId="18A38FD0" w14:textId="77777777" w:rsidR="002A0637" w:rsidRDefault="002A0637" w:rsidP="002A0637">
      <w:pPr>
        <w:pStyle w:val="ListParagraph"/>
        <w:spacing w:line="360" w:lineRule="auto"/>
        <w:ind w:left="0" w:firstLineChars="200" w:firstLine="480"/>
        <w:jc w:val="both"/>
        <w:rPr>
          <w:szCs w:val="24"/>
        </w:rPr>
      </w:pPr>
      <w:r w:rsidRPr="000F0609">
        <w:rPr>
          <w:rFonts w:hint="eastAsia"/>
          <w:szCs w:val="24"/>
        </w:rPr>
        <w:t>F</w:t>
      </w:r>
      <w:r w:rsidRPr="000F0609">
        <w:rPr>
          <w:szCs w:val="24"/>
        </w:rPr>
        <w:t>ield observations of this study focused on the following characteristics: (1) Relationships with surrounding rocks, flow (bed) form, and thickness. (2) Special attention was given to structures associated with a cooling and emplacement process in the case of lava flow outcrops, such as joints, vesicles, chilling, and chilled margins. (3) Volcanic clastic</w:t>
      </w:r>
      <w:r w:rsidRPr="000F0609">
        <w:rPr>
          <w:rFonts w:hint="eastAsia"/>
          <w:szCs w:val="24"/>
        </w:rPr>
        <w:t xml:space="preserve"> </w:t>
      </w:r>
      <w:r w:rsidRPr="000F0609">
        <w:rPr>
          <w:szCs w:val="24"/>
        </w:rPr>
        <w:t>composition, grain size, roundness, sphericity, and sorting as sedimentary structure characteristics</w:t>
      </w:r>
      <w:r>
        <w:rPr>
          <w:szCs w:val="24"/>
        </w:rPr>
        <w:t xml:space="preserve"> </w:t>
      </w:r>
      <w:r>
        <w:fldChar w:fldCharType="begin"/>
      </w:r>
      <w:r>
        <w:instrText xml:space="preserve"> ADDIN ZOTERO_ITEM CSL_CITATION {"citationID":"meutV0iQ","properties":{"formattedCitation":"(Fisher 1979; Fisher and Schmincke 1984; Cas and Wright 1987; Branney and Kokelaar 2002; Vallance and Iverson 2015)","plainCitation":"(Fisher 1979; Fisher and Schmincke 1984; Cas and Wright 1987; Branney and Kokelaar 2002; Vallance and Iverson 2015)","noteIndex":0},"citationItems":[{"id":405,"uris":["http://zotero.org/users/14671412/items/4VD5E6G2"],"itemData":{"id":405,"type":"book","event-place":"Berlin, Heidelberg","ISBN":"978-3-540-51341-4","language":"en","license":"http://www.springer.com/tdm","note":"DOI: 10.1007/978-3-642-74864-6","publisher":"Springer","publisher-place":"Berlin, Heidelberg","source":"DOI.org (Crossref)","title":"Pyroclastic Rocks","URL":"http://link.springer.com/10.1007/978-3-642-74864-6","author":[{"family":"Fisher","given":"Richard V."},{"family":"Schmincke","given":"Hans-Ulrich"}],"accessed":{"date-parts":[["2025",4,14]]},"issued":{"date-parts":[["1984"]]}}},{"id":235,"uris":["http://zotero.org/users/14671412/items/B3XF4IEQ"],"itemData":{"id":235,"type":"article-journal","abstract":"Pyroclastic surges are low-concentration turbulent flows that form in at least three ways: (1) eruption column collapse (ground surge, base surge), (2) elutriation from the top of a moving pyroclastic flow (ash cloud), and (3) directly from a crater without an accompanying vertical eruption column.</w:instrText>
      </w:r>
      <w:r>
        <w:rPr>
          <w:rFonts w:ascii="Cambria Math" w:hAnsi="Cambria Math" w:cs="Cambria Math"/>
        </w:rPr>
        <w:instrText>∗∗</w:instrText>
      </w:r>
      <w:r>
        <w:instrText xml:space="preserve">Note added in proof: During the April 17, 1979, eruption of Soufriere, St. Vincent, nuées ardentes were observed to form simultaneously with (and without collapse of) a strong vertical eruption column that attained an altitude of about 20,000 m (Richard Fiske, personal communication). Ground surge deposits occur at the base and ash cloud deposits occur at the top of pyroclastic flow sequences. Ground surges and ash clouds may move independently of their associated pyroclastic flow, and, like flows directly from a crater, their deposits may occur alone or within any part of pyroclastic flow sequence. The presence or absence of surge layers, their position with respect to pyroclastic flow deposits and their physical characteristics have significance with respect to the characteristics or eruption columns and flowage mechanisms of pyroclastic flows.","container-title":"Journal of Volcanology and Geothermal Research","DOI":"10.1016/0377-0273(79)90008-8","ISSN":"0377-0273","issue":"3","journalAbbreviation":"Journal of Volcanology and Geothermal Research","page":"305-318","source":"ScienceDirect","title":"Models for pyroclastic surges and pyroclastic flows","volume":"6","author":[{"family":"Fisher","given":"Richard V."}],"issued":{"date-parts":[["1979",11,1]]}}},{"id":313,"uris":["http://zotero.org/users/14671412/items/6MHYQABT"],"itemData":{"id":313,"type":"book","event-place":"Dordrecht","ISBN":"978-0-412-44640-5","language":"en","license":"http://www.springer.com/tdm","note":"DOI: 10.1007/978-94-009-3167-1","publisher":"Springer Netherlands","publisher-place":"Dordrecht","source":"DOI.org (Crossref)","title":"Volcanic Successions Modern and Ancient","URL":"http://link.springer.com/10.1007/978-94-009-3167-1","author":[{"family":"Cas","given":"R. A. F."},{"family":"Wright","given":"J. V."}],"accessed":{"date-parts":[["2024",11,25]]},"issued":{"date-parts":[["1987"]]}}},{"id":307,"uris":["http://zotero.org/users/14671412/items/3Z5IT4IU"],"itemData":{"id":307,"type":"chapter","abstract":"Lahars occur during volcanic eruptions—or, less predictably, through other processes on steep volcanic terrain—when large masses of water mixed with sediment sweep down and off volcano slopes and commonly incorporate additional sediment and water. Because lahars are water-saturated, both liquid and solid interactions influence their behavior and distinguish them from other related phenomena common to volcanoes, such as debris avalanches and floods. The rock fragments carried by lahars make them especially destructive; the abundant liquid contained in them allows them to flow over gentle gradients and inundate areas far away from their sources. People in such distal areas commonly neither expect the danger nor anticipate the destructive power of lahars.","container-title":"The Encyclopedia of Volcanoes (Second Edition)","event-place":"Amsterdam","ISBN":"978-0-12-385938-9","note":"DOI: 10.1016/B978-0-12-385938-9.00037-7","page":"649-664","publisher":"Academic Press","publisher-place":"Amsterdam","source":"ScienceDirect","title":"Chapter 37 - Lahars and Their Deposits","URL":"https://www.sciencedirect.com/science/article/pii/B9780123859389000377","author":[{"family":"Vallance","given":"James W."},{"family":"Iverson","given":"Richard M."}],"editor":[{"family":"Sigurdsson","given":"Haraldur"}],"accessed":{"date-parts":[["2024",11,14]]},"issued":{"date-parts":[["2015",1,1]]}}},{"id":241,"uris":["http://zotero.org/users/14671412/items/ZMLR6B8M"],"itemData":{"id":241,"type":"article-journal","container-title":"Geol. Soc. London Mem.","DOI":"10.1144/GSL.MEM.2002.027.01.01","journalAbbreviation":"Geol. Soc. London Mem.","source":"ResearchGate","title":"Pyroclastic Density Currents and the Sedimentation of Ignimbrites","volume":"27","author":[{"family":"Branney","given":"M."},{"family":"Kokelaar","given":"Peter"}],"issued":{"date-parts":[["2002"]]}}}],"schema":"https://github.com/citation-style-language/schema/raw/master/csl-citation.json"} </w:instrText>
      </w:r>
      <w:r>
        <w:fldChar w:fldCharType="separate"/>
      </w:r>
      <w:r w:rsidRPr="00A23881">
        <w:t>(Fisher 1979; Fisher and Schmincke 1984; Cas and Wright 1987; Branney and Kokelaar 2002; Vallance and Iverson 2015)</w:t>
      </w:r>
      <w:r>
        <w:fldChar w:fldCharType="end"/>
      </w:r>
      <w:r w:rsidRPr="000F0609">
        <w:rPr>
          <w:szCs w:val="24"/>
        </w:rPr>
        <w:t>.</w:t>
      </w:r>
      <w:r>
        <w:rPr>
          <w:szCs w:val="24"/>
        </w:rPr>
        <w:t xml:space="preserve"> </w:t>
      </w:r>
    </w:p>
    <w:p w14:paraId="55D0E4FE" w14:textId="77777777" w:rsidR="002A0637" w:rsidRDefault="002A0637" w:rsidP="002A0637">
      <w:pPr>
        <w:pStyle w:val="ListParagraph"/>
        <w:spacing w:line="360" w:lineRule="auto"/>
        <w:ind w:left="0" w:firstLineChars="200" w:firstLine="480"/>
        <w:jc w:val="both"/>
        <w:rPr>
          <w:szCs w:val="24"/>
        </w:rPr>
      </w:pPr>
      <w:r w:rsidRPr="00C431A5">
        <w:rPr>
          <w:szCs w:val="24"/>
        </w:rPr>
        <w:t xml:space="preserve">The samples used in this study were collected during three different sampling </w:t>
      </w:r>
      <w:r>
        <w:rPr>
          <w:szCs w:val="24"/>
        </w:rPr>
        <w:t>trips</w:t>
      </w:r>
      <w:r w:rsidRPr="00C431A5">
        <w:rPr>
          <w:szCs w:val="24"/>
        </w:rPr>
        <w:t xml:space="preserve"> that took place between April 2022 and January 2024. In total, 11 samples were analyzed. </w:t>
      </w:r>
      <w:r>
        <w:rPr>
          <w:szCs w:val="24"/>
        </w:rPr>
        <w:t>S</w:t>
      </w:r>
      <w:r w:rsidRPr="00C431A5">
        <w:rPr>
          <w:szCs w:val="24"/>
        </w:rPr>
        <w:t>ample</w:t>
      </w:r>
      <w:r>
        <w:rPr>
          <w:szCs w:val="24"/>
        </w:rPr>
        <w:t xml:space="preserve"> pair</w:t>
      </w:r>
      <w:r w:rsidRPr="00C431A5">
        <w:rPr>
          <w:szCs w:val="24"/>
        </w:rPr>
        <w:t>s SHM24-A and SM-S1-S1, SHM24-B and SM-S2-S3, as well as SHM24-D and SM-S3-S1 were obtained from the same outcrop. Detailed locations are provided in Table S1.</w:t>
      </w:r>
    </w:p>
    <w:p w14:paraId="49EDDA96" w14:textId="77777777" w:rsidR="002A0637" w:rsidRDefault="002A0637" w:rsidP="002A0637">
      <w:pPr>
        <w:pStyle w:val="ListParagraph"/>
        <w:spacing w:line="360" w:lineRule="auto"/>
        <w:ind w:left="0" w:firstLineChars="200" w:firstLine="480"/>
        <w:jc w:val="both"/>
        <w:rPr>
          <w:szCs w:val="24"/>
        </w:rPr>
      </w:pPr>
    </w:p>
    <w:p w14:paraId="44E77F10" w14:textId="5F24885D" w:rsidR="002A0637" w:rsidRDefault="002A0637" w:rsidP="002A0637">
      <w:pPr>
        <w:jc w:val="both"/>
        <w:rPr>
          <w:rFonts w:eastAsiaTheme="minorEastAsia"/>
          <w:szCs w:val="24"/>
        </w:rPr>
      </w:pPr>
      <w:r w:rsidRPr="00613FDF">
        <w:rPr>
          <w:rFonts w:eastAsiaTheme="minorEastAsia"/>
          <w:szCs w:val="24"/>
        </w:rPr>
        <w:t>Table S1.</w:t>
      </w:r>
      <w:r>
        <w:rPr>
          <w:rFonts w:eastAsiaTheme="minorEastAsia"/>
          <w:szCs w:val="24"/>
        </w:rPr>
        <w:t xml:space="preserve"> </w:t>
      </w:r>
      <w:r w:rsidRPr="00D4660A">
        <w:rPr>
          <w:rFonts w:eastAsiaTheme="minorEastAsia"/>
          <w:szCs w:val="24"/>
        </w:rPr>
        <w:t>Table of sample and core locations.</w:t>
      </w:r>
      <w:r>
        <w:rPr>
          <w:rFonts w:eastAsiaTheme="minorEastAsia"/>
          <w:szCs w:val="24"/>
        </w:rPr>
        <w:t xml:space="preserve"> </w:t>
      </w:r>
    </w:p>
    <w:tbl>
      <w:tblPr>
        <w:tblW w:w="8220" w:type="dxa"/>
        <w:tblLayout w:type="fixed"/>
        <w:tblCellMar>
          <w:left w:w="28" w:type="dxa"/>
          <w:right w:w="28" w:type="dxa"/>
        </w:tblCellMar>
        <w:tblLook w:val="04A0" w:firstRow="1" w:lastRow="0" w:firstColumn="1" w:lastColumn="0" w:noHBand="0" w:noVBand="1"/>
      </w:tblPr>
      <w:tblGrid>
        <w:gridCol w:w="1644"/>
        <w:gridCol w:w="1644"/>
        <w:gridCol w:w="1815"/>
        <w:gridCol w:w="1473"/>
        <w:gridCol w:w="1644"/>
      </w:tblGrid>
      <w:tr w:rsidR="002A0637" w:rsidRPr="001951C1" w14:paraId="17C2ED57" w14:textId="77777777" w:rsidTr="007258F3">
        <w:trPr>
          <w:trHeight w:val="315"/>
        </w:trPr>
        <w:tc>
          <w:tcPr>
            <w:tcW w:w="1644" w:type="dxa"/>
            <w:tcBorders>
              <w:top w:val="single" w:sz="4" w:space="0" w:color="auto"/>
              <w:left w:val="nil"/>
              <w:bottom w:val="single" w:sz="4" w:space="0" w:color="auto"/>
              <w:right w:val="nil"/>
            </w:tcBorders>
            <w:noWrap/>
            <w:vAlign w:val="center"/>
            <w:hideMark/>
          </w:tcPr>
          <w:p w14:paraId="00026919"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Name</w:t>
            </w:r>
          </w:p>
        </w:tc>
        <w:tc>
          <w:tcPr>
            <w:tcW w:w="1644" w:type="dxa"/>
            <w:tcBorders>
              <w:top w:val="single" w:sz="4" w:space="0" w:color="auto"/>
              <w:left w:val="nil"/>
              <w:bottom w:val="single" w:sz="4" w:space="0" w:color="auto"/>
              <w:right w:val="nil"/>
            </w:tcBorders>
            <w:noWrap/>
            <w:vAlign w:val="center"/>
            <w:hideMark/>
          </w:tcPr>
          <w:p w14:paraId="7786A737" w14:textId="77777777" w:rsidR="002A0637" w:rsidRPr="001951C1" w:rsidRDefault="002A0637" w:rsidP="007258F3">
            <w:pPr>
              <w:widowControl/>
              <w:jc w:val="center"/>
              <w:rPr>
                <w:rFonts w:ascii="Arial" w:eastAsia="PMingLiU" w:hAnsi="Arial" w:cs="Arial"/>
                <w:color w:val="000000"/>
                <w:kern w:val="0"/>
                <w:sz w:val="18"/>
                <w:szCs w:val="20"/>
              </w:rPr>
            </w:pPr>
            <w:r>
              <w:rPr>
                <w:rFonts w:ascii="Arial" w:eastAsia="PMingLiU" w:hAnsi="Arial" w:cs="Arial"/>
                <w:color w:val="000000"/>
                <w:kern w:val="0"/>
                <w:sz w:val="18"/>
                <w:szCs w:val="20"/>
              </w:rPr>
              <w:t xml:space="preserve">Latitude </w:t>
            </w:r>
          </w:p>
        </w:tc>
        <w:tc>
          <w:tcPr>
            <w:tcW w:w="1815" w:type="dxa"/>
            <w:tcBorders>
              <w:top w:val="single" w:sz="4" w:space="0" w:color="auto"/>
              <w:left w:val="nil"/>
              <w:bottom w:val="single" w:sz="4" w:space="0" w:color="auto"/>
              <w:right w:val="nil"/>
            </w:tcBorders>
            <w:noWrap/>
            <w:vAlign w:val="center"/>
            <w:hideMark/>
          </w:tcPr>
          <w:p w14:paraId="03C9DF99"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Longitude</w:t>
            </w:r>
          </w:p>
        </w:tc>
        <w:tc>
          <w:tcPr>
            <w:tcW w:w="1473" w:type="dxa"/>
            <w:tcBorders>
              <w:top w:val="single" w:sz="4" w:space="0" w:color="auto"/>
              <w:left w:val="nil"/>
              <w:bottom w:val="single" w:sz="4" w:space="0" w:color="auto"/>
              <w:right w:val="nil"/>
            </w:tcBorders>
            <w:noWrap/>
            <w:vAlign w:val="center"/>
            <w:hideMark/>
          </w:tcPr>
          <w:p w14:paraId="7293A029"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Type</w:t>
            </w:r>
          </w:p>
        </w:tc>
        <w:tc>
          <w:tcPr>
            <w:tcW w:w="1644" w:type="dxa"/>
            <w:tcBorders>
              <w:top w:val="single" w:sz="4" w:space="0" w:color="auto"/>
              <w:left w:val="nil"/>
              <w:bottom w:val="single" w:sz="4" w:space="0" w:color="auto"/>
              <w:right w:val="nil"/>
            </w:tcBorders>
            <w:noWrap/>
            <w:vAlign w:val="center"/>
            <w:hideMark/>
          </w:tcPr>
          <w:p w14:paraId="24742BD9" w14:textId="77777777" w:rsidR="002A0637" w:rsidRPr="001951C1" w:rsidRDefault="002A0637" w:rsidP="007258F3">
            <w:pPr>
              <w:widowControl/>
              <w:rPr>
                <w:rFonts w:ascii="Arial" w:eastAsia="PMingLiU" w:hAnsi="Arial" w:cs="Arial"/>
                <w:color w:val="000000"/>
                <w:kern w:val="0"/>
                <w:sz w:val="18"/>
                <w:szCs w:val="20"/>
              </w:rPr>
            </w:pPr>
          </w:p>
        </w:tc>
      </w:tr>
      <w:tr w:rsidR="002A0637" w:rsidRPr="001951C1" w14:paraId="7EFE23B5" w14:textId="77777777" w:rsidTr="007258F3">
        <w:trPr>
          <w:gridAfter w:val="1"/>
          <w:wAfter w:w="1644" w:type="dxa"/>
          <w:trHeight w:val="315"/>
        </w:trPr>
        <w:tc>
          <w:tcPr>
            <w:tcW w:w="1644" w:type="dxa"/>
            <w:tcBorders>
              <w:top w:val="single" w:sz="4" w:space="0" w:color="auto"/>
              <w:left w:val="nil"/>
              <w:bottom w:val="nil"/>
              <w:right w:val="nil"/>
            </w:tcBorders>
            <w:noWrap/>
            <w:vAlign w:val="center"/>
            <w:hideMark/>
          </w:tcPr>
          <w:p w14:paraId="2C17DD5A"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SM-S1-S1</w:t>
            </w:r>
          </w:p>
        </w:tc>
        <w:tc>
          <w:tcPr>
            <w:tcW w:w="1644" w:type="dxa"/>
            <w:tcBorders>
              <w:top w:val="single" w:sz="4" w:space="0" w:color="auto"/>
              <w:left w:val="nil"/>
              <w:bottom w:val="nil"/>
              <w:right w:val="nil"/>
            </w:tcBorders>
            <w:noWrap/>
            <w:vAlign w:val="center"/>
            <w:hideMark/>
          </w:tcPr>
          <w:p w14:paraId="2A9388C2"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121°31'55.95''E</w:t>
            </w:r>
          </w:p>
        </w:tc>
        <w:tc>
          <w:tcPr>
            <w:tcW w:w="1815" w:type="dxa"/>
            <w:tcBorders>
              <w:top w:val="single" w:sz="4" w:space="0" w:color="auto"/>
              <w:left w:val="nil"/>
              <w:bottom w:val="nil"/>
              <w:right w:val="nil"/>
            </w:tcBorders>
            <w:noWrap/>
            <w:vAlign w:val="center"/>
            <w:hideMark/>
          </w:tcPr>
          <w:p w14:paraId="78F243C1"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25°08'33.32''N</w:t>
            </w:r>
          </w:p>
        </w:tc>
        <w:tc>
          <w:tcPr>
            <w:tcW w:w="1473" w:type="dxa"/>
            <w:tcBorders>
              <w:top w:val="single" w:sz="4" w:space="0" w:color="auto"/>
              <w:left w:val="nil"/>
              <w:bottom w:val="nil"/>
              <w:right w:val="nil"/>
            </w:tcBorders>
            <w:noWrap/>
            <w:vAlign w:val="center"/>
            <w:hideMark/>
          </w:tcPr>
          <w:p w14:paraId="011E35AF" w14:textId="6FEDF492"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Lava</w:t>
            </w:r>
          </w:p>
        </w:tc>
      </w:tr>
      <w:tr w:rsidR="002A0637" w:rsidRPr="001951C1" w14:paraId="1562BB12" w14:textId="77777777" w:rsidTr="007258F3">
        <w:trPr>
          <w:gridAfter w:val="1"/>
          <w:wAfter w:w="1644" w:type="dxa"/>
          <w:trHeight w:val="315"/>
        </w:trPr>
        <w:tc>
          <w:tcPr>
            <w:tcW w:w="1644" w:type="dxa"/>
            <w:tcBorders>
              <w:top w:val="nil"/>
              <w:left w:val="nil"/>
              <w:bottom w:val="nil"/>
              <w:right w:val="nil"/>
            </w:tcBorders>
            <w:noWrap/>
            <w:vAlign w:val="center"/>
            <w:hideMark/>
          </w:tcPr>
          <w:p w14:paraId="76ACCC3D"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SM-S2-S1</w:t>
            </w:r>
          </w:p>
        </w:tc>
        <w:tc>
          <w:tcPr>
            <w:tcW w:w="1644" w:type="dxa"/>
            <w:tcBorders>
              <w:top w:val="nil"/>
              <w:left w:val="nil"/>
              <w:bottom w:val="nil"/>
              <w:right w:val="nil"/>
            </w:tcBorders>
            <w:noWrap/>
            <w:vAlign w:val="center"/>
            <w:hideMark/>
          </w:tcPr>
          <w:p w14:paraId="5E2444B5"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121°32'32.64''E</w:t>
            </w:r>
          </w:p>
        </w:tc>
        <w:tc>
          <w:tcPr>
            <w:tcW w:w="1815" w:type="dxa"/>
            <w:tcBorders>
              <w:top w:val="nil"/>
              <w:left w:val="nil"/>
              <w:bottom w:val="nil"/>
              <w:right w:val="nil"/>
            </w:tcBorders>
            <w:noWrap/>
            <w:vAlign w:val="center"/>
            <w:hideMark/>
          </w:tcPr>
          <w:p w14:paraId="306CBA08"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25°08'36.94''N</w:t>
            </w:r>
          </w:p>
        </w:tc>
        <w:tc>
          <w:tcPr>
            <w:tcW w:w="1473" w:type="dxa"/>
            <w:tcBorders>
              <w:top w:val="nil"/>
              <w:left w:val="nil"/>
              <w:bottom w:val="nil"/>
              <w:right w:val="nil"/>
            </w:tcBorders>
            <w:noWrap/>
            <w:vAlign w:val="center"/>
            <w:hideMark/>
          </w:tcPr>
          <w:p w14:paraId="56299C6C" w14:textId="264676F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Talus</w:t>
            </w:r>
          </w:p>
        </w:tc>
      </w:tr>
      <w:tr w:rsidR="002A0637" w:rsidRPr="001951C1" w14:paraId="2C96741C" w14:textId="77777777" w:rsidTr="007258F3">
        <w:trPr>
          <w:gridAfter w:val="1"/>
          <w:wAfter w:w="1644" w:type="dxa"/>
          <w:trHeight w:val="315"/>
        </w:trPr>
        <w:tc>
          <w:tcPr>
            <w:tcW w:w="1644" w:type="dxa"/>
            <w:tcBorders>
              <w:top w:val="nil"/>
              <w:left w:val="nil"/>
              <w:bottom w:val="nil"/>
              <w:right w:val="nil"/>
            </w:tcBorders>
            <w:noWrap/>
            <w:vAlign w:val="center"/>
            <w:hideMark/>
          </w:tcPr>
          <w:p w14:paraId="07AF613B"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SM-S2-S2</w:t>
            </w:r>
          </w:p>
        </w:tc>
        <w:tc>
          <w:tcPr>
            <w:tcW w:w="1644" w:type="dxa"/>
            <w:tcBorders>
              <w:top w:val="nil"/>
              <w:left w:val="nil"/>
              <w:bottom w:val="nil"/>
              <w:right w:val="nil"/>
            </w:tcBorders>
            <w:noWrap/>
            <w:vAlign w:val="center"/>
            <w:hideMark/>
          </w:tcPr>
          <w:p w14:paraId="6E31D70B"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121°32'45.00''E</w:t>
            </w:r>
          </w:p>
        </w:tc>
        <w:tc>
          <w:tcPr>
            <w:tcW w:w="1815" w:type="dxa"/>
            <w:tcBorders>
              <w:top w:val="nil"/>
              <w:left w:val="nil"/>
              <w:bottom w:val="nil"/>
              <w:right w:val="nil"/>
            </w:tcBorders>
            <w:noWrap/>
            <w:vAlign w:val="center"/>
            <w:hideMark/>
          </w:tcPr>
          <w:p w14:paraId="0913AD32"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25°08'34.60''N</w:t>
            </w:r>
          </w:p>
        </w:tc>
        <w:tc>
          <w:tcPr>
            <w:tcW w:w="1473" w:type="dxa"/>
            <w:tcBorders>
              <w:top w:val="nil"/>
              <w:left w:val="nil"/>
              <w:bottom w:val="nil"/>
              <w:right w:val="nil"/>
            </w:tcBorders>
            <w:noWrap/>
            <w:vAlign w:val="center"/>
            <w:hideMark/>
          </w:tcPr>
          <w:p w14:paraId="52E815BA" w14:textId="4BB3294D"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Lava</w:t>
            </w:r>
          </w:p>
        </w:tc>
      </w:tr>
      <w:tr w:rsidR="002A0637" w:rsidRPr="001951C1" w14:paraId="2C54691F" w14:textId="77777777" w:rsidTr="007258F3">
        <w:trPr>
          <w:gridAfter w:val="1"/>
          <w:wAfter w:w="1644" w:type="dxa"/>
          <w:trHeight w:val="315"/>
        </w:trPr>
        <w:tc>
          <w:tcPr>
            <w:tcW w:w="1644" w:type="dxa"/>
            <w:tcBorders>
              <w:top w:val="nil"/>
              <w:left w:val="nil"/>
              <w:bottom w:val="nil"/>
              <w:right w:val="nil"/>
            </w:tcBorders>
            <w:noWrap/>
            <w:vAlign w:val="center"/>
            <w:hideMark/>
          </w:tcPr>
          <w:p w14:paraId="22F13376"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SM-S2-S3</w:t>
            </w:r>
          </w:p>
        </w:tc>
        <w:tc>
          <w:tcPr>
            <w:tcW w:w="1644" w:type="dxa"/>
            <w:tcBorders>
              <w:top w:val="nil"/>
              <w:left w:val="nil"/>
              <w:bottom w:val="nil"/>
              <w:right w:val="nil"/>
            </w:tcBorders>
            <w:noWrap/>
            <w:vAlign w:val="center"/>
            <w:hideMark/>
          </w:tcPr>
          <w:p w14:paraId="1A4FEED1"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121°32'48.22''E</w:t>
            </w:r>
          </w:p>
        </w:tc>
        <w:tc>
          <w:tcPr>
            <w:tcW w:w="1815" w:type="dxa"/>
            <w:tcBorders>
              <w:top w:val="nil"/>
              <w:left w:val="nil"/>
              <w:bottom w:val="nil"/>
              <w:right w:val="nil"/>
            </w:tcBorders>
            <w:noWrap/>
            <w:vAlign w:val="center"/>
            <w:hideMark/>
          </w:tcPr>
          <w:p w14:paraId="07897D34"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25°08'36.16''N</w:t>
            </w:r>
          </w:p>
        </w:tc>
        <w:tc>
          <w:tcPr>
            <w:tcW w:w="1473" w:type="dxa"/>
            <w:tcBorders>
              <w:top w:val="nil"/>
              <w:left w:val="nil"/>
              <w:bottom w:val="nil"/>
              <w:right w:val="nil"/>
            </w:tcBorders>
            <w:noWrap/>
            <w:vAlign w:val="center"/>
            <w:hideMark/>
          </w:tcPr>
          <w:p w14:paraId="4094ECFC" w14:textId="2B5B7A5B"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Lava</w:t>
            </w:r>
          </w:p>
        </w:tc>
      </w:tr>
      <w:tr w:rsidR="002A0637" w:rsidRPr="001951C1" w14:paraId="21444C03" w14:textId="77777777" w:rsidTr="007258F3">
        <w:trPr>
          <w:gridAfter w:val="1"/>
          <w:wAfter w:w="1644" w:type="dxa"/>
          <w:trHeight w:val="315"/>
        </w:trPr>
        <w:tc>
          <w:tcPr>
            <w:tcW w:w="1644" w:type="dxa"/>
            <w:tcBorders>
              <w:top w:val="nil"/>
              <w:left w:val="nil"/>
              <w:bottom w:val="nil"/>
              <w:right w:val="nil"/>
            </w:tcBorders>
            <w:noWrap/>
            <w:vAlign w:val="center"/>
            <w:hideMark/>
          </w:tcPr>
          <w:p w14:paraId="3D51A17B"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SM-S2-S4</w:t>
            </w:r>
          </w:p>
        </w:tc>
        <w:tc>
          <w:tcPr>
            <w:tcW w:w="1644" w:type="dxa"/>
            <w:tcBorders>
              <w:top w:val="nil"/>
              <w:left w:val="nil"/>
              <w:bottom w:val="nil"/>
              <w:right w:val="nil"/>
            </w:tcBorders>
            <w:noWrap/>
            <w:vAlign w:val="center"/>
            <w:hideMark/>
          </w:tcPr>
          <w:p w14:paraId="7FACAFA4"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121°32'53.20''E</w:t>
            </w:r>
          </w:p>
        </w:tc>
        <w:tc>
          <w:tcPr>
            <w:tcW w:w="1815" w:type="dxa"/>
            <w:tcBorders>
              <w:top w:val="nil"/>
              <w:left w:val="nil"/>
              <w:bottom w:val="nil"/>
              <w:right w:val="nil"/>
            </w:tcBorders>
            <w:noWrap/>
            <w:vAlign w:val="center"/>
            <w:hideMark/>
          </w:tcPr>
          <w:p w14:paraId="1EDB1D1E"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25°08'42.83''N</w:t>
            </w:r>
          </w:p>
        </w:tc>
        <w:tc>
          <w:tcPr>
            <w:tcW w:w="1473" w:type="dxa"/>
            <w:tcBorders>
              <w:top w:val="nil"/>
              <w:left w:val="nil"/>
              <w:bottom w:val="nil"/>
              <w:right w:val="nil"/>
            </w:tcBorders>
            <w:noWrap/>
            <w:vAlign w:val="center"/>
            <w:hideMark/>
          </w:tcPr>
          <w:p w14:paraId="56F8C903" w14:textId="26513552"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Lava</w:t>
            </w:r>
          </w:p>
        </w:tc>
      </w:tr>
      <w:tr w:rsidR="002A0637" w:rsidRPr="001951C1" w14:paraId="1BFBF0BC" w14:textId="77777777" w:rsidTr="007258F3">
        <w:trPr>
          <w:gridAfter w:val="1"/>
          <w:wAfter w:w="1644" w:type="dxa"/>
          <w:trHeight w:val="315"/>
        </w:trPr>
        <w:tc>
          <w:tcPr>
            <w:tcW w:w="1644" w:type="dxa"/>
            <w:tcBorders>
              <w:top w:val="nil"/>
              <w:left w:val="nil"/>
              <w:bottom w:val="nil"/>
              <w:right w:val="nil"/>
            </w:tcBorders>
            <w:noWrap/>
            <w:vAlign w:val="center"/>
            <w:hideMark/>
          </w:tcPr>
          <w:p w14:paraId="5424D359"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SM-S3-S1</w:t>
            </w:r>
          </w:p>
        </w:tc>
        <w:tc>
          <w:tcPr>
            <w:tcW w:w="1644" w:type="dxa"/>
            <w:tcBorders>
              <w:top w:val="nil"/>
              <w:left w:val="nil"/>
              <w:bottom w:val="nil"/>
              <w:right w:val="nil"/>
            </w:tcBorders>
            <w:noWrap/>
            <w:vAlign w:val="center"/>
            <w:hideMark/>
          </w:tcPr>
          <w:p w14:paraId="23CCE961"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121°32'32.48''E</w:t>
            </w:r>
          </w:p>
        </w:tc>
        <w:tc>
          <w:tcPr>
            <w:tcW w:w="1815" w:type="dxa"/>
            <w:tcBorders>
              <w:top w:val="nil"/>
              <w:left w:val="nil"/>
              <w:bottom w:val="nil"/>
              <w:right w:val="nil"/>
            </w:tcBorders>
            <w:noWrap/>
            <w:vAlign w:val="center"/>
            <w:hideMark/>
          </w:tcPr>
          <w:p w14:paraId="0722053C"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25°08'55.04''N</w:t>
            </w:r>
          </w:p>
        </w:tc>
        <w:tc>
          <w:tcPr>
            <w:tcW w:w="1473" w:type="dxa"/>
            <w:tcBorders>
              <w:top w:val="nil"/>
              <w:left w:val="nil"/>
              <w:bottom w:val="nil"/>
              <w:right w:val="nil"/>
            </w:tcBorders>
            <w:noWrap/>
            <w:vAlign w:val="center"/>
            <w:hideMark/>
          </w:tcPr>
          <w:p w14:paraId="3F2F7DDA" w14:textId="7020DA4D"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Lava block</w:t>
            </w:r>
          </w:p>
        </w:tc>
      </w:tr>
      <w:tr w:rsidR="002A0637" w:rsidRPr="001951C1" w14:paraId="09E557F9" w14:textId="77777777" w:rsidTr="007258F3">
        <w:trPr>
          <w:gridAfter w:val="1"/>
          <w:wAfter w:w="1644" w:type="dxa"/>
          <w:trHeight w:val="315"/>
        </w:trPr>
        <w:tc>
          <w:tcPr>
            <w:tcW w:w="1644" w:type="dxa"/>
            <w:tcBorders>
              <w:top w:val="nil"/>
              <w:left w:val="nil"/>
              <w:bottom w:val="nil"/>
              <w:right w:val="nil"/>
            </w:tcBorders>
            <w:vAlign w:val="center"/>
            <w:hideMark/>
          </w:tcPr>
          <w:p w14:paraId="2B4F1C4A"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SHM24-A</w:t>
            </w:r>
            <w:r>
              <w:rPr>
                <w:rFonts w:ascii="Arial" w:eastAsia="PMingLiU" w:hAnsi="Arial" w:cs="Arial" w:hint="eastAsia"/>
                <w:color w:val="000000"/>
                <w:kern w:val="0"/>
                <w:sz w:val="18"/>
                <w:szCs w:val="20"/>
              </w:rPr>
              <w:t>-1</w:t>
            </w:r>
          </w:p>
        </w:tc>
        <w:tc>
          <w:tcPr>
            <w:tcW w:w="1644" w:type="dxa"/>
            <w:tcBorders>
              <w:top w:val="nil"/>
              <w:left w:val="nil"/>
              <w:bottom w:val="nil"/>
              <w:right w:val="nil"/>
            </w:tcBorders>
            <w:noWrap/>
            <w:vAlign w:val="center"/>
            <w:hideMark/>
          </w:tcPr>
          <w:p w14:paraId="14FCFB02"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121°31'55.95''E</w:t>
            </w:r>
          </w:p>
        </w:tc>
        <w:tc>
          <w:tcPr>
            <w:tcW w:w="1815" w:type="dxa"/>
            <w:tcBorders>
              <w:top w:val="nil"/>
              <w:left w:val="nil"/>
              <w:bottom w:val="nil"/>
              <w:right w:val="nil"/>
            </w:tcBorders>
            <w:noWrap/>
            <w:vAlign w:val="center"/>
            <w:hideMark/>
          </w:tcPr>
          <w:p w14:paraId="48363113"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25°08'33.32''N</w:t>
            </w:r>
          </w:p>
        </w:tc>
        <w:tc>
          <w:tcPr>
            <w:tcW w:w="1473" w:type="dxa"/>
            <w:tcBorders>
              <w:top w:val="nil"/>
              <w:left w:val="nil"/>
              <w:bottom w:val="nil"/>
              <w:right w:val="nil"/>
            </w:tcBorders>
            <w:noWrap/>
            <w:vAlign w:val="center"/>
            <w:hideMark/>
          </w:tcPr>
          <w:p w14:paraId="62058C54" w14:textId="7DC373CE"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Lava</w:t>
            </w:r>
          </w:p>
        </w:tc>
      </w:tr>
      <w:tr w:rsidR="002A0637" w:rsidRPr="001951C1" w14:paraId="417AFBC0" w14:textId="77777777" w:rsidTr="007258F3">
        <w:trPr>
          <w:gridAfter w:val="1"/>
          <w:wAfter w:w="1644" w:type="dxa"/>
          <w:trHeight w:val="315"/>
        </w:trPr>
        <w:tc>
          <w:tcPr>
            <w:tcW w:w="1644" w:type="dxa"/>
            <w:tcBorders>
              <w:top w:val="nil"/>
              <w:left w:val="nil"/>
              <w:bottom w:val="nil"/>
              <w:right w:val="nil"/>
            </w:tcBorders>
            <w:noWrap/>
            <w:vAlign w:val="center"/>
            <w:hideMark/>
          </w:tcPr>
          <w:p w14:paraId="3E6C9CAF"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SHM24-B</w:t>
            </w:r>
            <w:r>
              <w:rPr>
                <w:rFonts w:ascii="Arial" w:eastAsia="PMingLiU" w:hAnsi="Arial" w:cs="Arial" w:hint="eastAsia"/>
                <w:color w:val="000000"/>
                <w:kern w:val="0"/>
                <w:sz w:val="18"/>
                <w:szCs w:val="20"/>
              </w:rPr>
              <w:t>-1</w:t>
            </w:r>
          </w:p>
        </w:tc>
        <w:tc>
          <w:tcPr>
            <w:tcW w:w="1644" w:type="dxa"/>
            <w:tcBorders>
              <w:top w:val="nil"/>
              <w:left w:val="nil"/>
              <w:bottom w:val="nil"/>
              <w:right w:val="nil"/>
            </w:tcBorders>
            <w:noWrap/>
            <w:vAlign w:val="center"/>
            <w:hideMark/>
          </w:tcPr>
          <w:p w14:paraId="67C3CC60"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121°32'48.22''E</w:t>
            </w:r>
          </w:p>
        </w:tc>
        <w:tc>
          <w:tcPr>
            <w:tcW w:w="1815" w:type="dxa"/>
            <w:tcBorders>
              <w:top w:val="nil"/>
              <w:left w:val="nil"/>
              <w:bottom w:val="nil"/>
              <w:right w:val="nil"/>
            </w:tcBorders>
            <w:noWrap/>
            <w:vAlign w:val="center"/>
            <w:hideMark/>
          </w:tcPr>
          <w:p w14:paraId="5D8460CE"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25°08'36.16''N</w:t>
            </w:r>
          </w:p>
        </w:tc>
        <w:tc>
          <w:tcPr>
            <w:tcW w:w="1473" w:type="dxa"/>
            <w:tcBorders>
              <w:top w:val="nil"/>
              <w:left w:val="nil"/>
              <w:bottom w:val="nil"/>
              <w:right w:val="nil"/>
            </w:tcBorders>
            <w:noWrap/>
            <w:vAlign w:val="center"/>
            <w:hideMark/>
          </w:tcPr>
          <w:p w14:paraId="3A82A830" w14:textId="69762F02"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Lava</w:t>
            </w:r>
          </w:p>
        </w:tc>
      </w:tr>
      <w:tr w:rsidR="002A0637" w:rsidRPr="001951C1" w14:paraId="3248E130" w14:textId="77777777" w:rsidTr="007258F3">
        <w:trPr>
          <w:gridAfter w:val="1"/>
          <w:wAfter w:w="1644" w:type="dxa"/>
          <w:trHeight w:val="315"/>
        </w:trPr>
        <w:tc>
          <w:tcPr>
            <w:tcW w:w="1644" w:type="dxa"/>
            <w:tcBorders>
              <w:top w:val="nil"/>
              <w:left w:val="nil"/>
              <w:bottom w:val="nil"/>
              <w:right w:val="nil"/>
            </w:tcBorders>
            <w:noWrap/>
            <w:vAlign w:val="center"/>
            <w:hideMark/>
          </w:tcPr>
          <w:p w14:paraId="2618C513"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SHM24-C</w:t>
            </w:r>
            <w:r>
              <w:rPr>
                <w:rFonts w:ascii="Arial" w:eastAsia="PMingLiU" w:hAnsi="Arial" w:cs="Arial" w:hint="eastAsia"/>
                <w:color w:val="000000"/>
                <w:kern w:val="0"/>
                <w:sz w:val="18"/>
                <w:szCs w:val="20"/>
              </w:rPr>
              <w:t>-1</w:t>
            </w:r>
          </w:p>
        </w:tc>
        <w:tc>
          <w:tcPr>
            <w:tcW w:w="1644" w:type="dxa"/>
            <w:tcBorders>
              <w:top w:val="nil"/>
              <w:left w:val="nil"/>
              <w:bottom w:val="nil"/>
              <w:right w:val="nil"/>
            </w:tcBorders>
            <w:noWrap/>
            <w:vAlign w:val="center"/>
            <w:hideMark/>
          </w:tcPr>
          <w:p w14:paraId="1F4D38F4"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121°32'37.39''E</w:t>
            </w:r>
          </w:p>
        </w:tc>
        <w:tc>
          <w:tcPr>
            <w:tcW w:w="1815" w:type="dxa"/>
            <w:tcBorders>
              <w:top w:val="nil"/>
              <w:left w:val="nil"/>
              <w:bottom w:val="nil"/>
              <w:right w:val="nil"/>
            </w:tcBorders>
            <w:noWrap/>
            <w:vAlign w:val="center"/>
            <w:hideMark/>
          </w:tcPr>
          <w:p w14:paraId="708EB451"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25°08'49.59''N</w:t>
            </w:r>
          </w:p>
        </w:tc>
        <w:tc>
          <w:tcPr>
            <w:tcW w:w="1473" w:type="dxa"/>
            <w:tcBorders>
              <w:top w:val="nil"/>
              <w:left w:val="nil"/>
              <w:bottom w:val="nil"/>
              <w:right w:val="nil"/>
            </w:tcBorders>
            <w:noWrap/>
            <w:vAlign w:val="center"/>
            <w:hideMark/>
          </w:tcPr>
          <w:p w14:paraId="2DA872CD" w14:textId="5B683B52"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Lava block</w:t>
            </w:r>
          </w:p>
        </w:tc>
      </w:tr>
      <w:tr w:rsidR="002A0637" w:rsidRPr="001951C1" w14:paraId="71FDAEEF" w14:textId="77777777" w:rsidTr="007258F3">
        <w:trPr>
          <w:gridAfter w:val="1"/>
          <w:wAfter w:w="1644" w:type="dxa"/>
          <w:trHeight w:val="315"/>
        </w:trPr>
        <w:tc>
          <w:tcPr>
            <w:tcW w:w="1644" w:type="dxa"/>
            <w:tcBorders>
              <w:top w:val="nil"/>
              <w:left w:val="nil"/>
              <w:bottom w:val="nil"/>
              <w:right w:val="nil"/>
            </w:tcBorders>
            <w:vAlign w:val="center"/>
            <w:hideMark/>
          </w:tcPr>
          <w:p w14:paraId="30F3C98D"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lastRenderedPageBreak/>
              <w:t>SHM24-D</w:t>
            </w:r>
            <w:r>
              <w:rPr>
                <w:rFonts w:ascii="Arial" w:eastAsia="PMingLiU" w:hAnsi="Arial" w:cs="Arial" w:hint="eastAsia"/>
                <w:color w:val="000000"/>
                <w:kern w:val="0"/>
                <w:sz w:val="18"/>
                <w:szCs w:val="20"/>
              </w:rPr>
              <w:t>-1</w:t>
            </w:r>
          </w:p>
        </w:tc>
        <w:tc>
          <w:tcPr>
            <w:tcW w:w="1644" w:type="dxa"/>
            <w:tcBorders>
              <w:top w:val="nil"/>
              <w:left w:val="nil"/>
              <w:bottom w:val="nil"/>
              <w:right w:val="nil"/>
            </w:tcBorders>
            <w:noWrap/>
            <w:vAlign w:val="center"/>
            <w:hideMark/>
          </w:tcPr>
          <w:p w14:paraId="1387FB45"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121°32'32.48''E</w:t>
            </w:r>
          </w:p>
        </w:tc>
        <w:tc>
          <w:tcPr>
            <w:tcW w:w="1815" w:type="dxa"/>
            <w:tcBorders>
              <w:top w:val="nil"/>
              <w:left w:val="nil"/>
              <w:bottom w:val="nil"/>
              <w:right w:val="nil"/>
            </w:tcBorders>
            <w:noWrap/>
            <w:vAlign w:val="center"/>
            <w:hideMark/>
          </w:tcPr>
          <w:p w14:paraId="62BF3FC2"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25°08'55.04''N</w:t>
            </w:r>
          </w:p>
        </w:tc>
        <w:tc>
          <w:tcPr>
            <w:tcW w:w="1473" w:type="dxa"/>
            <w:tcBorders>
              <w:top w:val="nil"/>
              <w:left w:val="nil"/>
              <w:bottom w:val="nil"/>
              <w:right w:val="nil"/>
            </w:tcBorders>
            <w:noWrap/>
            <w:vAlign w:val="center"/>
            <w:hideMark/>
          </w:tcPr>
          <w:p w14:paraId="5DFDF06F" w14:textId="37366DD6"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Lava block</w:t>
            </w:r>
          </w:p>
        </w:tc>
      </w:tr>
      <w:tr w:rsidR="002A0637" w:rsidRPr="001951C1" w14:paraId="23ED956F" w14:textId="77777777" w:rsidTr="007258F3">
        <w:trPr>
          <w:trHeight w:val="315"/>
        </w:trPr>
        <w:tc>
          <w:tcPr>
            <w:tcW w:w="1644" w:type="dxa"/>
            <w:tcBorders>
              <w:top w:val="nil"/>
              <w:left w:val="nil"/>
              <w:bottom w:val="single" w:sz="4" w:space="0" w:color="auto"/>
              <w:right w:val="nil"/>
            </w:tcBorders>
            <w:vAlign w:val="center"/>
            <w:hideMark/>
          </w:tcPr>
          <w:p w14:paraId="2C2CF425"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SHM24-E</w:t>
            </w:r>
            <w:r>
              <w:rPr>
                <w:rFonts w:ascii="Arial" w:eastAsia="PMingLiU" w:hAnsi="Arial" w:cs="Arial" w:hint="eastAsia"/>
                <w:color w:val="000000"/>
                <w:kern w:val="0"/>
                <w:sz w:val="18"/>
                <w:szCs w:val="20"/>
              </w:rPr>
              <w:t>-1</w:t>
            </w:r>
          </w:p>
        </w:tc>
        <w:tc>
          <w:tcPr>
            <w:tcW w:w="1644" w:type="dxa"/>
            <w:tcBorders>
              <w:top w:val="nil"/>
              <w:left w:val="nil"/>
              <w:bottom w:val="single" w:sz="4" w:space="0" w:color="auto"/>
              <w:right w:val="nil"/>
            </w:tcBorders>
            <w:noWrap/>
            <w:vAlign w:val="center"/>
            <w:hideMark/>
          </w:tcPr>
          <w:p w14:paraId="539F09E1"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121°32'41.27''E</w:t>
            </w:r>
          </w:p>
        </w:tc>
        <w:tc>
          <w:tcPr>
            <w:tcW w:w="1815" w:type="dxa"/>
            <w:tcBorders>
              <w:top w:val="nil"/>
              <w:left w:val="nil"/>
              <w:bottom w:val="single" w:sz="4" w:space="0" w:color="auto"/>
              <w:right w:val="nil"/>
            </w:tcBorders>
            <w:noWrap/>
            <w:vAlign w:val="center"/>
            <w:hideMark/>
          </w:tcPr>
          <w:p w14:paraId="174ADFCC" w14:textId="77777777"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25°08'48.58''N</w:t>
            </w:r>
          </w:p>
        </w:tc>
        <w:tc>
          <w:tcPr>
            <w:tcW w:w="1473" w:type="dxa"/>
            <w:tcBorders>
              <w:top w:val="nil"/>
              <w:left w:val="nil"/>
              <w:bottom w:val="single" w:sz="4" w:space="0" w:color="auto"/>
              <w:right w:val="nil"/>
            </w:tcBorders>
            <w:noWrap/>
            <w:vAlign w:val="center"/>
            <w:hideMark/>
          </w:tcPr>
          <w:p w14:paraId="2E784D88" w14:textId="7E0CAFE8" w:rsidR="002A0637" w:rsidRPr="001951C1" w:rsidRDefault="002A0637" w:rsidP="007258F3">
            <w:pPr>
              <w:widowControl/>
              <w:jc w:val="center"/>
              <w:rPr>
                <w:rFonts w:ascii="Arial" w:eastAsia="PMingLiU" w:hAnsi="Arial" w:cs="Arial"/>
                <w:color w:val="000000"/>
                <w:kern w:val="0"/>
                <w:sz w:val="18"/>
                <w:szCs w:val="20"/>
              </w:rPr>
            </w:pPr>
            <w:r w:rsidRPr="001951C1">
              <w:rPr>
                <w:rFonts w:ascii="Arial" w:eastAsia="PMingLiU" w:hAnsi="Arial" w:cs="Arial"/>
                <w:color w:val="000000"/>
                <w:kern w:val="0"/>
                <w:sz w:val="18"/>
                <w:szCs w:val="20"/>
              </w:rPr>
              <w:t>Lava block</w:t>
            </w:r>
          </w:p>
        </w:tc>
        <w:tc>
          <w:tcPr>
            <w:tcW w:w="1644" w:type="dxa"/>
            <w:tcBorders>
              <w:top w:val="nil"/>
              <w:left w:val="nil"/>
              <w:bottom w:val="single" w:sz="4" w:space="0" w:color="auto"/>
              <w:right w:val="nil"/>
            </w:tcBorders>
            <w:noWrap/>
            <w:vAlign w:val="center"/>
            <w:hideMark/>
          </w:tcPr>
          <w:p w14:paraId="58432BA1" w14:textId="77777777" w:rsidR="002A0637" w:rsidRPr="001951C1" w:rsidRDefault="002A0637" w:rsidP="007258F3">
            <w:pPr>
              <w:widowControl/>
              <w:jc w:val="center"/>
              <w:rPr>
                <w:rFonts w:ascii="Arial" w:eastAsia="PMingLiU" w:hAnsi="Arial" w:cs="Arial"/>
                <w:color w:val="000000"/>
                <w:kern w:val="0"/>
                <w:sz w:val="16"/>
                <w:szCs w:val="20"/>
              </w:rPr>
            </w:pPr>
          </w:p>
        </w:tc>
      </w:tr>
    </w:tbl>
    <w:p w14:paraId="25BE8779" w14:textId="77777777" w:rsidR="002A0637" w:rsidRDefault="002A0637" w:rsidP="00FB6A37">
      <w:pPr>
        <w:spacing w:line="360" w:lineRule="auto"/>
        <w:jc w:val="both"/>
        <w:rPr>
          <w:rFonts w:eastAsiaTheme="minorEastAsia"/>
          <w:szCs w:val="24"/>
        </w:rPr>
      </w:pPr>
    </w:p>
    <w:p w14:paraId="19600347" w14:textId="1D348DC7" w:rsidR="002A0637" w:rsidRPr="00102ACD" w:rsidRDefault="002A0637" w:rsidP="002A0637">
      <w:pPr>
        <w:spacing w:line="360" w:lineRule="auto"/>
        <w:jc w:val="both"/>
        <w:rPr>
          <w:b/>
          <w:bCs/>
          <w:color w:val="000000" w:themeColor="text1"/>
          <w:szCs w:val="24"/>
        </w:rPr>
      </w:pPr>
      <w:r w:rsidRPr="00102ACD">
        <w:rPr>
          <w:b/>
          <w:bCs/>
          <w:color w:val="000000" w:themeColor="text1"/>
          <w:szCs w:val="24"/>
        </w:rPr>
        <w:t>Petrography and point counting</w:t>
      </w:r>
    </w:p>
    <w:p w14:paraId="136A77DD" w14:textId="77777777" w:rsidR="002A0637" w:rsidRDefault="002A0637" w:rsidP="002A0637">
      <w:pPr>
        <w:pStyle w:val="ListParagraph"/>
        <w:spacing w:line="360" w:lineRule="auto"/>
        <w:ind w:left="0" w:firstLineChars="200" w:firstLine="480"/>
        <w:jc w:val="both"/>
        <w:rPr>
          <w:color w:val="000000" w:themeColor="text1"/>
          <w:szCs w:val="24"/>
        </w:rPr>
      </w:pPr>
      <w:r w:rsidRPr="00EA1157">
        <w:rPr>
          <w:color w:val="000000" w:themeColor="text1"/>
          <w:szCs w:val="24"/>
        </w:rPr>
        <w:t xml:space="preserve">Petrographic </w:t>
      </w:r>
      <w:r>
        <w:rPr>
          <w:color w:val="000000" w:themeColor="text1"/>
          <w:szCs w:val="24"/>
        </w:rPr>
        <w:t xml:space="preserve">examination </w:t>
      </w:r>
      <w:r w:rsidRPr="00EA1157">
        <w:rPr>
          <w:color w:val="000000" w:themeColor="text1"/>
          <w:szCs w:val="24"/>
        </w:rPr>
        <w:t xml:space="preserve">was performed </w:t>
      </w:r>
      <w:r>
        <w:rPr>
          <w:color w:val="000000" w:themeColor="text1"/>
          <w:szCs w:val="24"/>
        </w:rPr>
        <w:t xml:space="preserve">on polished thin sections </w:t>
      </w:r>
      <w:r w:rsidRPr="00EA1157">
        <w:rPr>
          <w:color w:val="000000" w:themeColor="text1"/>
          <w:szCs w:val="24"/>
        </w:rPr>
        <w:t>using a</w:t>
      </w:r>
      <w:r>
        <w:rPr>
          <w:color w:val="000000" w:themeColor="text1"/>
          <w:szCs w:val="24"/>
        </w:rPr>
        <w:t>n optical</w:t>
      </w:r>
      <w:r w:rsidRPr="00EA1157">
        <w:rPr>
          <w:color w:val="000000" w:themeColor="text1"/>
          <w:szCs w:val="24"/>
        </w:rPr>
        <w:t xml:space="preserve"> microscope (</w:t>
      </w:r>
      <w:proofErr w:type="spellStart"/>
      <w:r w:rsidRPr="00EA1157">
        <w:rPr>
          <w:color w:val="000000" w:themeColor="text1"/>
          <w:szCs w:val="24"/>
        </w:rPr>
        <w:t>Axioplan</w:t>
      </w:r>
      <w:proofErr w:type="spellEnd"/>
      <w:r w:rsidRPr="00EA1157">
        <w:rPr>
          <w:color w:val="000000" w:themeColor="text1"/>
          <w:szCs w:val="24"/>
        </w:rPr>
        <w:t xml:space="preserve"> 7082) equipped with an integrated 7-megapixel digital camera (Canon EOS 600D) at </w:t>
      </w:r>
      <w:r>
        <w:rPr>
          <w:color w:val="000000" w:themeColor="text1"/>
          <w:szCs w:val="24"/>
        </w:rPr>
        <w:t xml:space="preserve">the </w:t>
      </w:r>
      <w:r w:rsidRPr="00EA1157">
        <w:rPr>
          <w:color w:val="000000" w:themeColor="text1"/>
          <w:szCs w:val="24"/>
        </w:rPr>
        <w:t>Department of Geoscience</w:t>
      </w:r>
      <w:r>
        <w:rPr>
          <w:color w:val="000000" w:themeColor="text1"/>
          <w:szCs w:val="24"/>
        </w:rPr>
        <w:t>s</w:t>
      </w:r>
      <w:r w:rsidRPr="00EA1157">
        <w:rPr>
          <w:color w:val="000000" w:themeColor="text1"/>
          <w:szCs w:val="24"/>
        </w:rPr>
        <w:t>, National Taiwan University, Tai</w:t>
      </w:r>
      <w:r>
        <w:rPr>
          <w:color w:val="000000" w:themeColor="text1"/>
          <w:szCs w:val="24"/>
        </w:rPr>
        <w:t>wan</w:t>
      </w:r>
      <w:r w:rsidRPr="00EA1157">
        <w:rPr>
          <w:color w:val="000000" w:themeColor="text1"/>
          <w:szCs w:val="24"/>
        </w:rPr>
        <w:t xml:space="preserve">. The modal abundance of </w:t>
      </w:r>
      <w:r>
        <w:rPr>
          <w:color w:val="000000" w:themeColor="text1"/>
          <w:szCs w:val="24"/>
        </w:rPr>
        <w:t xml:space="preserve">different types of </w:t>
      </w:r>
      <w:r w:rsidRPr="00EA1157">
        <w:rPr>
          <w:color w:val="000000" w:themeColor="text1"/>
          <w:szCs w:val="24"/>
        </w:rPr>
        <w:t>phenocrysts</w:t>
      </w:r>
      <w:r>
        <w:rPr>
          <w:color w:val="000000" w:themeColor="text1"/>
          <w:szCs w:val="24"/>
        </w:rPr>
        <w:t>,</w:t>
      </w:r>
      <w:r w:rsidRPr="00EA1157">
        <w:rPr>
          <w:color w:val="000000" w:themeColor="text1"/>
          <w:szCs w:val="24"/>
        </w:rPr>
        <w:t xml:space="preserve"> and the groundmass</w:t>
      </w:r>
      <w:r>
        <w:rPr>
          <w:color w:val="000000" w:themeColor="text1"/>
          <w:szCs w:val="24"/>
        </w:rPr>
        <w:t xml:space="preserve"> in which they occur,</w:t>
      </w:r>
      <w:r w:rsidRPr="00EA1157">
        <w:rPr>
          <w:color w:val="000000" w:themeColor="text1"/>
          <w:szCs w:val="24"/>
        </w:rPr>
        <w:t xml:space="preserve"> were determined </w:t>
      </w:r>
      <w:r>
        <w:rPr>
          <w:color w:val="000000" w:themeColor="text1"/>
          <w:szCs w:val="24"/>
        </w:rPr>
        <w:t xml:space="preserve">by point counting. At least 500 points were counted </w:t>
      </w:r>
      <w:r w:rsidRPr="008E71A1">
        <w:rPr>
          <w:color w:val="000000" w:themeColor="text1"/>
          <w:szCs w:val="24"/>
        </w:rPr>
        <w:t>per thin section</w:t>
      </w:r>
      <w:r>
        <w:rPr>
          <w:color w:val="000000" w:themeColor="text1"/>
          <w:szCs w:val="24"/>
        </w:rPr>
        <w:t>,</w:t>
      </w:r>
      <w:r w:rsidRPr="008E71A1">
        <w:rPr>
          <w:color w:val="000000" w:themeColor="text1"/>
          <w:szCs w:val="24"/>
        </w:rPr>
        <w:t xml:space="preserve"> and </w:t>
      </w:r>
      <w:r>
        <w:rPr>
          <w:color w:val="000000" w:themeColor="text1"/>
          <w:szCs w:val="24"/>
        </w:rPr>
        <w:t xml:space="preserve">the data were </w:t>
      </w:r>
      <w:r w:rsidRPr="008E71A1">
        <w:rPr>
          <w:color w:val="000000" w:themeColor="text1"/>
          <w:szCs w:val="24"/>
        </w:rPr>
        <w:t>calculated on a vesicle-free basis using</w:t>
      </w:r>
      <w:r>
        <w:rPr>
          <w:color w:val="000000" w:themeColor="text1"/>
          <w:szCs w:val="24"/>
        </w:rPr>
        <w:t xml:space="preserve"> the point-counting method.</w:t>
      </w:r>
    </w:p>
    <w:p w14:paraId="76850E2E" w14:textId="77777777" w:rsidR="002A0637" w:rsidRDefault="002A0637" w:rsidP="002A0637">
      <w:pPr>
        <w:spacing w:line="360" w:lineRule="auto"/>
        <w:jc w:val="both"/>
        <w:rPr>
          <w:rFonts w:eastAsiaTheme="minorEastAsia"/>
          <w:color w:val="000000" w:themeColor="text1"/>
          <w:szCs w:val="24"/>
        </w:rPr>
      </w:pPr>
    </w:p>
    <w:p w14:paraId="697E040D" w14:textId="346764AC" w:rsidR="002A0637" w:rsidRPr="00102ACD" w:rsidRDefault="002A0637" w:rsidP="002A0637">
      <w:pPr>
        <w:spacing w:line="360" w:lineRule="auto"/>
        <w:jc w:val="both"/>
        <w:rPr>
          <w:rFonts w:eastAsiaTheme="minorEastAsia"/>
          <w:b/>
          <w:bCs/>
          <w:color w:val="000000" w:themeColor="text1"/>
          <w:szCs w:val="24"/>
        </w:rPr>
      </w:pPr>
      <w:r w:rsidRPr="00102ACD">
        <w:rPr>
          <w:rFonts w:eastAsiaTheme="minorEastAsia"/>
          <w:b/>
          <w:bCs/>
          <w:color w:val="000000" w:themeColor="text1"/>
          <w:szCs w:val="24"/>
        </w:rPr>
        <w:t>Methodology for whole-rock geochemical analyses</w:t>
      </w:r>
    </w:p>
    <w:p w14:paraId="226E64FB" w14:textId="77777777" w:rsidR="002A0637" w:rsidRPr="00EA1157" w:rsidRDefault="002A0637" w:rsidP="002A0637">
      <w:pPr>
        <w:pStyle w:val="ListParagraph"/>
        <w:spacing w:line="360" w:lineRule="auto"/>
        <w:ind w:left="0" w:firstLineChars="200" w:firstLine="480"/>
        <w:jc w:val="both"/>
        <w:rPr>
          <w:color w:val="000000" w:themeColor="text1"/>
          <w:szCs w:val="24"/>
        </w:rPr>
      </w:pPr>
      <w:r>
        <w:rPr>
          <w:color w:val="000000" w:themeColor="text1"/>
          <w:szCs w:val="24"/>
        </w:rPr>
        <w:t>Eight</w:t>
      </w:r>
      <w:r w:rsidRPr="00EA1157">
        <w:rPr>
          <w:color w:val="000000" w:themeColor="text1"/>
          <w:szCs w:val="24"/>
        </w:rPr>
        <w:t xml:space="preserve"> selected samples were crushed and pulverized for whole-rock </w:t>
      </w:r>
      <w:r>
        <w:rPr>
          <w:color w:val="000000" w:themeColor="text1"/>
          <w:szCs w:val="24"/>
        </w:rPr>
        <w:t>major and trace element</w:t>
      </w:r>
      <w:r w:rsidRPr="00EA1157">
        <w:rPr>
          <w:color w:val="000000" w:themeColor="text1"/>
          <w:szCs w:val="24"/>
        </w:rPr>
        <w:t xml:space="preserve"> analysis. </w:t>
      </w:r>
      <w:r>
        <w:rPr>
          <w:color w:val="000000" w:themeColor="text1"/>
          <w:szCs w:val="24"/>
        </w:rPr>
        <w:t>For each pulverized sample, l</w:t>
      </w:r>
      <w:r w:rsidRPr="00EA1157">
        <w:rPr>
          <w:color w:val="000000" w:themeColor="text1"/>
          <w:szCs w:val="24"/>
        </w:rPr>
        <w:t xml:space="preserve">oss-on-ignition (LOI) </w:t>
      </w:r>
      <w:r>
        <w:rPr>
          <w:color w:val="000000" w:themeColor="text1"/>
          <w:szCs w:val="24"/>
        </w:rPr>
        <w:t>was</w:t>
      </w:r>
      <w:r w:rsidRPr="00EA1157">
        <w:rPr>
          <w:color w:val="000000" w:themeColor="text1"/>
          <w:szCs w:val="24"/>
        </w:rPr>
        <w:t xml:space="preserve"> </w:t>
      </w:r>
      <w:r>
        <w:rPr>
          <w:color w:val="000000" w:themeColor="text1"/>
          <w:szCs w:val="24"/>
        </w:rPr>
        <w:t>determined by</w:t>
      </w:r>
      <w:r w:rsidRPr="00EA1157">
        <w:rPr>
          <w:color w:val="000000" w:themeColor="text1"/>
          <w:szCs w:val="24"/>
        </w:rPr>
        <w:t xml:space="preserve"> the weight loss after heating </w:t>
      </w:r>
      <w:r>
        <w:rPr>
          <w:color w:val="000000" w:themeColor="text1"/>
          <w:szCs w:val="24"/>
        </w:rPr>
        <w:t xml:space="preserve">in a ceramic crucible </w:t>
      </w:r>
      <w:r w:rsidRPr="00EA1157">
        <w:rPr>
          <w:color w:val="000000" w:themeColor="text1"/>
          <w:szCs w:val="24"/>
        </w:rPr>
        <w:t>at 950</w:t>
      </w:r>
      <w:r>
        <w:rPr>
          <w:color w:val="000000" w:themeColor="text1"/>
          <w:szCs w:val="24"/>
        </w:rPr>
        <w:t xml:space="preserve"> </w:t>
      </w:r>
      <w:r w:rsidRPr="00EA1157">
        <w:rPr>
          <w:color w:val="000000" w:themeColor="text1"/>
          <w:szCs w:val="24"/>
        </w:rPr>
        <w:t xml:space="preserve">°C for 60 min. </w:t>
      </w:r>
      <w:r>
        <w:rPr>
          <w:color w:val="000000" w:themeColor="text1"/>
          <w:szCs w:val="24"/>
        </w:rPr>
        <w:t>Then,</w:t>
      </w:r>
      <w:r w:rsidRPr="00EA1157">
        <w:rPr>
          <w:color w:val="000000" w:themeColor="text1"/>
          <w:szCs w:val="24"/>
        </w:rPr>
        <w:t xml:space="preserve"> the </w:t>
      </w:r>
      <w:r>
        <w:rPr>
          <w:color w:val="000000" w:themeColor="text1"/>
          <w:szCs w:val="24"/>
        </w:rPr>
        <w:t xml:space="preserve">devolatilized </w:t>
      </w:r>
      <w:r w:rsidRPr="00EA1157">
        <w:rPr>
          <w:color w:val="000000" w:themeColor="text1"/>
          <w:szCs w:val="24"/>
        </w:rPr>
        <w:t>sample was mixed with lithium tetraborate</w:t>
      </w:r>
      <w:r>
        <w:rPr>
          <w:color w:val="000000" w:themeColor="text1"/>
          <w:szCs w:val="24"/>
        </w:rPr>
        <w:t xml:space="preserve"> </w:t>
      </w:r>
      <w:proofErr w:type="gramStart"/>
      <w:r w:rsidRPr="00EA1157">
        <w:rPr>
          <w:color w:val="000000" w:themeColor="text1"/>
          <w:szCs w:val="24"/>
        </w:rPr>
        <w:t>flux</w:t>
      </w:r>
      <w:proofErr w:type="gramEnd"/>
      <w:r w:rsidRPr="00EA1157">
        <w:rPr>
          <w:color w:val="000000" w:themeColor="text1"/>
          <w:szCs w:val="24"/>
        </w:rPr>
        <w:t xml:space="preserve"> </w:t>
      </w:r>
      <w:r>
        <w:rPr>
          <w:color w:val="000000" w:themeColor="text1"/>
          <w:szCs w:val="24"/>
        </w:rPr>
        <w:t xml:space="preserve">and the mixture was heated in a platinum crucible to 1300 </w:t>
      </w:r>
      <w:r w:rsidRPr="00EA1157">
        <w:rPr>
          <w:color w:val="000000" w:themeColor="text1"/>
          <w:szCs w:val="24"/>
        </w:rPr>
        <w:t>°C</w:t>
      </w:r>
      <w:r>
        <w:rPr>
          <w:color w:val="000000" w:themeColor="text1"/>
          <w:szCs w:val="24"/>
        </w:rPr>
        <w:t xml:space="preserve"> to yield homogeneous glass disks. C</w:t>
      </w:r>
      <w:r w:rsidRPr="00EA1157">
        <w:rPr>
          <w:color w:val="000000" w:themeColor="text1"/>
          <w:szCs w:val="24"/>
        </w:rPr>
        <w:t>oncentration</w:t>
      </w:r>
      <w:r>
        <w:rPr>
          <w:color w:val="000000" w:themeColor="text1"/>
          <w:szCs w:val="24"/>
        </w:rPr>
        <w:t>s</w:t>
      </w:r>
      <w:r w:rsidRPr="00EA1157">
        <w:rPr>
          <w:color w:val="000000" w:themeColor="text1"/>
          <w:szCs w:val="24"/>
        </w:rPr>
        <w:t xml:space="preserve"> of major elements </w:t>
      </w:r>
      <w:r>
        <w:rPr>
          <w:color w:val="000000" w:themeColor="text1"/>
          <w:szCs w:val="24"/>
        </w:rPr>
        <w:t>were</w:t>
      </w:r>
      <w:r w:rsidRPr="00EA1157">
        <w:rPr>
          <w:color w:val="000000" w:themeColor="text1"/>
          <w:szCs w:val="24"/>
        </w:rPr>
        <w:t xml:space="preserve"> measured using </w:t>
      </w:r>
      <w:r>
        <w:rPr>
          <w:color w:val="000000" w:themeColor="text1"/>
          <w:szCs w:val="24"/>
        </w:rPr>
        <w:t xml:space="preserve">an </w:t>
      </w:r>
      <w:r w:rsidRPr="00EA1157">
        <w:rPr>
          <w:color w:val="000000" w:themeColor="text1"/>
          <w:szCs w:val="24"/>
        </w:rPr>
        <w:t>X-ray fluorescence</w:t>
      </w:r>
      <w:r>
        <w:rPr>
          <w:color w:val="000000" w:themeColor="text1"/>
          <w:szCs w:val="24"/>
        </w:rPr>
        <w:t xml:space="preserve"> (XRF)</w:t>
      </w:r>
      <w:r w:rsidRPr="00EA1157">
        <w:rPr>
          <w:color w:val="000000" w:themeColor="text1"/>
          <w:szCs w:val="24"/>
        </w:rPr>
        <w:t xml:space="preserve"> spectromet</w:t>
      </w:r>
      <w:r>
        <w:rPr>
          <w:color w:val="000000" w:themeColor="text1"/>
          <w:szCs w:val="24"/>
        </w:rPr>
        <w:t>er (</w:t>
      </w:r>
      <w:r w:rsidRPr="00EA1157">
        <w:rPr>
          <w:color w:val="000000" w:themeColor="text1"/>
          <w:szCs w:val="24"/>
        </w:rPr>
        <w:t>Rigaku® RIX 2000</w:t>
      </w:r>
      <w:r>
        <w:rPr>
          <w:color w:val="000000" w:themeColor="text1"/>
          <w:szCs w:val="24"/>
        </w:rPr>
        <w:t xml:space="preserve">) </w:t>
      </w:r>
      <w:r w:rsidRPr="00EA1157">
        <w:rPr>
          <w:color w:val="000000" w:themeColor="text1"/>
          <w:szCs w:val="24"/>
        </w:rPr>
        <w:t>at Institute of Earth Sciences, Academia Sinica, Taipei. Accuracy and precision</w:t>
      </w:r>
      <w:r>
        <w:rPr>
          <w:color w:val="000000" w:themeColor="text1"/>
          <w:szCs w:val="24"/>
        </w:rPr>
        <w:t xml:space="preserve"> are generally better th</w:t>
      </w:r>
      <w:r w:rsidRPr="001D7254">
        <w:rPr>
          <w:szCs w:val="24"/>
        </w:rPr>
        <w:t xml:space="preserve">an 10%. After XRF measurement, each glass disk was hand-picked, weighed and dissolved in a screw-top Teflon beaker by mixtures of high-purity, concentrated hydrofluoric acid and nitric acid at </w:t>
      </w:r>
      <w:r w:rsidRPr="001D7254">
        <w:rPr>
          <w:rFonts w:eastAsiaTheme="minorEastAsia"/>
          <w:szCs w:val="24"/>
        </w:rPr>
        <w:t>140</w:t>
      </w:r>
      <w:r w:rsidRPr="001D7254">
        <w:rPr>
          <w:szCs w:val="24"/>
        </w:rPr>
        <w:t xml:space="preserve">°C for at least </w:t>
      </w:r>
      <w:r w:rsidRPr="001D7254">
        <w:rPr>
          <w:rFonts w:eastAsiaTheme="minorEastAsia"/>
          <w:szCs w:val="24"/>
        </w:rPr>
        <w:t>1</w:t>
      </w:r>
      <w:r w:rsidRPr="001D7254">
        <w:rPr>
          <w:szCs w:val="24"/>
        </w:rPr>
        <w:t xml:space="preserve"> days. Visual inspection </w:t>
      </w:r>
      <w:r>
        <w:rPr>
          <w:color w:val="000000" w:themeColor="text1"/>
          <w:szCs w:val="24"/>
        </w:rPr>
        <w:t xml:space="preserve">was undertaken to ensure complete digestion. Then, each sample solution was diluted before measurement of trace elements with an Inductively coupled plasma-mass spectrometer (ICP-MS) (Agilent 7900s) at the </w:t>
      </w:r>
      <w:r w:rsidRPr="00EA1157">
        <w:rPr>
          <w:color w:val="000000" w:themeColor="text1"/>
          <w:szCs w:val="24"/>
        </w:rPr>
        <w:t xml:space="preserve">Institute of Earth Sciences, Academia Sinica, Taipei. Analytical details are given in Lin et al. (2012). </w:t>
      </w:r>
      <w:r>
        <w:rPr>
          <w:color w:val="000000" w:themeColor="text1"/>
          <w:szCs w:val="24"/>
        </w:rPr>
        <w:t>Rock standards</w:t>
      </w:r>
      <w:r w:rsidRPr="00EA1157">
        <w:rPr>
          <w:color w:val="000000" w:themeColor="text1"/>
          <w:szCs w:val="24"/>
        </w:rPr>
        <w:t xml:space="preserve"> AGV-2, BCR-2, BHVO-2, and DNC-1</w:t>
      </w:r>
      <w:r>
        <w:rPr>
          <w:color w:val="000000" w:themeColor="text1"/>
          <w:szCs w:val="24"/>
        </w:rPr>
        <w:t xml:space="preserve"> were analyzed with the samples to monitor data quality</w:t>
      </w:r>
      <w:r w:rsidRPr="00104EE9">
        <w:rPr>
          <w:color w:val="000000" w:themeColor="text1"/>
          <w:szCs w:val="24"/>
        </w:rPr>
        <w:t>.</w:t>
      </w:r>
    </w:p>
    <w:p w14:paraId="0024A723" w14:textId="77777777" w:rsidR="002A0637" w:rsidRDefault="002A0637" w:rsidP="002A0637">
      <w:pPr>
        <w:pStyle w:val="ListParagraph"/>
        <w:spacing w:line="360" w:lineRule="auto"/>
        <w:ind w:left="0" w:firstLineChars="200" w:firstLine="480"/>
        <w:jc w:val="both"/>
        <w:rPr>
          <w:color w:val="000000" w:themeColor="text1"/>
          <w:szCs w:val="24"/>
        </w:rPr>
      </w:pPr>
      <w:r w:rsidRPr="00EA1157">
        <w:rPr>
          <w:color w:val="000000" w:themeColor="text1"/>
          <w:szCs w:val="24"/>
        </w:rPr>
        <w:t xml:space="preserve">Three </w:t>
      </w:r>
      <w:r>
        <w:rPr>
          <w:color w:val="000000" w:themeColor="text1"/>
          <w:szCs w:val="24"/>
        </w:rPr>
        <w:t xml:space="preserve">selected </w:t>
      </w:r>
      <w:r w:rsidRPr="00EA1157">
        <w:rPr>
          <w:color w:val="000000" w:themeColor="text1"/>
          <w:szCs w:val="24"/>
        </w:rPr>
        <w:t>samples were</w:t>
      </w:r>
      <w:r>
        <w:rPr>
          <w:color w:val="000000" w:themeColor="text1"/>
          <w:szCs w:val="24"/>
        </w:rPr>
        <w:t xml:space="preserve"> analyzed for Sr-Nd isotopes. For each of them, dissolution was performed on rock powder in a screw-top Teflon beaker by mixtures of high-purity, concentrated hydrofluoric acid and nitric acid at </w:t>
      </w:r>
      <w:r w:rsidRPr="001D7254">
        <w:rPr>
          <w:rFonts w:eastAsiaTheme="minorEastAsia"/>
          <w:szCs w:val="24"/>
        </w:rPr>
        <w:t>140</w:t>
      </w:r>
      <w:r w:rsidRPr="001D7254">
        <w:rPr>
          <w:szCs w:val="24"/>
        </w:rPr>
        <w:t xml:space="preserve"> °C for at least </w:t>
      </w:r>
      <w:r w:rsidRPr="001D7254">
        <w:rPr>
          <w:rFonts w:eastAsiaTheme="minorEastAsia"/>
          <w:szCs w:val="24"/>
        </w:rPr>
        <w:t>7</w:t>
      </w:r>
      <w:r w:rsidRPr="001D7254">
        <w:rPr>
          <w:szCs w:val="24"/>
        </w:rPr>
        <w:t xml:space="preserve"> </w:t>
      </w:r>
      <w:r>
        <w:rPr>
          <w:color w:val="000000" w:themeColor="text1"/>
          <w:szCs w:val="24"/>
        </w:rPr>
        <w:t xml:space="preserve">days. In case complete digestion was not achieved, the sample solution was dried down and redissolved again under the same conditions as noted above. </w:t>
      </w:r>
      <w:r w:rsidRPr="00A45B20">
        <w:rPr>
          <w:color w:val="000000" w:themeColor="text1"/>
          <w:szCs w:val="24"/>
        </w:rPr>
        <w:t xml:space="preserve">Chemical separation of Sr and Nd was performed using routine cation-exchange column techniques after repeated digestion by HF-HNO3 mixtures in closed </w:t>
      </w:r>
      <w:r>
        <w:rPr>
          <w:color w:val="000000" w:themeColor="text1"/>
          <w:szCs w:val="24"/>
        </w:rPr>
        <w:t>Teflon</w:t>
      </w:r>
      <w:r w:rsidRPr="00A45B20">
        <w:rPr>
          <w:color w:val="000000" w:themeColor="text1"/>
          <w:szCs w:val="24"/>
        </w:rPr>
        <w:t xml:space="preserve"> beakers (see Lee et al., 2012 for detailed procedures).</w:t>
      </w:r>
      <w:r>
        <w:rPr>
          <w:color w:val="000000" w:themeColor="text1"/>
          <w:szCs w:val="24"/>
        </w:rPr>
        <w:t xml:space="preserve"> The resultant pure Sr and </w:t>
      </w:r>
      <w:r>
        <w:rPr>
          <w:color w:val="000000" w:themeColor="text1"/>
          <w:szCs w:val="24"/>
        </w:rPr>
        <w:lastRenderedPageBreak/>
        <w:t xml:space="preserve">Nd solutions were then used for isotopic measurement with </w:t>
      </w:r>
      <w:r w:rsidRPr="00EA1157">
        <w:rPr>
          <w:color w:val="000000" w:themeColor="text1"/>
          <w:szCs w:val="24"/>
        </w:rPr>
        <w:t>a multi</w:t>
      </w:r>
      <w:r>
        <w:rPr>
          <w:color w:val="000000" w:themeColor="text1"/>
          <w:szCs w:val="24"/>
        </w:rPr>
        <w:t>-</w:t>
      </w:r>
      <w:r w:rsidRPr="00EA1157">
        <w:rPr>
          <w:color w:val="000000" w:themeColor="text1"/>
          <w:szCs w:val="24"/>
        </w:rPr>
        <w:t xml:space="preserve">collector ICP-MS </w:t>
      </w:r>
      <w:r>
        <w:rPr>
          <w:color w:val="000000" w:themeColor="text1"/>
          <w:szCs w:val="24"/>
        </w:rPr>
        <w:t>(</w:t>
      </w:r>
      <w:r w:rsidRPr="00EA1157">
        <w:rPr>
          <w:color w:val="000000" w:themeColor="text1"/>
          <w:szCs w:val="24"/>
        </w:rPr>
        <w:t>Nu Plasma II</w:t>
      </w:r>
      <w:r>
        <w:rPr>
          <w:color w:val="000000" w:themeColor="text1"/>
          <w:szCs w:val="24"/>
        </w:rPr>
        <w:t xml:space="preserve">) </w:t>
      </w:r>
      <w:r w:rsidRPr="00EA1157">
        <w:rPr>
          <w:color w:val="000000" w:themeColor="text1"/>
          <w:szCs w:val="24"/>
        </w:rPr>
        <w:t xml:space="preserve">at </w:t>
      </w:r>
      <w:r>
        <w:rPr>
          <w:color w:val="000000" w:themeColor="text1"/>
          <w:szCs w:val="24"/>
        </w:rPr>
        <w:t xml:space="preserve">the </w:t>
      </w:r>
      <w:r w:rsidRPr="00EA1157">
        <w:rPr>
          <w:color w:val="000000" w:themeColor="text1"/>
          <w:szCs w:val="24"/>
        </w:rPr>
        <w:t xml:space="preserve">Institute of Earth Science, Academia Sinica, Taiwan. </w:t>
      </w:r>
      <w:r w:rsidRPr="007C5440">
        <w:rPr>
          <w:color w:val="000000" w:themeColor="text1"/>
          <w:szCs w:val="24"/>
        </w:rPr>
        <w:t xml:space="preserve">Measured </w:t>
      </w:r>
      <w:r w:rsidRPr="00022DEB">
        <w:rPr>
          <w:color w:val="000000" w:themeColor="text1"/>
          <w:szCs w:val="24"/>
          <w:vertAlign w:val="superscript"/>
        </w:rPr>
        <w:t>87</w:t>
      </w:r>
      <w:r w:rsidRPr="007C5440">
        <w:rPr>
          <w:color w:val="000000" w:themeColor="text1"/>
          <w:szCs w:val="24"/>
        </w:rPr>
        <w:t>Sr/</w:t>
      </w:r>
      <w:r w:rsidRPr="00022DEB">
        <w:rPr>
          <w:color w:val="000000" w:themeColor="text1"/>
          <w:szCs w:val="24"/>
          <w:vertAlign w:val="superscript"/>
        </w:rPr>
        <w:t>86</w:t>
      </w:r>
      <w:r w:rsidRPr="007C5440">
        <w:rPr>
          <w:color w:val="000000" w:themeColor="text1"/>
          <w:szCs w:val="24"/>
        </w:rPr>
        <w:t xml:space="preserve">Sr and </w:t>
      </w:r>
      <w:proofErr w:type="gramStart"/>
      <w:r w:rsidRPr="00022DEB">
        <w:rPr>
          <w:color w:val="000000" w:themeColor="text1"/>
          <w:szCs w:val="24"/>
          <w:vertAlign w:val="superscript"/>
        </w:rPr>
        <w:t>143</w:t>
      </w:r>
      <w:r w:rsidRPr="007C5440">
        <w:rPr>
          <w:color w:val="000000" w:themeColor="text1"/>
          <w:szCs w:val="24"/>
        </w:rPr>
        <w:t>Nd</w:t>
      </w:r>
      <w:proofErr w:type="gramEnd"/>
      <w:r w:rsidRPr="007C5440">
        <w:rPr>
          <w:color w:val="000000" w:themeColor="text1"/>
          <w:szCs w:val="24"/>
        </w:rPr>
        <w:t>/</w:t>
      </w:r>
      <w:proofErr w:type="gramStart"/>
      <w:r w:rsidRPr="00022DEB">
        <w:rPr>
          <w:color w:val="000000" w:themeColor="text1"/>
          <w:szCs w:val="24"/>
          <w:vertAlign w:val="superscript"/>
        </w:rPr>
        <w:t>144</w:t>
      </w:r>
      <w:r w:rsidRPr="007C5440">
        <w:rPr>
          <w:color w:val="000000" w:themeColor="text1"/>
          <w:szCs w:val="24"/>
        </w:rPr>
        <w:t>Nd</w:t>
      </w:r>
      <w:proofErr w:type="gramEnd"/>
      <w:r w:rsidRPr="007C5440">
        <w:rPr>
          <w:color w:val="000000" w:themeColor="text1"/>
          <w:szCs w:val="24"/>
        </w:rPr>
        <w:t xml:space="preserve"> were corrected for mass fractionation by </w:t>
      </w:r>
      <w:r w:rsidRPr="00022DEB">
        <w:rPr>
          <w:color w:val="000000" w:themeColor="text1"/>
          <w:szCs w:val="24"/>
          <w:vertAlign w:val="superscript"/>
        </w:rPr>
        <w:t>88</w:t>
      </w:r>
      <w:r w:rsidRPr="007C5440">
        <w:rPr>
          <w:color w:val="000000" w:themeColor="text1"/>
          <w:szCs w:val="24"/>
        </w:rPr>
        <w:t>Sr/</w:t>
      </w:r>
      <w:r w:rsidRPr="00022DEB">
        <w:rPr>
          <w:color w:val="000000" w:themeColor="text1"/>
          <w:szCs w:val="24"/>
          <w:vertAlign w:val="superscript"/>
        </w:rPr>
        <w:t>86</w:t>
      </w:r>
      <w:r w:rsidRPr="007C5440">
        <w:rPr>
          <w:color w:val="000000" w:themeColor="text1"/>
          <w:szCs w:val="24"/>
        </w:rPr>
        <w:t xml:space="preserve">Sr = 8.375209 and </w:t>
      </w:r>
      <w:proofErr w:type="gramStart"/>
      <w:r w:rsidRPr="00022DEB">
        <w:rPr>
          <w:color w:val="000000" w:themeColor="text1"/>
          <w:szCs w:val="24"/>
          <w:vertAlign w:val="superscript"/>
        </w:rPr>
        <w:t>146</w:t>
      </w:r>
      <w:r w:rsidRPr="007C5440">
        <w:rPr>
          <w:color w:val="000000" w:themeColor="text1"/>
          <w:szCs w:val="24"/>
        </w:rPr>
        <w:t>Nd</w:t>
      </w:r>
      <w:proofErr w:type="gramEnd"/>
      <w:r w:rsidRPr="007C5440">
        <w:rPr>
          <w:color w:val="000000" w:themeColor="text1"/>
          <w:szCs w:val="24"/>
        </w:rPr>
        <w:t>/</w:t>
      </w:r>
      <w:proofErr w:type="gramStart"/>
      <w:r w:rsidRPr="00022DEB">
        <w:rPr>
          <w:color w:val="000000" w:themeColor="text1"/>
          <w:szCs w:val="24"/>
          <w:vertAlign w:val="superscript"/>
        </w:rPr>
        <w:t>144</w:t>
      </w:r>
      <w:r w:rsidRPr="007C5440">
        <w:rPr>
          <w:color w:val="000000" w:themeColor="text1"/>
          <w:szCs w:val="24"/>
        </w:rPr>
        <w:t>Nd</w:t>
      </w:r>
      <w:proofErr w:type="gramEnd"/>
      <w:r w:rsidRPr="007C5440">
        <w:rPr>
          <w:color w:val="000000" w:themeColor="text1"/>
          <w:szCs w:val="24"/>
        </w:rPr>
        <w:t xml:space="preserve"> = 0.7219. Repeated measurements of standards SRM987 and JNdi-1 </w:t>
      </w:r>
      <w:proofErr w:type="gramStart"/>
      <w:r w:rsidRPr="007C5440">
        <w:rPr>
          <w:color w:val="000000" w:themeColor="text1"/>
          <w:szCs w:val="24"/>
        </w:rPr>
        <w:t>during the course of</w:t>
      </w:r>
      <w:proofErr w:type="gramEnd"/>
      <w:r w:rsidRPr="007C5440">
        <w:rPr>
          <w:color w:val="000000" w:themeColor="text1"/>
          <w:szCs w:val="24"/>
        </w:rPr>
        <w:t xml:space="preserve"> the analyses yield </w:t>
      </w:r>
      <w:r w:rsidRPr="00022DEB">
        <w:rPr>
          <w:color w:val="000000" w:themeColor="text1"/>
          <w:szCs w:val="24"/>
          <w:vertAlign w:val="superscript"/>
        </w:rPr>
        <w:t>87</w:t>
      </w:r>
      <w:r w:rsidRPr="007C5440">
        <w:rPr>
          <w:color w:val="000000" w:themeColor="text1"/>
          <w:szCs w:val="24"/>
        </w:rPr>
        <w:t>Sr/</w:t>
      </w:r>
      <w:r w:rsidRPr="00022DEB">
        <w:rPr>
          <w:color w:val="000000" w:themeColor="text1"/>
          <w:szCs w:val="24"/>
          <w:vertAlign w:val="superscript"/>
        </w:rPr>
        <w:t>86</w:t>
      </w:r>
      <w:r w:rsidRPr="007C5440">
        <w:rPr>
          <w:color w:val="000000" w:themeColor="text1"/>
          <w:szCs w:val="24"/>
        </w:rPr>
        <w:t xml:space="preserve">Sr of 0.710252 ± 2 (n = 20) and </w:t>
      </w:r>
      <w:proofErr w:type="gramStart"/>
      <w:r w:rsidRPr="00022DEB">
        <w:rPr>
          <w:color w:val="000000" w:themeColor="text1"/>
          <w:szCs w:val="24"/>
          <w:vertAlign w:val="superscript"/>
        </w:rPr>
        <w:t>143</w:t>
      </w:r>
      <w:r w:rsidRPr="007C5440">
        <w:rPr>
          <w:color w:val="000000" w:themeColor="text1"/>
          <w:szCs w:val="24"/>
        </w:rPr>
        <w:t>Nd</w:t>
      </w:r>
      <w:proofErr w:type="gramEnd"/>
      <w:r w:rsidRPr="007C5440">
        <w:rPr>
          <w:color w:val="000000" w:themeColor="text1"/>
          <w:szCs w:val="24"/>
        </w:rPr>
        <w:t>/</w:t>
      </w:r>
      <w:proofErr w:type="gramStart"/>
      <w:r w:rsidRPr="00022DEB">
        <w:rPr>
          <w:color w:val="000000" w:themeColor="text1"/>
          <w:szCs w:val="24"/>
          <w:vertAlign w:val="superscript"/>
        </w:rPr>
        <w:t>144</w:t>
      </w:r>
      <w:r w:rsidRPr="007C5440">
        <w:rPr>
          <w:color w:val="000000" w:themeColor="text1"/>
          <w:szCs w:val="24"/>
        </w:rPr>
        <w:t>Nd</w:t>
      </w:r>
      <w:proofErr w:type="gramEnd"/>
      <w:r w:rsidRPr="007C5440">
        <w:rPr>
          <w:color w:val="000000" w:themeColor="text1"/>
          <w:szCs w:val="24"/>
        </w:rPr>
        <w:t xml:space="preserve"> of 0.512259± 1.8 (n = 16), respectively. </w:t>
      </w:r>
    </w:p>
    <w:p w14:paraId="192C94CD" w14:textId="77777777" w:rsidR="002A0637" w:rsidRPr="008A23C2" w:rsidRDefault="002A0637" w:rsidP="002A0637">
      <w:pPr>
        <w:pStyle w:val="ListParagraph"/>
        <w:ind w:left="0" w:firstLineChars="200" w:firstLine="480"/>
        <w:jc w:val="both"/>
        <w:rPr>
          <w:color w:val="000000" w:themeColor="text1"/>
          <w:szCs w:val="24"/>
        </w:rPr>
      </w:pPr>
    </w:p>
    <w:p w14:paraId="5E5540F5" w14:textId="7D076747" w:rsidR="002A0637" w:rsidRPr="00102ACD" w:rsidRDefault="002A0637" w:rsidP="002A0637">
      <w:pPr>
        <w:pStyle w:val="ListParagraph"/>
        <w:spacing w:line="360" w:lineRule="auto"/>
        <w:ind w:left="0"/>
        <w:jc w:val="both"/>
        <w:rPr>
          <w:rFonts w:eastAsiaTheme="minorEastAsia"/>
          <w:b/>
          <w:bCs/>
          <w:szCs w:val="24"/>
        </w:rPr>
      </w:pPr>
      <w:r w:rsidRPr="00102ACD">
        <w:rPr>
          <w:rFonts w:eastAsiaTheme="minorEastAsia"/>
          <w:b/>
          <w:bCs/>
          <w:szCs w:val="24"/>
        </w:rPr>
        <w:t>Elemental and Sr-Nd isotopic data</w:t>
      </w:r>
    </w:p>
    <w:p w14:paraId="12F0B66E" w14:textId="2F6564EE" w:rsidR="008856A4" w:rsidRPr="005E024B" w:rsidRDefault="002A0637" w:rsidP="005E024B">
      <w:pPr>
        <w:spacing w:line="360" w:lineRule="auto"/>
        <w:ind w:firstLine="432"/>
        <w:jc w:val="both"/>
        <w:rPr>
          <w:color w:val="000000" w:themeColor="text1"/>
          <w:szCs w:val="24"/>
        </w:rPr>
      </w:pPr>
      <w:r>
        <w:rPr>
          <w:color w:val="000000" w:themeColor="text1"/>
          <w:szCs w:val="24"/>
        </w:rPr>
        <w:t>We selected twelve</w:t>
      </w:r>
      <w:r w:rsidRPr="00164F5D">
        <w:rPr>
          <w:color w:val="000000" w:themeColor="text1"/>
          <w:szCs w:val="24"/>
        </w:rPr>
        <w:t xml:space="preserve"> </w:t>
      </w:r>
      <w:r>
        <w:rPr>
          <w:color w:val="000000" w:themeColor="text1"/>
          <w:szCs w:val="24"/>
        </w:rPr>
        <w:t>samples</w:t>
      </w:r>
      <w:r w:rsidRPr="00164F5D">
        <w:rPr>
          <w:color w:val="000000" w:themeColor="text1"/>
          <w:szCs w:val="24"/>
        </w:rPr>
        <w:t xml:space="preserve"> for</w:t>
      </w:r>
      <w:r>
        <w:rPr>
          <w:color w:val="000000" w:themeColor="text1"/>
          <w:szCs w:val="24"/>
        </w:rPr>
        <w:t xml:space="preserve"> whole rock</w:t>
      </w:r>
      <w:r w:rsidRPr="00164F5D">
        <w:rPr>
          <w:color w:val="000000" w:themeColor="text1"/>
          <w:szCs w:val="24"/>
        </w:rPr>
        <w:t xml:space="preserve"> </w:t>
      </w:r>
      <w:r>
        <w:rPr>
          <w:color w:val="000000" w:themeColor="text1"/>
          <w:szCs w:val="24"/>
        </w:rPr>
        <w:t>major element analysis and nine samples for whole rock trace element</w:t>
      </w:r>
      <w:r w:rsidRPr="00164F5D">
        <w:rPr>
          <w:color w:val="000000" w:themeColor="text1"/>
          <w:szCs w:val="24"/>
        </w:rPr>
        <w:t xml:space="preserve"> </w:t>
      </w:r>
      <w:r>
        <w:rPr>
          <w:color w:val="000000" w:themeColor="text1"/>
          <w:szCs w:val="24"/>
        </w:rPr>
        <w:t>analysis. Results appear</w:t>
      </w:r>
      <w:r w:rsidRPr="00164F5D">
        <w:rPr>
          <w:color w:val="000000" w:themeColor="text1"/>
          <w:szCs w:val="24"/>
        </w:rPr>
        <w:t xml:space="preserve"> </w:t>
      </w:r>
      <w:r w:rsidR="005E024B">
        <w:rPr>
          <w:color w:val="000000" w:themeColor="text1"/>
          <w:szCs w:val="24"/>
        </w:rPr>
        <w:t>Online Resource 2</w:t>
      </w:r>
      <w:r w:rsidRPr="00164F5D">
        <w:rPr>
          <w:color w:val="000000" w:themeColor="text1"/>
          <w:szCs w:val="24"/>
        </w:rPr>
        <w:t>.</w:t>
      </w:r>
      <w:r w:rsidR="005E024B">
        <w:rPr>
          <w:color w:val="000000" w:themeColor="text1"/>
          <w:szCs w:val="24"/>
        </w:rPr>
        <w:t xml:space="preserve">  We selected t</w:t>
      </w:r>
      <w:r w:rsidRPr="00164F5D">
        <w:rPr>
          <w:color w:val="000000" w:themeColor="text1"/>
          <w:szCs w:val="24"/>
        </w:rPr>
        <w:t>hree samples for</w:t>
      </w:r>
      <w:r>
        <w:rPr>
          <w:color w:val="000000" w:themeColor="text1"/>
          <w:szCs w:val="24"/>
        </w:rPr>
        <w:t xml:space="preserve"> Sr-Nd</w:t>
      </w:r>
      <w:r w:rsidRPr="00164F5D">
        <w:rPr>
          <w:color w:val="000000" w:themeColor="text1"/>
          <w:szCs w:val="24"/>
        </w:rPr>
        <w:t xml:space="preserve"> isotopic studies and the </w:t>
      </w:r>
      <w:r>
        <w:rPr>
          <w:color w:val="000000" w:themeColor="text1"/>
          <w:szCs w:val="24"/>
        </w:rPr>
        <w:t>Sr-Nd</w:t>
      </w:r>
      <w:r w:rsidRPr="00164F5D">
        <w:rPr>
          <w:color w:val="000000" w:themeColor="text1"/>
          <w:szCs w:val="24"/>
        </w:rPr>
        <w:t xml:space="preserve"> isotopic results from previous studies (e.g., </w:t>
      </w:r>
      <w:r>
        <w:rPr>
          <w:color w:val="000000" w:themeColor="text1"/>
          <w:szCs w:val="24"/>
        </w:rPr>
        <w:t>S</w:t>
      </w:r>
      <w:r w:rsidRPr="00164F5D">
        <w:rPr>
          <w:color w:val="000000" w:themeColor="text1"/>
          <w:szCs w:val="24"/>
        </w:rPr>
        <w:t>ong et al., 2004</w:t>
      </w:r>
      <w:r>
        <w:rPr>
          <w:color w:val="000000" w:themeColor="text1"/>
          <w:szCs w:val="24"/>
        </w:rPr>
        <w:t xml:space="preserve">, </w:t>
      </w:r>
      <w:r w:rsidRPr="00164F5D">
        <w:rPr>
          <w:color w:val="000000" w:themeColor="text1"/>
          <w:szCs w:val="24"/>
        </w:rPr>
        <w:t>and Wang et al., 2016)</w:t>
      </w:r>
      <w:r w:rsidR="005E024B">
        <w:rPr>
          <w:color w:val="000000" w:themeColor="text1"/>
          <w:szCs w:val="24"/>
        </w:rPr>
        <w:t xml:space="preserve">.  These </w:t>
      </w:r>
      <w:r w:rsidRPr="00164F5D">
        <w:rPr>
          <w:color w:val="000000" w:themeColor="text1"/>
          <w:szCs w:val="24"/>
        </w:rPr>
        <w:t xml:space="preserve">are summarized in </w:t>
      </w:r>
      <w:r w:rsidR="005E024B">
        <w:rPr>
          <w:color w:val="000000" w:themeColor="text1"/>
          <w:szCs w:val="24"/>
        </w:rPr>
        <w:t xml:space="preserve">Online Resource </w:t>
      </w:r>
      <w:r>
        <w:rPr>
          <w:color w:val="000000" w:themeColor="text1"/>
          <w:szCs w:val="24"/>
        </w:rPr>
        <w:t>3</w:t>
      </w:r>
      <w:r w:rsidRPr="00164F5D">
        <w:rPr>
          <w:color w:val="000000" w:themeColor="text1"/>
          <w:szCs w:val="24"/>
        </w:rPr>
        <w:t>.</w:t>
      </w:r>
    </w:p>
    <w:sectPr w:rsidR="008856A4" w:rsidRPr="005E024B" w:rsidSect="0099495D">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0000500000000020000"/>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DFKai-SB">
    <w:altName w:val="Microsoft YaHei"/>
    <w:panose1 w:val="020B0604020202020204"/>
    <w:charset w:val="88"/>
    <w:family w:val="script"/>
    <w:pitch w:val="fixed"/>
    <w:sig w:usb0="00000003" w:usb1="080E0000" w:usb2="00000016" w:usb3="00000000" w:csb0="00100001"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B6B86"/>
    <w:multiLevelType w:val="multilevel"/>
    <w:tmpl w:val="02048A92"/>
    <w:lvl w:ilvl="0">
      <w:start w:val="1"/>
      <w:numFmt w:val="decimal"/>
      <w:lvlText w:val="%1"/>
      <w:lvlJc w:val="left"/>
      <w:pPr>
        <w:ind w:left="425" w:hanging="425"/>
      </w:pPr>
      <w:rPr>
        <w:b/>
      </w:rPr>
    </w:lvl>
    <w:lvl w:ilvl="1">
      <w:start w:val="1"/>
      <w:numFmt w:val="decimal"/>
      <w:lvlText w:val="%1.%2"/>
      <w:lvlJc w:val="left"/>
      <w:pPr>
        <w:ind w:left="567" w:hanging="567"/>
      </w:pPr>
      <w:rPr>
        <w:b w:val="0"/>
        <w:sz w:val="28"/>
      </w:rPr>
    </w:lvl>
    <w:lvl w:ilvl="2">
      <w:start w:val="1"/>
      <w:numFmt w:val="decimal"/>
      <w:lvlText w:val="%1.%2.%3"/>
      <w:lvlJc w:val="left"/>
      <w:pPr>
        <w:ind w:left="567"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095250E2"/>
    <w:multiLevelType w:val="hybridMultilevel"/>
    <w:tmpl w:val="1F8E144E"/>
    <w:lvl w:ilvl="0" w:tplc="615CA248">
      <w:start w:val="1"/>
      <w:numFmt w:val="decimal"/>
      <w:lvlText w:val="%1."/>
      <w:lvlJc w:val="left"/>
      <w:pPr>
        <w:ind w:left="360" w:hanging="360"/>
      </w:pPr>
      <w:rPr>
        <w:rFonts w:asciiTheme="minorEastAsia" w:eastAsiaTheme="minorEastAsia" w:hAnsiTheme="minorEastAsia"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A633B3D"/>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0B5871E3"/>
    <w:multiLevelType w:val="multilevel"/>
    <w:tmpl w:val="0409001D"/>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106C3965"/>
    <w:multiLevelType w:val="hybridMultilevel"/>
    <w:tmpl w:val="03CE3896"/>
    <w:lvl w:ilvl="0" w:tplc="04090013">
      <w:start w:val="1"/>
      <w:numFmt w:val="upperRoman"/>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D25D7A"/>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1BCC14E6"/>
    <w:multiLevelType w:val="multilevel"/>
    <w:tmpl w:val="02048A92"/>
    <w:lvl w:ilvl="0">
      <w:start w:val="1"/>
      <w:numFmt w:val="decimal"/>
      <w:lvlText w:val="%1"/>
      <w:lvlJc w:val="left"/>
      <w:pPr>
        <w:ind w:left="425" w:hanging="425"/>
      </w:pPr>
      <w:rPr>
        <w:b/>
      </w:rPr>
    </w:lvl>
    <w:lvl w:ilvl="1">
      <w:start w:val="1"/>
      <w:numFmt w:val="decimal"/>
      <w:lvlText w:val="%1.%2"/>
      <w:lvlJc w:val="left"/>
      <w:pPr>
        <w:ind w:left="567" w:hanging="567"/>
      </w:pPr>
      <w:rPr>
        <w:b w:val="0"/>
        <w:sz w:val="28"/>
      </w:rPr>
    </w:lvl>
    <w:lvl w:ilvl="2">
      <w:start w:val="1"/>
      <w:numFmt w:val="decimal"/>
      <w:lvlText w:val="%1.%2.%3"/>
      <w:lvlJc w:val="left"/>
      <w:pPr>
        <w:ind w:left="567"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207E306D"/>
    <w:multiLevelType w:val="multilevel"/>
    <w:tmpl w:val="02048A92"/>
    <w:lvl w:ilvl="0">
      <w:start w:val="1"/>
      <w:numFmt w:val="decimal"/>
      <w:lvlText w:val="%1"/>
      <w:lvlJc w:val="left"/>
      <w:pPr>
        <w:ind w:left="425" w:hanging="425"/>
      </w:pPr>
      <w:rPr>
        <w:b/>
      </w:rPr>
    </w:lvl>
    <w:lvl w:ilvl="1">
      <w:start w:val="1"/>
      <w:numFmt w:val="decimal"/>
      <w:lvlText w:val="%1.%2"/>
      <w:lvlJc w:val="left"/>
      <w:pPr>
        <w:ind w:left="567" w:hanging="567"/>
      </w:pPr>
      <w:rPr>
        <w:b w:val="0"/>
        <w:sz w:val="28"/>
      </w:rPr>
    </w:lvl>
    <w:lvl w:ilvl="2">
      <w:start w:val="1"/>
      <w:numFmt w:val="decimal"/>
      <w:lvlText w:val="%1.%2.%3"/>
      <w:lvlJc w:val="left"/>
      <w:pPr>
        <w:ind w:left="567"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22BB1AD3"/>
    <w:multiLevelType w:val="multilevel"/>
    <w:tmpl w:val="02048A92"/>
    <w:lvl w:ilvl="0">
      <w:start w:val="1"/>
      <w:numFmt w:val="decimal"/>
      <w:lvlText w:val="%1"/>
      <w:lvlJc w:val="left"/>
      <w:pPr>
        <w:ind w:left="425" w:hanging="425"/>
      </w:pPr>
      <w:rPr>
        <w:b/>
      </w:rPr>
    </w:lvl>
    <w:lvl w:ilvl="1">
      <w:start w:val="1"/>
      <w:numFmt w:val="decimal"/>
      <w:lvlText w:val="%1.%2"/>
      <w:lvlJc w:val="left"/>
      <w:pPr>
        <w:ind w:left="567" w:hanging="567"/>
      </w:pPr>
      <w:rPr>
        <w:b w:val="0"/>
        <w:sz w:val="28"/>
      </w:rPr>
    </w:lvl>
    <w:lvl w:ilvl="2">
      <w:start w:val="1"/>
      <w:numFmt w:val="decimal"/>
      <w:lvlText w:val="%1.%2.%3"/>
      <w:lvlJc w:val="left"/>
      <w:pPr>
        <w:ind w:left="567"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290D1FDA"/>
    <w:multiLevelType w:val="hybridMultilevel"/>
    <w:tmpl w:val="589602BE"/>
    <w:lvl w:ilvl="0" w:tplc="04090013">
      <w:start w:val="1"/>
      <w:numFmt w:val="upperRoman"/>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951497A"/>
    <w:multiLevelType w:val="multilevel"/>
    <w:tmpl w:val="02048A92"/>
    <w:lvl w:ilvl="0">
      <w:start w:val="1"/>
      <w:numFmt w:val="decimal"/>
      <w:lvlText w:val="%1"/>
      <w:lvlJc w:val="left"/>
      <w:pPr>
        <w:ind w:left="425" w:hanging="425"/>
      </w:pPr>
      <w:rPr>
        <w:b/>
      </w:rPr>
    </w:lvl>
    <w:lvl w:ilvl="1">
      <w:start w:val="1"/>
      <w:numFmt w:val="decimal"/>
      <w:lvlText w:val="%1.%2"/>
      <w:lvlJc w:val="left"/>
      <w:pPr>
        <w:ind w:left="567" w:hanging="567"/>
      </w:pPr>
      <w:rPr>
        <w:b w:val="0"/>
        <w:sz w:val="28"/>
      </w:rPr>
    </w:lvl>
    <w:lvl w:ilvl="2">
      <w:start w:val="1"/>
      <w:numFmt w:val="decimal"/>
      <w:lvlText w:val="%1.%2.%3"/>
      <w:lvlJc w:val="left"/>
      <w:pPr>
        <w:ind w:left="567"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2CC66BC5"/>
    <w:multiLevelType w:val="multilevel"/>
    <w:tmpl w:val="02048A92"/>
    <w:lvl w:ilvl="0">
      <w:start w:val="1"/>
      <w:numFmt w:val="decimal"/>
      <w:lvlText w:val="%1"/>
      <w:lvlJc w:val="left"/>
      <w:pPr>
        <w:ind w:left="425" w:hanging="425"/>
      </w:pPr>
      <w:rPr>
        <w:b/>
      </w:rPr>
    </w:lvl>
    <w:lvl w:ilvl="1">
      <w:start w:val="1"/>
      <w:numFmt w:val="decimal"/>
      <w:lvlText w:val="%1.%2"/>
      <w:lvlJc w:val="left"/>
      <w:pPr>
        <w:ind w:left="567" w:hanging="567"/>
      </w:pPr>
      <w:rPr>
        <w:b w:val="0"/>
        <w:sz w:val="28"/>
      </w:rPr>
    </w:lvl>
    <w:lvl w:ilvl="2">
      <w:start w:val="1"/>
      <w:numFmt w:val="decimal"/>
      <w:lvlText w:val="%1.%2.%3"/>
      <w:lvlJc w:val="left"/>
      <w:pPr>
        <w:ind w:left="567"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15:restartNumberingAfterBreak="0">
    <w:nsid w:val="2EC040F5"/>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2FDC455E"/>
    <w:multiLevelType w:val="hybridMultilevel"/>
    <w:tmpl w:val="8AA0AD6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09F101C"/>
    <w:multiLevelType w:val="multilevel"/>
    <w:tmpl w:val="93E8BFF6"/>
    <w:lvl w:ilvl="0">
      <w:start w:val="1"/>
      <w:numFmt w:val="decimal"/>
      <w:lvlText w:val="%1"/>
      <w:lvlJc w:val="left"/>
      <w:pPr>
        <w:ind w:left="425" w:hanging="425"/>
      </w:pPr>
      <w:rPr>
        <w:b/>
      </w:rPr>
    </w:lvl>
    <w:lvl w:ilvl="1">
      <w:start w:val="1"/>
      <w:numFmt w:val="decimal"/>
      <w:lvlText w:val="%1.%2"/>
      <w:lvlJc w:val="left"/>
      <w:pPr>
        <w:ind w:left="567" w:hanging="567"/>
      </w:pPr>
      <w:rPr>
        <w:sz w:val="28"/>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5" w15:restartNumberingAfterBreak="0">
    <w:nsid w:val="3D553839"/>
    <w:multiLevelType w:val="multilevel"/>
    <w:tmpl w:val="02048A92"/>
    <w:lvl w:ilvl="0">
      <w:start w:val="1"/>
      <w:numFmt w:val="decimal"/>
      <w:lvlText w:val="%1"/>
      <w:lvlJc w:val="left"/>
      <w:pPr>
        <w:ind w:left="425" w:hanging="425"/>
      </w:pPr>
      <w:rPr>
        <w:b/>
      </w:rPr>
    </w:lvl>
    <w:lvl w:ilvl="1">
      <w:start w:val="1"/>
      <w:numFmt w:val="decimal"/>
      <w:lvlText w:val="%1.%2"/>
      <w:lvlJc w:val="left"/>
      <w:pPr>
        <w:ind w:left="567" w:hanging="567"/>
      </w:pPr>
      <w:rPr>
        <w:b w:val="0"/>
        <w:sz w:val="28"/>
      </w:rPr>
    </w:lvl>
    <w:lvl w:ilvl="2">
      <w:start w:val="1"/>
      <w:numFmt w:val="decimal"/>
      <w:lvlText w:val="%1.%2.%3"/>
      <w:lvlJc w:val="left"/>
      <w:pPr>
        <w:ind w:left="567"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15:restartNumberingAfterBreak="0">
    <w:nsid w:val="3E550C50"/>
    <w:multiLevelType w:val="hybridMultilevel"/>
    <w:tmpl w:val="2EB2C3A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6C94D60"/>
    <w:multiLevelType w:val="hybridMultilevel"/>
    <w:tmpl w:val="1A0EEF6E"/>
    <w:lvl w:ilvl="0" w:tplc="FC7CD38C">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8" w15:restartNumberingAfterBreak="0">
    <w:nsid w:val="46F20425"/>
    <w:multiLevelType w:val="multilevel"/>
    <w:tmpl w:val="93E8BFF6"/>
    <w:lvl w:ilvl="0">
      <w:start w:val="1"/>
      <w:numFmt w:val="decimal"/>
      <w:lvlText w:val="%1"/>
      <w:lvlJc w:val="left"/>
      <w:pPr>
        <w:ind w:left="425" w:hanging="425"/>
      </w:pPr>
      <w:rPr>
        <w:b/>
      </w:rPr>
    </w:lvl>
    <w:lvl w:ilvl="1">
      <w:start w:val="1"/>
      <w:numFmt w:val="decimal"/>
      <w:lvlText w:val="%1.%2"/>
      <w:lvlJc w:val="left"/>
      <w:pPr>
        <w:ind w:left="567" w:hanging="567"/>
      </w:pPr>
      <w:rPr>
        <w:sz w:val="28"/>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9" w15:restartNumberingAfterBreak="0">
    <w:nsid w:val="4715414D"/>
    <w:multiLevelType w:val="multilevel"/>
    <w:tmpl w:val="02048A92"/>
    <w:lvl w:ilvl="0">
      <w:start w:val="1"/>
      <w:numFmt w:val="decimal"/>
      <w:lvlText w:val="%1"/>
      <w:lvlJc w:val="left"/>
      <w:pPr>
        <w:ind w:left="425" w:hanging="425"/>
      </w:pPr>
      <w:rPr>
        <w:b/>
      </w:rPr>
    </w:lvl>
    <w:lvl w:ilvl="1">
      <w:start w:val="1"/>
      <w:numFmt w:val="decimal"/>
      <w:lvlText w:val="%1.%2"/>
      <w:lvlJc w:val="left"/>
      <w:pPr>
        <w:ind w:left="567" w:hanging="567"/>
      </w:pPr>
      <w:rPr>
        <w:b w:val="0"/>
        <w:sz w:val="28"/>
      </w:rPr>
    </w:lvl>
    <w:lvl w:ilvl="2">
      <w:start w:val="1"/>
      <w:numFmt w:val="decimal"/>
      <w:lvlText w:val="%1.%2.%3"/>
      <w:lvlJc w:val="left"/>
      <w:pPr>
        <w:ind w:left="567"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0" w15:restartNumberingAfterBreak="0">
    <w:nsid w:val="5011678C"/>
    <w:multiLevelType w:val="multilevel"/>
    <w:tmpl w:val="02048A92"/>
    <w:lvl w:ilvl="0">
      <w:start w:val="1"/>
      <w:numFmt w:val="decimal"/>
      <w:lvlText w:val="%1"/>
      <w:lvlJc w:val="left"/>
      <w:pPr>
        <w:ind w:left="425" w:hanging="425"/>
      </w:pPr>
      <w:rPr>
        <w:b/>
      </w:rPr>
    </w:lvl>
    <w:lvl w:ilvl="1">
      <w:start w:val="1"/>
      <w:numFmt w:val="decimal"/>
      <w:lvlText w:val="%1.%2"/>
      <w:lvlJc w:val="left"/>
      <w:pPr>
        <w:ind w:left="567" w:hanging="567"/>
      </w:pPr>
      <w:rPr>
        <w:b w:val="0"/>
        <w:sz w:val="28"/>
      </w:rPr>
    </w:lvl>
    <w:lvl w:ilvl="2">
      <w:start w:val="1"/>
      <w:numFmt w:val="decimal"/>
      <w:lvlText w:val="%1.%2.%3"/>
      <w:lvlJc w:val="left"/>
      <w:pPr>
        <w:ind w:left="567"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1" w15:restartNumberingAfterBreak="0">
    <w:nsid w:val="5AA2445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2" w15:restartNumberingAfterBreak="0">
    <w:nsid w:val="5CB2581E"/>
    <w:multiLevelType w:val="hybridMultilevel"/>
    <w:tmpl w:val="A852E744"/>
    <w:lvl w:ilvl="0" w:tplc="04090013">
      <w:start w:val="1"/>
      <w:numFmt w:val="upperRoman"/>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24C4F14"/>
    <w:multiLevelType w:val="hybridMultilevel"/>
    <w:tmpl w:val="8AA0AD6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3B85334"/>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5" w15:restartNumberingAfterBreak="0">
    <w:nsid w:val="66911C9F"/>
    <w:multiLevelType w:val="multilevel"/>
    <w:tmpl w:val="93E8BFF6"/>
    <w:lvl w:ilvl="0">
      <w:start w:val="1"/>
      <w:numFmt w:val="decimal"/>
      <w:lvlText w:val="%1"/>
      <w:lvlJc w:val="left"/>
      <w:pPr>
        <w:ind w:left="425" w:hanging="425"/>
      </w:pPr>
      <w:rPr>
        <w:b/>
      </w:rPr>
    </w:lvl>
    <w:lvl w:ilvl="1">
      <w:start w:val="1"/>
      <w:numFmt w:val="decimal"/>
      <w:lvlText w:val="%1.%2"/>
      <w:lvlJc w:val="left"/>
      <w:pPr>
        <w:ind w:left="567" w:hanging="567"/>
      </w:pPr>
      <w:rPr>
        <w:sz w:val="28"/>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6" w15:restartNumberingAfterBreak="0">
    <w:nsid w:val="674170D3"/>
    <w:multiLevelType w:val="hybridMultilevel"/>
    <w:tmpl w:val="E9864C74"/>
    <w:lvl w:ilvl="0" w:tplc="117E6F0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E352AE8"/>
    <w:multiLevelType w:val="multilevel"/>
    <w:tmpl w:val="5A70D53E"/>
    <w:lvl w:ilvl="0">
      <w:start w:val="1"/>
      <w:numFmt w:val="decimal"/>
      <w:lvlText w:val="%1"/>
      <w:lvlJc w:val="left"/>
      <w:pPr>
        <w:ind w:left="425" w:hanging="425"/>
      </w:pPr>
    </w:lvl>
    <w:lvl w:ilvl="1">
      <w:start w:val="1"/>
      <w:numFmt w:val="decimal"/>
      <w:lvlText w:val="%1.%2"/>
      <w:lvlJc w:val="left"/>
      <w:pPr>
        <w:ind w:left="567" w:hanging="567"/>
      </w:pPr>
      <w:rPr>
        <w:sz w:val="28"/>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8" w15:restartNumberingAfterBreak="0">
    <w:nsid w:val="71436021"/>
    <w:multiLevelType w:val="hybridMultilevel"/>
    <w:tmpl w:val="98325036"/>
    <w:lvl w:ilvl="0" w:tplc="3C04BAE6">
      <w:start w:val="1"/>
      <w:numFmt w:val="decimal"/>
      <w:lvlText w:val="%1."/>
      <w:lvlJc w:val="left"/>
      <w:pPr>
        <w:ind w:left="390" w:hanging="39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1B1532E"/>
    <w:multiLevelType w:val="multilevel"/>
    <w:tmpl w:val="93E8BFF6"/>
    <w:lvl w:ilvl="0">
      <w:start w:val="1"/>
      <w:numFmt w:val="decimal"/>
      <w:lvlText w:val="%1"/>
      <w:lvlJc w:val="left"/>
      <w:pPr>
        <w:ind w:left="425" w:hanging="425"/>
      </w:pPr>
      <w:rPr>
        <w:b/>
      </w:rPr>
    </w:lvl>
    <w:lvl w:ilvl="1">
      <w:start w:val="1"/>
      <w:numFmt w:val="decimal"/>
      <w:lvlText w:val="%1.%2"/>
      <w:lvlJc w:val="left"/>
      <w:pPr>
        <w:ind w:left="567" w:hanging="567"/>
      </w:pPr>
      <w:rPr>
        <w:sz w:val="28"/>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16cid:durableId="1528130661">
    <w:abstractNumId w:val="22"/>
  </w:num>
  <w:num w:numId="2" w16cid:durableId="2135319240">
    <w:abstractNumId w:val="9"/>
  </w:num>
  <w:num w:numId="3" w16cid:durableId="685788882">
    <w:abstractNumId w:val="4"/>
  </w:num>
  <w:num w:numId="4" w16cid:durableId="815218731">
    <w:abstractNumId w:val="24"/>
  </w:num>
  <w:num w:numId="5" w16cid:durableId="1448040723">
    <w:abstractNumId w:val="5"/>
  </w:num>
  <w:num w:numId="6" w16cid:durableId="451554737">
    <w:abstractNumId w:val="12"/>
  </w:num>
  <w:num w:numId="7" w16cid:durableId="788360530">
    <w:abstractNumId w:val="2"/>
  </w:num>
  <w:num w:numId="8" w16cid:durableId="83385673">
    <w:abstractNumId w:val="21"/>
  </w:num>
  <w:num w:numId="9" w16cid:durableId="1575894184">
    <w:abstractNumId w:val="23"/>
  </w:num>
  <w:num w:numId="10" w16cid:durableId="1281961144">
    <w:abstractNumId w:val="13"/>
  </w:num>
  <w:num w:numId="11" w16cid:durableId="1903058045">
    <w:abstractNumId w:val="27"/>
  </w:num>
  <w:num w:numId="12" w16cid:durableId="713849670">
    <w:abstractNumId w:val="10"/>
  </w:num>
  <w:num w:numId="13" w16cid:durableId="1913276612">
    <w:abstractNumId w:val="25"/>
  </w:num>
  <w:num w:numId="14" w16cid:durableId="1774587798">
    <w:abstractNumId w:val="14"/>
  </w:num>
  <w:num w:numId="15" w16cid:durableId="1521505873">
    <w:abstractNumId w:val="29"/>
  </w:num>
  <w:num w:numId="16" w16cid:durableId="1515144380">
    <w:abstractNumId w:val="18"/>
  </w:num>
  <w:num w:numId="17" w16cid:durableId="2121559561">
    <w:abstractNumId w:val="8"/>
  </w:num>
  <w:num w:numId="18" w16cid:durableId="223954709">
    <w:abstractNumId w:val="11"/>
  </w:num>
  <w:num w:numId="19" w16cid:durableId="1515261395">
    <w:abstractNumId w:val="6"/>
  </w:num>
  <w:num w:numId="20" w16cid:durableId="1944611842">
    <w:abstractNumId w:val="19"/>
  </w:num>
  <w:num w:numId="21" w16cid:durableId="1579173238">
    <w:abstractNumId w:val="0"/>
  </w:num>
  <w:num w:numId="22" w16cid:durableId="1015692994">
    <w:abstractNumId w:val="20"/>
  </w:num>
  <w:num w:numId="23" w16cid:durableId="645861650">
    <w:abstractNumId w:val="15"/>
  </w:num>
  <w:num w:numId="24" w16cid:durableId="1196583500">
    <w:abstractNumId w:val="7"/>
  </w:num>
  <w:num w:numId="25" w16cid:durableId="1953395852">
    <w:abstractNumId w:val="3"/>
  </w:num>
  <w:num w:numId="26" w16cid:durableId="111099008">
    <w:abstractNumId w:val="1"/>
  </w:num>
  <w:num w:numId="27" w16cid:durableId="1476676057">
    <w:abstractNumId w:val="26"/>
  </w:num>
  <w:num w:numId="28" w16cid:durableId="1635719439">
    <w:abstractNumId w:val="16"/>
  </w:num>
  <w:num w:numId="29" w16cid:durableId="410465415">
    <w:abstractNumId w:val="28"/>
  </w:num>
  <w:num w:numId="30" w16cid:durableId="119750636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637"/>
    <w:rsid w:val="000003D2"/>
    <w:rsid w:val="00001A44"/>
    <w:rsid w:val="0001092C"/>
    <w:rsid w:val="00010AA4"/>
    <w:rsid w:val="00023AF4"/>
    <w:rsid w:val="00025AF2"/>
    <w:rsid w:val="00040300"/>
    <w:rsid w:val="00047436"/>
    <w:rsid w:val="00051C4F"/>
    <w:rsid w:val="0005317F"/>
    <w:rsid w:val="00065B6D"/>
    <w:rsid w:val="00065DEB"/>
    <w:rsid w:val="00072061"/>
    <w:rsid w:val="000725BD"/>
    <w:rsid w:val="00072D26"/>
    <w:rsid w:val="000766E3"/>
    <w:rsid w:val="00081202"/>
    <w:rsid w:val="00086965"/>
    <w:rsid w:val="000955B2"/>
    <w:rsid w:val="00096121"/>
    <w:rsid w:val="000A1CE0"/>
    <w:rsid w:val="000B0006"/>
    <w:rsid w:val="000B039A"/>
    <w:rsid w:val="000B404B"/>
    <w:rsid w:val="000B6ADE"/>
    <w:rsid w:val="000C5517"/>
    <w:rsid w:val="000E0549"/>
    <w:rsid w:val="000E49A5"/>
    <w:rsid w:val="000E61AC"/>
    <w:rsid w:val="00102ACD"/>
    <w:rsid w:val="00115AE0"/>
    <w:rsid w:val="00126156"/>
    <w:rsid w:val="001403F2"/>
    <w:rsid w:val="001407CD"/>
    <w:rsid w:val="00195BBF"/>
    <w:rsid w:val="001A64D4"/>
    <w:rsid w:val="001A6C69"/>
    <w:rsid w:val="001A7B10"/>
    <w:rsid w:val="001B38CB"/>
    <w:rsid w:val="001B541E"/>
    <w:rsid w:val="001B589F"/>
    <w:rsid w:val="001B5915"/>
    <w:rsid w:val="001B6FF7"/>
    <w:rsid w:val="001B777F"/>
    <w:rsid w:val="001C3B5A"/>
    <w:rsid w:val="001F4B89"/>
    <w:rsid w:val="001F70AA"/>
    <w:rsid w:val="00204634"/>
    <w:rsid w:val="00205239"/>
    <w:rsid w:val="002058C2"/>
    <w:rsid w:val="002150AB"/>
    <w:rsid w:val="00216671"/>
    <w:rsid w:val="0022168C"/>
    <w:rsid w:val="00222648"/>
    <w:rsid w:val="002231B5"/>
    <w:rsid w:val="002314AA"/>
    <w:rsid w:val="00231657"/>
    <w:rsid w:val="00235C27"/>
    <w:rsid w:val="00241B1A"/>
    <w:rsid w:val="00247BA4"/>
    <w:rsid w:val="00262EF8"/>
    <w:rsid w:val="00264696"/>
    <w:rsid w:val="00281E56"/>
    <w:rsid w:val="0028468A"/>
    <w:rsid w:val="00296DA8"/>
    <w:rsid w:val="002A0637"/>
    <w:rsid w:val="002A0CE2"/>
    <w:rsid w:val="002A4FBA"/>
    <w:rsid w:val="002A5E47"/>
    <w:rsid w:val="002A6802"/>
    <w:rsid w:val="002D13CC"/>
    <w:rsid w:val="00312FE8"/>
    <w:rsid w:val="00313159"/>
    <w:rsid w:val="003168C7"/>
    <w:rsid w:val="003322C3"/>
    <w:rsid w:val="0033329B"/>
    <w:rsid w:val="00334460"/>
    <w:rsid w:val="00341F27"/>
    <w:rsid w:val="003428B0"/>
    <w:rsid w:val="00343D5C"/>
    <w:rsid w:val="00365D5C"/>
    <w:rsid w:val="00370E72"/>
    <w:rsid w:val="00372449"/>
    <w:rsid w:val="00372B69"/>
    <w:rsid w:val="0037495B"/>
    <w:rsid w:val="00395EC4"/>
    <w:rsid w:val="003B0210"/>
    <w:rsid w:val="003B3237"/>
    <w:rsid w:val="003D407B"/>
    <w:rsid w:val="00406AA6"/>
    <w:rsid w:val="004077E0"/>
    <w:rsid w:val="00427FB5"/>
    <w:rsid w:val="004311AA"/>
    <w:rsid w:val="00437A2C"/>
    <w:rsid w:val="00462E3C"/>
    <w:rsid w:val="004723A8"/>
    <w:rsid w:val="00474805"/>
    <w:rsid w:val="00475B7E"/>
    <w:rsid w:val="004770B6"/>
    <w:rsid w:val="00481623"/>
    <w:rsid w:val="00484AF4"/>
    <w:rsid w:val="00485F94"/>
    <w:rsid w:val="00487C4D"/>
    <w:rsid w:val="00492559"/>
    <w:rsid w:val="00492745"/>
    <w:rsid w:val="00494E57"/>
    <w:rsid w:val="004B442F"/>
    <w:rsid w:val="004C486C"/>
    <w:rsid w:val="004E538A"/>
    <w:rsid w:val="005072AE"/>
    <w:rsid w:val="0051004B"/>
    <w:rsid w:val="005176DE"/>
    <w:rsid w:val="00524015"/>
    <w:rsid w:val="00526906"/>
    <w:rsid w:val="00533B83"/>
    <w:rsid w:val="005417AD"/>
    <w:rsid w:val="00541ED4"/>
    <w:rsid w:val="00543D2C"/>
    <w:rsid w:val="00546D9B"/>
    <w:rsid w:val="005572EE"/>
    <w:rsid w:val="00562510"/>
    <w:rsid w:val="00563CF0"/>
    <w:rsid w:val="005803A5"/>
    <w:rsid w:val="00582014"/>
    <w:rsid w:val="005A34B5"/>
    <w:rsid w:val="005B45B1"/>
    <w:rsid w:val="005C259B"/>
    <w:rsid w:val="005C7BFF"/>
    <w:rsid w:val="005D55B7"/>
    <w:rsid w:val="005E024B"/>
    <w:rsid w:val="005E17C2"/>
    <w:rsid w:val="005F2D77"/>
    <w:rsid w:val="005F56B8"/>
    <w:rsid w:val="005F6A12"/>
    <w:rsid w:val="00605A53"/>
    <w:rsid w:val="006120B3"/>
    <w:rsid w:val="00612ECB"/>
    <w:rsid w:val="006158DD"/>
    <w:rsid w:val="006259E7"/>
    <w:rsid w:val="00631BAE"/>
    <w:rsid w:val="006356A7"/>
    <w:rsid w:val="006537F0"/>
    <w:rsid w:val="00661A08"/>
    <w:rsid w:val="00665074"/>
    <w:rsid w:val="006726F1"/>
    <w:rsid w:val="00673838"/>
    <w:rsid w:val="006828DD"/>
    <w:rsid w:val="0068321A"/>
    <w:rsid w:val="006841C0"/>
    <w:rsid w:val="00690E19"/>
    <w:rsid w:val="006A0492"/>
    <w:rsid w:val="006B1118"/>
    <w:rsid w:val="006B652F"/>
    <w:rsid w:val="006C0402"/>
    <w:rsid w:val="006C25FF"/>
    <w:rsid w:val="006D07AC"/>
    <w:rsid w:val="006D3C55"/>
    <w:rsid w:val="006E2746"/>
    <w:rsid w:val="006E383A"/>
    <w:rsid w:val="006E6E93"/>
    <w:rsid w:val="006F1367"/>
    <w:rsid w:val="007035AE"/>
    <w:rsid w:val="00712BD9"/>
    <w:rsid w:val="0071394E"/>
    <w:rsid w:val="0072189B"/>
    <w:rsid w:val="00733EC2"/>
    <w:rsid w:val="00743325"/>
    <w:rsid w:val="0075158A"/>
    <w:rsid w:val="00762156"/>
    <w:rsid w:val="00762425"/>
    <w:rsid w:val="00770724"/>
    <w:rsid w:val="00770D36"/>
    <w:rsid w:val="00780874"/>
    <w:rsid w:val="00785CD9"/>
    <w:rsid w:val="0078655B"/>
    <w:rsid w:val="0079065A"/>
    <w:rsid w:val="00795513"/>
    <w:rsid w:val="007A03A4"/>
    <w:rsid w:val="007A4459"/>
    <w:rsid w:val="007C0E04"/>
    <w:rsid w:val="007C0EDF"/>
    <w:rsid w:val="007C5F49"/>
    <w:rsid w:val="007D18AC"/>
    <w:rsid w:val="007D3BE2"/>
    <w:rsid w:val="007E408B"/>
    <w:rsid w:val="007F3DBE"/>
    <w:rsid w:val="007F4B15"/>
    <w:rsid w:val="00826328"/>
    <w:rsid w:val="00832F1F"/>
    <w:rsid w:val="00845AB3"/>
    <w:rsid w:val="008471D5"/>
    <w:rsid w:val="00847C6B"/>
    <w:rsid w:val="00850CA8"/>
    <w:rsid w:val="00877424"/>
    <w:rsid w:val="00883EA5"/>
    <w:rsid w:val="008856A4"/>
    <w:rsid w:val="00891561"/>
    <w:rsid w:val="008A6E92"/>
    <w:rsid w:val="008B0001"/>
    <w:rsid w:val="008B1F3F"/>
    <w:rsid w:val="008B5A0A"/>
    <w:rsid w:val="008C480D"/>
    <w:rsid w:val="008D2ED6"/>
    <w:rsid w:val="008D3A03"/>
    <w:rsid w:val="008D59CA"/>
    <w:rsid w:val="008E624D"/>
    <w:rsid w:val="008F6174"/>
    <w:rsid w:val="00906FDD"/>
    <w:rsid w:val="0092239C"/>
    <w:rsid w:val="00924C11"/>
    <w:rsid w:val="0093212B"/>
    <w:rsid w:val="0093462A"/>
    <w:rsid w:val="00940748"/>
    <w:rsid w:val="00942C30"/>
    <w:rsid w:val="00952881"/>
    <w:rsid w:val="00952F06"/>
    <w:rsid w:val="0095389E"/>
    <w:rsid w:val="009631E0"/>
    <w:rsid w:val="0096392E"/>
    <w:rsid w:val="00964880"/>
    <w:rsid w:val="00973C8C"/>
    <w:rsid w:val="00974286"/>
    <w:rsid w:val="009816A8"/>
    <w:rsid w:val="009838BA"/>
    <w:rsid w:val="00986B5B"/>
    <w:rsid w:val="0099495D"/>
    <w:rsid w:val="009B4548"/>
    <w:rsid w:val="009C06B2"/>
    <w:rsid w:val="009C6BAD"/>
    <w:rsid w:val="009D00C9"/>
    <w:rsid w:val="009D2BF1"/>
    <w:rsid w:val="009D5FC6"/>
    <w:rsid w:val="009E768F"/>
    <w:rsid w:val="00A015A0"/>
    <w:rsid w:val="00A024EC"/>
    <w:rsid w:val="00A04178"/>
    <w:rsid w:val="00A11117"/>
    <w:rsid w:val="00A137F9"/>
    <w:rsid w:val="00A20DC4"/>
    <w:rsid w:val="00A243E4"/>
    <w:rsid w:val="00A43953"/>
    <w:rsid w:val="00A5439B"/>
    <w:rsid w:val="00A659D4"/>
    <w:rsid w:val="00A909D3"/>
    <w:rsid w:val="00A92348"/>
    <w:rsid w:val="00AB12F6"/>
    <w:rsid w:val="00AB2AC2"/>
    <w:rsid w:val="00AB555B"/>
    <w:rsid w:val="00AB56B6"/>
    <w:rsid w:val="00AC5B89"/>
    <w:rsid w:val="00AC5F84"/>
    <w:rsid w:val="00AC60C6"/>
    <w:rsid w:val="00AC6C75"/>
    <w:rsid w:val="00AE7B6F"/>
    <w:rsid w:val="00B15E9F"/>
    <w:rsid w:val="00B27474"/>
    <w:rsid w:val="00B41E71"/>
    <w:rsid w:val="00B553A3"/>
    <w:rsid w:val="00B56F26"/>
    <w:rsid w:val="00B6412B"/>
    <w:rsid w:val="00B84C69"/>
    <w:rsid w:val="00B8619E"/>
    <w:rsid w:val="00B92CBA"/>
    <w:rsid w:val="00BA22AE"/>
    <w:rsid w:val="00BB4CDC"/>
    <w:rsid w:val="00BB5C9D"/>
    <w:rsid w:val="00BC051A"/>
    <w:rsid w:val="00BC3CE0"/>
    <w:rsid w:val="00BE72C8"/>
    <w:rsid w:val="00BF3467"/>
    <w:rsid w:val="00C0423E"/>
    <w:rsid w:val="00C06E15"/>
    <w:rsid w:val="00C13ADE"/>
    <w:rsid w:val="00C16877"/>
    <w:rsid w:val="00C23C22"/>
    <w:rsid w:val="00C26F1E"/>
    <w:rsid w:val="00C275EE"/>
    <w:rsid w:val="00C34728"/>
    <w:rsid w:val="00C54E76"/>
    <w:rsid w:val="00C5667D"/>
    <w:rsid w:val="00C57529"/>
    <w:rsid w:val="00C614C5"/>
    <w:rsid w:val="00C639AC"/>
    <w:rsid w:val="00C675DC"/>
    <w:rsid w:val="00C731C9"/>
    <w:rsid w:val="00C86ED2"/>
    <w:rsid w:val="00C87DF0"/>
    <w:rsid w:val="00CA4986"/>
    <w:rsid w:val="00CA5808"/>
    <w:rsid w:val="00CA6B74"/>
    <w:rsid w:val="00CB4BEE"/>
    <w:rsid w:val="00CB60A7"/>
    <w:rsid w:val="00CB69FB"/>
    <w:rsid w:val="00CE6E87"/>
    <w:rsid w:val="00CF7F46"/>
    <w:rsid w:val="00D0260D"/>
    <w:rsid w:val="00D21D4D"/>
    <w:rsid w:val="00D22A7A"/>
    <w:rsid w:val="00D358A6"/>
    <w:rsid w:val="00D35CB5"/>
    <w:rsid w:val="00D37E24"/>
    <w:rsid w:val="00D43225"/>
    <w:rsid w:val="00D61778"/>
    <w:rsid w:val="00D6230D"/>
    <w:rsid w:val="00D72D57"/>
    <w:rsid w:val="00DB4BDE"/>
    <w:rsid w:val="00DC7CC2"/>
    <w:rsid w:val="00DD2A1A"/>
    <w:rsid w:val="00DE6DE2"/>
    <w:rsid w:val="00DF4342"/>
    <w:rsid w:val="00DF6FA2"/>
    <w:rsid w:val="00E05413"/>
    <w:rsid w:val="00E22BC5"/>
    <w:rsid w:val="00E30EC4"/>
    <w:rsid w:val="00E44179"/>
    <w:rsid w:val="00E60C3B"/>
    <w:rsid w:val="00E67AD2"/>
    <w:rsid w:val="00E74910"/>
    <w:rsid w:val="00E74CCA"/>
    <w:rsid w:val="00E75EEB"/>
    <w:rsid w:val="00E84E02"/>
    <w:rsid w:val="00E85455"/>
    <w:rsid w:val="00E9033A"/>
    <w:rsid w:val="00E91549"/>
    <w:rsid w:val="00E91603"/>
    <w:rsid w:val="00E95617"/>
    <w:rsid w:val="00EA5274"/>
    <w:rsid w:val="00EA587D"/>
    <w:rsid w:val="00EB238F"/>
    <w:rsid w:val="00EB33D0"/>
    <w:rsid w:val="00EB5F12"/>
    <w:rsid w:val="00EB7840"/>
    <w:rsid w:val="00ED2BFF"/>
    <w:rsid w:val="00ED5C86"/>
    <w:rsid w:val="00EE3BCB"/>
    <w:rsid w:val="00EE7E21"/>
    <w:rsid w:val="00EF365A"/>
    <w:rsid w:val="00EF6930"/>
    <w:rsid w:val="00F13F44"/>
    <w:rsid w:val="00F223B9"/>
    <w:rsid w:val="00F308A6"/>
    <w:rsid w:val="00F452E3"/>
    <w:rsid w:val="00F47CDD"/>
    <w:rsid w:val="00F540AA"/>
    <w:rsid w:val="00F64524"/>
    <w:rsid w:val="00F749E5"/>
    <w:rsid w:val="00F75FDC"/>
    <w:rsid w:val="00F77F96"/>
    <w:rsid w:val="00F876FB"/>
    <w:rsid w:val="00F93752"/>
    <w:rsid w:val="00F96356"/>
    <w:rsid w:val="00FA32F2"/>
    <w:rsid w:val="00FA6E36"/>
    <w:rsid w:val="00FB04C0"/>
    <w:rsid w:val="00FB1285"/>
    <w:rsid w:val="00FB6A37"/>
    <w:rsid w:val="00FC409C"/>
    <w:rsid w:val="00FE0422"/>
    <w:rsid w:val="00FE67FF"/>
    <w:rsid w:val="00FF24CC"/>
    <w:rsid w:val="00FF5ED9"/>
    <w:rsid w:val="00FF6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80303A"/>
  <w15:chartTrackingRefBased/>
  <w15:docId w15:val="{E8DE72E4-25F5-BA46-8DAD-71A6437A5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637"/>
    <w:pPr>
      <w:widowControl w:val="0"/>
      <w:spacing w:after="0" w:line="240" w:lineRule="auto"/>
    </w:pPr>
    <w:rPr>
      <w:rFonts w:ascii="Times New Roman" w:eastAsia="DFKai-SB" w:hAnsi="Times New Roman" w:cs="Times New Roman"/>
      <w:szCs w:val="22"/>
      <w:lang w:eastAsia="zh-TW"/>
      <w14:ligatures w14:val="none"/>
    </w:rPr>
  </w:style>
  <w:style w:type="paragraph" w:styleId="Heading1">
    <w:name w:val="heading 1"/>
    <w:basedOn w:val="Normal"/>
    <w:next w:val="Normal"/>
    <w:link w:val="Heading1Char"/>
    <w:uiPriority w:val="9"/>
    <w:qFormat/>
    <w:rsid w:val="002A06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06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06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06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06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063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063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063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063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06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06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06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06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06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06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06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06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0637"/>
    <w:rPr>
      <w:rFonts w:eastAsiaTheme="majorEastAsia" w:cstheme="majorBidi"/>
      <w:color w:val="272727" w:themeColor="text1" w:themeTint="D8"/>
    </w:rPr>
  </w:style>
  <w:style w:type="paragraph" w:styleId="Title">
    <w:name w:val="Title"/>
    <w:basedOn w:val="Normal"/>
    <w:next w:val="Normal"/>
    <w:link w:val="TitleChar"/>
    <w:uiPriority w:val="10"/>
    <w:qFormat/>
    <w:rsid w:val="002A063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06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06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06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0637"/>
    <w:pPr>
      <w:spacing w:before="160"/>
      <w:jc w:val="center"/>
    </w:pPr>
    <w:rPr>
      <w:i/>
      <w:iCs/>
      <w:color w:val="404040" w:themeColor="text1" w:themeTint="BF"/>
    </w:rPr>
  </w:style>
  <w:style w:type="character" w:customStyle="1" w:styleId="QuoteChar">
    <w:name w:val="Quote Char"/>
    <w:basedOn w:val="DefaultParagraphFont"/>
    <w:link w:val="Quote"/>
    <w:uiPriority w:val="29"/>
    <w:rsid w:val="002A0637"/>
    <w:rPr>
      <w:i/>
      <w:iCs/>
      <w:color w:val="404040" w:themeColor="text1" w:themeTint="BF"/>
    </w:rPr>
  </w:style>
  <w:style w:type="paragraph" w:styleId="ListParagraph">
    <w:name w:val="List Paragraph"/>
    <w:basedOn w:val="Normal"/>
    <w:uiPriority w:val="34"/>
    <w:qFormat/>
    <w:rsid w:val="002A0637"/>
    <w:pPr>
      <w:ind w:left="720"/>
      <w:contextualSpacing/>
    </w:pPr>
  </w:style>
  <w:style w:type="character" w:styleId="IntenseEmphasis">
    <w:name w:val="Intense Emphasis"/>
    <w:basedOn w:val="DefaultParagraphFont"/>
    <w:uiPriority w:val="21"/>
    <w:qFormat/>
    <w:rsid w:val="002A0637"/>
    <w:rPr>
      <w:i/>
      <w:iCs/>
      <w:color w:val="0F4761" w:themeColor="accent1" w:themeShade="BF"/>
    </w:rPr>
  </w:style>
  <w:style w:type="paragraph" w:styleId="IntenseQuote">
    <w:name w:val="Intense Quote"/>
    <w:basedOn w:val="Normal"/>
    <w:next w:val="Normal"/>
    <w:link w:val="IntenseQuoteChar"/>
    <w:uiPriority w:val="30"/>
    <w:qFormat/>
    <w:rsid w:val="002A06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0637"/>
    <w:rPr>
      <w:i/>
      <w:iCs/>
      <w:color w:val="0F4761" w:themeColor="accent1" w:themeShade="BF"/>
    </w:rPr>
  </w:style>
  <w:style w:type="character" w:styleId="IntenseReference">
    <w:name w:val="Intense Reference"/>
    <w:basedOn w:val="DefaultParagraphFont"/>
    <w:uiPriority w:val="32"/>
    <w:qFormat/>
    <w:rsid w:val="002A0637"/>
    <w:rPr>
      <w:b/>
      <w:bCs/>
      <w:smallCaps/>
      <w:color w:val="0F4761" w:themeColor="accent1" w:themeShade="BF"/>
      <w:spacing w:val="5"/>
    </w:rPr>
  </w:style>
  <w:style w:type="paragraph" w:styleId="Header">
    <w:name w:val="header"/>
    <w:basedOn w:val="Normal"/>
    <w:link w:val="HeaderChar"/>
    <w:uiPriority w:val="99"/>
    <w:unhideWhenUsed/>
    <w:rsid w:val="002A0637"/>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2A0637"/>
    <w:rPr>
      <w:rFonts w:ascii="Times New Roman" w:eastAsia="DFKai-SB" w:hAnsi="Times New Roman" w:cs="Times New Roman"/>
      <w:sz w:val="20"/>
      <w:szCs w:val="20"/>
      <w:lang w:eastAsia="zh-TW"/>
      <w14:ligatures w14:val="none"/>
    </w:rPr>
  </w:style>
  <w:style w:type="paragraph" w:styleId="Footer">
    <w:name w:val="footer"/>
    <w:basedOn w:val="Normal"/>
    <w:link w:val="FooterChar"/>
    <w:uiPriority w:val="99"/>
    <w:unhideWhenUsed/>
    <w:rsid w:val="002A0637"/>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2A0637"/>
    <w:rPr>
      <w:rFonts w:ascii="Times New Roman" w:eastAsia="DFKai-SB" w:hAnsi="Times New Roman" w:cs="Times New Roman"/>
      <w:sz w:val="20"/>
      <w:szCs w:val="20"/>
      <w:lang w:eastAsia="zh-TW"/>
      <w14:ligatures w14:val="none"/>
    </w:rPr>
  </w:style>
  <w:style w:type="paragraph" w:styleId="Revision">
    <w:name w:val="Revision"/>
    <w:hidden/>
    <w:uiPriority w:val="99"/>
    <w:semiHidden/>
    <w:rsid w:val="002A0637"/>
    <w:pPr>
      <w:spacing w:after="0" w:line="240" w:lineRule="auto"/>
    </w:pPr>
    <w:rPr>
      <w:rFonts w:ascii="Times New Roman" w:eastAsia="DFKai-SB" w:hAnsi="Times New Roman" w:cs="Times New Roman"/>
      <w:szCs w:val="22"/>
      <w:lang w:eastAsia="zh-TW"/>
      <w14:ligatures w14:val="none"/>
    </w:rPr>
  </w:style>
  <w:style w:type="character" w:styleId="CommentReference">
    <w:name w:val="annotation reference"/>
    <w:basedOn w:val="DefaultParagraphFont"/>
    <w:uiPriority w:val="99"/>
    <w:semiHidden/>
    <w:unhideWhenUsed/>
    <w:rsid w:val="002A0637"/>
    <w:rPr>
      <w:sz w:val="16"/>
      <w:szCs w:val="16"/>
    </w:rPr>
  </w:style>
  <w:style w:type="paragraph" w:styleId="CommentText">
    <w:name w:val="annotation text"/>
    <w:basedOn w:val="Normal"/>
    <w:link w:val="CommentTextChar"/>
    <w:uiPriority w:val="99"/>
    <w:semiHidden/>
    <w:unhideWhenUsed/>
    <w:rsid w:val="002A0637"/>
    <w:rPr>
      <w:sz w:val="20"/>
      <w:szCs w:val="20"/>
    </w:rPr>
  </w:style>
  <w:style w:type="character" w:customStyle="1" w:styleId="CommentTextChar">
    <w:name w:val="Comment Text Char"/>
    <w:basedOn w:val="DefaultParagraphFont"/>
    <w:link w:val="CommentText"/>
    <w:uiPriority w:val="99"/>
    <w:semiHidden/>
    <w:rsid w:val="002A0637"/>
    <w:rPr>
      <w:rFonts w:ascii="Times New Roman" w:eastAsia="DFKai-SB" w:hAnsi="Times New Roman" w:cs="Times New Roman"/>
      <w:sz w:val="20"/>
      <w:szCs w:val="20"/>
      <w:lang w:eastAsia="zh-TW"/>
      <w14:ligatures w14:val="none"/>
    </w:rPr>
  </w:style>
  <w:style w:type="paragraph" w:styleId="CommentSubject">
    <w:name w:val="annotation subject"/>
    <w:basedOn w:val="CommentText"/>
    <w:next w:val="CommentText"/>
    <w:link w:val="CommentSubjectChar"/>
    <w:uiPriority w:val="99"/>
    <w:semiHidden/>
    <w:unhideWhenUsed/>
    <w:rsid w:val="002A0637"/>
    <w:rPr>
      <w:b/>
      <w:bCs/>
    </w:rPr>
  </w:style>
  <w:style w:type="character" w:customStyle="1" w:styleId="CommentSubjectChar">
    <w:name w:val="Comment Subject Char"/>
    <w:basedOn w:val="CommentTextChar"/>
    <w:link w:val="CommentSubject"/>
    <w:uiPriority w:val="99"/>
    <w:semiHidden/>
    <w:rsid w:val="002A0637"/>
    <w:rPr>
      <w:rFonts w:ascii="Times New Roman" w:eastAsia="DFKai-SB" w:hAnsi="Times New Roman" w:cs="Times New Roman"/>
      <w:b/>
      <w:bCs/>
      <w:sz w:val="20"/>
      <w:szCs w:val="20"/>
      <w:lang w:eastAsia="zh-TW"/>
      <w14:ligatures w14:val="none"/>
    </w:rPr>
  </w:style>
  <w:style w:type="paragraph" w:styleId="BalloonText">
    <w:name w:val="Balloon Text"/>
    <w:basedOn w:val="Normal"/>
    <w:link w:val="BalloonTextChar"/>
    <w:uiPriority w:val="99"/>
    <w:semiHidden/>
    <w:unhideWhenUsed/>
    <w:rsid w:val="002A0637"/>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2A0637"/>
    <w:rPr>
      <w:rFonts w:asciiTheme="majorHAnsi" w:eastAsiaTheme="majorEastAsia" w:hAnsiTheme="majorHAnsi" w:cstheme="majorBidi"/>
      <w:sz w:val="18"/>
      <w:szCs w:val="18"/>
      <w:lang w:eastAsia="zh-TW"/>
      <w14:ligatures w14:val="none"/>
    </w:rPr>
  </w:style>
  <w:style w:type="paragraph" w:styleId="Bibliography">
    <w:name w:val="Bibliography"/>
    <w:basedOn w:val="Normal"/>
    <w:next w:val="Normal"/>
    <w:uiPriority w:val="37"/>
    <w:unhideWhenUsed/>
    <w:rsid w:val="002A0637"/>
    <w:pPr>
      <w:spacing w:after="240"/>
      <w:ind w:left="720" w:hanging="720"/>
    </w:pPr>
  </w:style>
  <w:style w:type="character" w:styleId="LineNumber">
    <w:name w:val="line number"/>
    <w:basedOn w:val="DefaultParagraphFont"/>
    <w:uiPriority w:val="99"/>
    <w:semiHidden/>
    <w:unhideWhenUsed/>
    <w:rsid w:val="002A0637"/>
  </w:style>
  <w:style w:type="character" w:styleId="Hyperlink">
    <w:name w:val="Hyperlink"/>
    <w:basedOn w:val="DefaultParagraphFont"/>
    <w:uiPriority w:val="99"/>
    <w:unhideWhenUsed/>
    <w:rsid w:val="002A0637"/>
    <w:rPr>
      <w:color w:val="467886" w:themeColor="hyperlink"/>
      <w:u w:val="single"/>
    </w:rPr>
  </w:style>
  <w:style w:type="character" w:customStyle="1" w:styleId="1">
    <w:name w:val="未解析的提及1"/>
    <w:basedOn w:val="DefaultParagraphFont"/>
    <w:uiPriority w:val="99"/>
    <w:semiHidden/>
    <w:unhideWhenUsed/>
    <w:rsid w:val="002A0637"/>
    <w:rPr>
      <w:color w:val="605E5C"/>
      <w:shd w:val="clear" w:color="auto" w:fill="E1DFDD"/>
    </w:rPr>
  </w:style>
  <w:style w:type="table" w:styleId="TableGrid">
    <w:name w:val="Table Grid"/>
    <w:basedOn w:val="TableNormal"/>
    <w:uiPriority w:val="39"/>
    <w:rsid w:val="002A0637"/>
    <w:pPr>
      <w:spacing w:after="0" w:line="240" w:lineRule="auto"/>
    </w:pPr>
    <w:rPr>
      <w:rFonts w:ascii="Times New Roman" w:eastAsia="DFKai-SB" w:hAnsi="Times New Roman" w:cs="Times New Roman"/>
      <w:szCs w:val="22"/>
      <w:lang w:eastAsia="zh-TW"/>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2A0637"/>
  </w:style>
  <w:style w:type="paragraph" w:customStyle="1" w:styleId="Default">
    <w:name w:val="Default"/>
    <w:rsid w:val="002A0637"/>
    <w:pPr>
      <w:autoSpaceDE w:val="0"/>
      <w:autoSpaceDN w:val="0"/>
      <w:adjustRightInd w:val="0"/>
      <w:spacing w:after="0" w:line="240" w:lineRule="auto"/>
    </w:pPr>
    <w:rPr>
      <w:rFonts w:ascii="Arial" w:eastAsia="DFKai-SB" w:hAnsi="Arial" w:cs="Arial"/>
      <w:color w:val="000000"/>
      <w:kern w:val="0"/>
      <w:lang w:eastAsia="zh-TW"/>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2009</Words>
  <Characters>8923</Characters>
  <Application>Microsoft Office Word</Application>
  <DocSecurity>0</DocSecurity>
  <Lines>162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Sieh</dc:creator>
  <cp:keywords/>
  <dc:description/>
  <cp:lastModifiedBy>Kerry Sieh</cp:lastModifiedBy>
  <cp:revision>9</cp:revision>
  <dcterms:created xsi:type="dcterms:W3CDTF">2025-08-29T02:34:00Z</dcterms:created>
  <dcterms:modified xsi:type="dcterms:W3CDTF">2025-09-03T03:35:00Z</dcterms:modified>
</cp:coreProperties>
</file>