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A73CC1" w14:textId="33D18B57" w:rsidR="00783933" w:rsidRPr="00783933" w:rsidRDefault="00783933" w:rsidP="00783933">
      <w:pPr>
        <w:rPr>
          <w:rFonts w:ascii="Arial" w:hAnsi="Arial" w:cs="Arial"/>
          <w:b/>
          <w:bCs/>
          <w:lang w:val="en-CA"/>
        </w:rPr>
      </w:pPr>
      <w:r w:rsidRPr="002241AC">
        <w:rPr>
          <w:rFonts w:ascii="Arial" w:hAnsi="Arial" w:cs="Arial"/>
          <w:b/>
          <w:bCs/>
          <w:lang w:val="en-CA"/>
        </w:rPr>
        <w:t>Supplementary Information</w:t>
      </w:r>
    </w:p>
    <w:p w14:paraId="67036B43" w14:textId="08DB575C" w:rsidR="00783933" w:rsidRPr="00783933" w:rsidRDefault="00783933" w:rsidP="00783933">
      <w:pPr>
        <w:spacing w:line="480" w:lineRule="auto"/>
        <w:jc w:val="both"/>
        <w:rPr>
          <w:rFonts w:ascii="Arial" w:hAnsi="Arial" w:cs="Arial"/>
          <w:b/>
          <w:bCs/>
        </w:rPr>
      </w:pPr>
      <w:r w:rsidRPr="00783933">
        <w:rPr>
          <w:rFonts w:ascii="Arial" w:hAnsi="Arial" w:cs="Arial"/>
          <w:b/>
          <w:bCs/>
        </w:rPr>
        <w:t xml:space="preserve">AcetyLeish: acetylation-driven control of stage differentiation and virulence in </w:t>
      </w:r>
      <w:r w:rsidRPr="00783933">
        <w:rPr>
          <w:rFonts w:ascii="Arial" w:hAnsi="Arial" w:cs="Arial"/>
          <w:b/>
          <w:bCs/>
          <w:i/>
          <w:iCs/>
        </w:rPr>
        <w:t>Leishmania mexicana</w:t>
      </w:r>
    </w:p>
    <w:p w14:paraId="2DCBF3C1" w14:textId="77777777" w:rsidR="00583EA3" w:rsidRPr="00DC2FFD" w:rsidRDefault="00583EA3" w:rsidP="00583EA3">
      <w:pPr>
        <w:spacing w:line="480" w:lineRule="auto"/>
        <w:jc w:val="both"/>
        <w:rPr>
          <w:rFonts w:ascii="Arial" w:hAnsi="Arial" w:cs="Arial"/>
          <w:b/>
        </w:rPr>
      </w:pPr>
      <w:r w:rsidRPr="00DC2FFD">
        <w:rPr>
          <w:rFonts w:ascii="Arial" w:hAnsi="Arial" w:cs="Arial"/>
          <w:b/>
        </w:rPr>
        <w:t>Supplementary Data</w:t>
      </w:r>
    </w:p>
    <w:p w14:paraId="0452EE9C" w14:textId="3514DAAF" w:rsidR="00583EA3" w:rsidRPr="00DC2FFD" w:rsidRDefault="007614B0" w:rsidP="00583EA3">
      <w:pPr>
        <w:spacing w:line="360" w:lineRule="auto"/>
        <w:jc w:val="center"/>
        <w:rPr>
          <w:rFonts w:ascii="Arial" w:hAnsi="Arial" w:cs="Arial"/>
          <w:b/>
        </w:rPr>
      </w:pPr>
      <w:r w:rsidRPr="00DC2FFD">
        <w:rPr>
          <w:rFonts w:ascii="Arial" w:hAnsi="Arial" w:cs="Arial"/>
          <w:b/>
          <w:noProof/>
        </w:rPr>
        <w:drawing>
          <wp:inline distT="0" distB="0" distL="0" distR="0" wp14:anchorId="7C164BB4" wp14:editId="019AF974">
            <wp:extent cx="4260453" cy="3600000"/>
            <wp:effectExtent l="0" t="0" r="0" b="0"/>
            <wp:docPr id="1654862587" name="Picture 1" descr="A diagram of a color sche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862587" name="Picture 1" descr="A diagram of a color scheme&#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4260453" cy="3600000"/>
                    </a:xfrm>
                    <a:prstGeom prst="rect">
                      <a:avLst/>
                    </a:prstGeom>
                  </pic:spPr>
                </pic:pic>
              </a:graphicData>
            </a:graphic>
          </wp:inline>
        </w:drawing>
      </w:r>
    </w:p>
    <w:p w14:paraId="7C9892B0" w14:textId="77777777" w:rsidR="00583EA3" w:rsidRPr="00DC2FFD" w:rsidRDefault="00583EA3" w:rsidP="00583EA3">
      <w:pPr>
        <w:spacing w:line="240" w:lineRule="auto"/>
        <w:jc w:val="both"/>
        <w:rPr>
          <w:rFonts w:ascii="Arial" w:hAnsi="Arial" w:cs="Arial"/>
          <w:bCs/>
          <w:sz w:val="20"/>
          <w:szCs w:val="20"/>
        </w:rPr>
      </w:pPr>
      <w:r w:rsidRPr="00DC2FFD">
        <w:rPr>
          <w:rFonts w:ascii="Arial" w:hAnsi="Arial" w:cs="Arial"/>
          <w:b/>
          <w:sz w:val="20"/>
          <w:szCs w:val="20"/>
        </w:rPr>
        <w:t xml:space="preserve">Supplementary Data 1. Comparative analysis of </w:t>
      </w:r>
      <w:r w:rsidRPr="00DC2FFD">
        <w:rPr>
          <w:rFonts w:ascii="Arial" w:hAnsi="Arial" w:cs="Arial"/>
          <w:b/>
          <w:i/>
          <w:sz w:val="20"/>
          <w:szCs w:val="20"/>
        </w:rPr>
        <w:t>L. mexicana</w:t>
      </w:r>
      <w:r w:rsidRPr="00DC2FFD">
        <w:rPr>
          <w:rFonts w:ascii="Arial" w:hAnsi="Arial" w:cs="Arial"/>
          <w:b/>
          <w:sz w:val="20"/>
          <w:szCs w:val="20"/>
        </w:rPr>
        <w:t xml:space="preserve"> DACs. A. </w:t>
      </w:r>
      <w:r w:rsidRPr="00DC2FFD">
        <w:rPr>
          <w:rFonts w:ascii="Arial" w:hAnsi="Arial" w:cs="Arial"/>
          <w:bCs/>
          <w:sz w:val="20"/>
          <w:szCs w:val="20"/>
        </w:rPr>
        <w:t xml:space="preserve">Pairwise amino acid sequence identity matrix of human HDAC domains compared to </w:t>
      </w:r>
      <w:r w:rsidRPr="00DC2FFD">
        <w:rPr>
          <w:rFonts w:ascii="Arial" w:hAnsi="Arial" w:cs="Arial"/>
          <w:bCs/>
          <w:i/>
          <w:iCs/>
          <w:sz w:val="20"/>
          <w:szCs w:val="20"/>
        </w:rPr>
        <w:t>L. mexicana</w:t>
      </w:r>
      <w:r w:rsidRPr="00DC2FFD">
        <w:rPr>
          <w:rFonts w:ascii="Arial" w:hAnsi="Arial" w:cs="Arial"/>
          <w:bCs/>
          <w:sz w:val="20"/>
          <w:szCs w:val="20"/>
        </w:rPr>
        <w:t xml:space="preserve"> HDAC domains. </w:t>
      </w:r>
      <w:r w:rsidRPr="00DC2FFD">
        <w:rPr>
          <w:rFonts w:ascii="Arial" w:hAnsi="Arial" w:cs="Arial"/>
          <w:b/>
          <w:sz w:val="20"/>
          <w:szCs w:val="20"/>
        </w:rPr>
        <w:t>B.</w:t>
      </w:r>
      <w:r w:rsidRPr="00DC2FFD">
        <w:rPr>
          <w:rFonts w:ascii="Arial" w:hAnsi="Arial" w:cs="Arial"/>
          <w:bCs/>
          <w:sz w:val="20"/>
          <w:szCs w:val="20"/>
        </w:rPr>
        <w:t xml:space="preserve"> Phylogenetic tree of </w:t>
      </w:r>
      <w:r w:rsidRPr="00DC2FFD">
        <w:rPr>
          <w:rFonts w:ascii="Arial" w:hAnsi="Arial" w:cs="Arial"/>
          <w:bCs/>
          <w:i/>
          <w:iCs/>
          <w:sz w:val="20"/>
          <w:szCs w:val="20"/>
        </w:rPr>
        <w:t>L. mexicana</w:t>
      </w:r>
      <w:r w:rsidRPr="00DC2FFD">
        <w:rPr>
          <w:rFonts w:ascii="Arial" w:hAnsi="Arial" w:cs="Arial"/>
          <w:bCs/>
          <w:sz w:val="20"/>
          <w:szCs w:val="20"/>
        </w:rPr>
        <w:t xml:space="preserve">, </w:t>
      </w:r>
      <w:r w:rsidRPr="00DC2FFD">
        <w:rPr>
          <w:rFonts w:ascii="Arial" w:hAnsi="Arial" w:cs="Arial"/>
          <w:bCs/>
          <w:i/>
          <w:iCs/>
          <w:sz w:val="20"/>
          <w:szCs w:val="20"/>
        </w:rPr>
        <w:t>T. brucei</w:t>
      </w:r>
      <w:r w:rsidRPr="00DC2FFD">
        <w:rPr>
          <w:rFonts w:ascii="Arial" w:hAnsi="Arial" w:cs="Arial"/>
          <w:bCs/>
          <w:sz w:val="20"/>
          <w:szCs w:val="20"/>
        </w:rPr>
        <w:t xml:space="preserve">, and </w:t>
      </w:r>
      <w:r w:rsidRPr="00DC2FFD">
        <w:rPr>
          <w:rFonts w:ascii="Arial" w:hAnsi="Arial" w:cs="Arial"/>
          <w:bCs/>
          <w:i/>
          <w:iCs/>
          <w:sz w:val="20"/>
          <w:szCs w:val="20"/>
        </w:rPr>
        <w:t>T. cruzi</w:t>
      </w:r>
      <w:r w:rsidRPr="00DC2FFD">
        <w:rPr>
          <w:rFonts w:ascii="Arial" w:hAnsi="Arial" w:cs="Arial"/>
          <w:bCs/>
          <w:sz w:val="20"/>
          <w:szCs w:val="20"/>
        </w:rPr>
        <w:t xml:space="preserve"> DACs. </w:t>
      </w:r>
      <w:r w:rsidRPr="00DC2FFD">
        <w:rPr>
          <w:rFonts w:ascii="Arial" w:hAnsi="Arial" w:cs="Arial"/>
          <w:bCs/>
          <w:i/>
          <w:iCs/>
          <w:sz w:val="20"/>
          <w:szCs w:val="20"/>
        </w:rPr>
        <w:t>L. mexicana</w:t>
      </w:r>
      <w:r w:rsidRPr="00DC2FFD">
        <w:rPr>
          <w:rFonts w:ascii="Arial" w:hAnsi="Arial" w:cs="Arial"/>
          <w:bCs/>
          <w:sz w:val="20"/>
          <w:szCs w:val="20"/>
        </w:rPr>
        <w:t xml:space="preserve"> DAC5 exhibits greater divergence compared to other trypanosomatid enzymes. </w:t>
      </w:r>
      <w:r w:rsidRPr="00DC2FFD">
        <w:rPr>
          <w:rFonts w:ascii="Arial" w:hAnsi="Arial" w:cs="Arial"/>
          <w:b/>
          <w:sz w:val="20"/>
          <w:szCs w:val="20"/>
        </w:rPr>
        <w:t>C.</w:t>
      </w:r>
      <w:r w:rsidRPr="00DC2FFD">
        <w:rPr>
          <w:rFonts w:ascii="Arial" w:hAnsi="Arial" w:cs="Arial"/>
          <w:bCs/>
          <w:sz w:val="20"/>
          <w:szCs w:val="20"/>
        </w:rPr>
        <w:t xml:space="preserve"> All </w:t>
      </w:r>
      <w:r w:rsidRPr="00DC2FFD">
        <w:rPr>
          <w:rFonts w:ascii="Arial" w:hAnsi="Arial" w:cs="Arial"/>
          <w:bCs/>
          <w:i/>
          <w:iCs/>
          <w:sz w:val="20"/>
          <w:szCs w:val="20"/>
        </w:rPr>
        <w:t>L. mexicana</w:t>
      </w:r>
      <w:r w:rsidRPr="00DC2FFD">
        <w:rPr>
          <w:rFonts w:ascii="Arial" w:hAnsi="Arial" w:cs="Arial"/>
          <w:bCs/>
          <w:sz w:val="20"/>
          <w:szCs w:val="20"/>
        </w:rPr>
        <w:t xml:space="preserve"> DACs retain the tyrosine residue essential for lysine deacetylase activity, characteristic of human HDAC class I.</w:t>
      </w:r>
    </w:p>
    <w:p w14:paraId="044056BD" w14:textId="77777777" w:rsidR="00583EA3" w:rsidRPr="00DC2FFD" w:rsidRDefault="00583EA3" w:rsidP="00583EA3">
      <w:pPr>
        <w:spacing w:line="240" w:lineRule="auto"/>
        <w:jc w:val="both"/>
        <w:rPr>
          <w:rFonts w:ascii="Arial" w:hAnsi="Arial" w:cs="Arial"/>
          <w:b/>
          <w:bCs/>
          <w:sz w:val="20"/>
          <w:szCs w:val="20"/>
        </w:rPr>
      </w:pPr>
    </w:p>
    <w:p w14:paraId="334C3A3F" w14:textId="49B31EC3" w:rsidR="00583EA3" w:rsidRPr="00DC2FFD" w:rsidRDefault="00583EA3" w:rsidP="00583EA3">
      <w:pPr>
        <w:spacing w:line="240" w:lineRule="auto"/>
        <w:jc w:val="center"/>
        <w:rPr>
          <w:rFonts w:ascii="Arial" w:hAnsi="Arial" w:cs="Arial"/>
          <w:b/>
          <w:bCs/>
          <w:sz w:val="20"/>
          <w:szCs w:val="20"/>
        </w:rPr>
      </w:pPr>
    </w:p>
    <w:p w14:paraId="0E635576" w14:textId="020E487B" w:rsidR="00583EA3" w:rsidRPr="00DC2FFD" w:rsidRDefault="007614B0" w:rsidP="00DC2FFD">
      <w:pPr>
        <w:spacing w:line="240" w:lineRule="auto"/>
        <w:jc w:val="center"/>
        <w:rPr>
          <w:rFonts w:ascii="Arial" w:hAnsi="Arial" w:cs="Arial"/>
          <w:b/>
          <w:bCs/>
          <w:sz w:val="20"/>
          <w:szCs w:val="20"/>
        </w:rPr>
      </w:pPr>
      <w:r w:rsidRPr="00DC2FFD">
        <w:rPr>
          <w:rFonts w:ascii="Arial" w:hAnsi="Arial" w:cs="Arial"/>
          <w:b/>
          <w:bCs/>
          <w:noProof/>
          <w:sz w:val="20"/>
          <w:szCs w:val="20"/>
        </w:rPr>
        <w:lastRenderedPageBreak/>
        <w:drawing>
          <wp:inline distT="0" distB="0" distL="0" distR="0" wp14:anchorId="78FF3CBE" wp14:editId="66205648">
            <wp:extent cx="5237175" cy="3600000"/>
            <wp:effectExtent l="0" t="0" r="0" b="0"/>
            <wp:docPr id="1158823129" name="Picture 2"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823129" name="Picture 2" descr="A close-up of a graph&#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37175" cy="3600000"/>
                    </a:xfrm>
                    <a:prstGeom prst="rect">
                      <a:avLst/>
                    </a:prstGeom>
                  </pic:spPr>
                </pic:pic>
              </a:graphicData>
            </a:graphic>
          </wp:inline>
        </w:drawing>
      </w:r>
    </w:p>
    <w:p w14:paraId="13D249CA" w14:textId="77777777" w:rsidR="00583EA3" w:rsidRPr="00DC2FFD" w:rsidRDefault="00583EA3" w:rsidP="00583EA3">
      <w:pPr>
        <w:spacing w:line="240" w:lineRule="auto"/>
        <w:jc w:val="both"/>
        <w:rPr>
          <w:rFonts w:ascii="Arial" w:hAnsi="Arial" w:cs="Arial"/>
          <w:sz w:val="20"/>
          <w:szCs w:val="20"/>
        </w:rPr>
      </w:pPr>
      <w:r w:rsidRPr="00DC2FFD">
        <w:rPr>
          <w:rFonts w:ascii="Arial" w:hAnsi="Arial" w:cs="Arial"/>
          <w:b/>
          <w:bCs/>
          <w:sz w:val="20"/>
          <w:szCs w:val="20"/>
        </w:rPr>
        <w:t>Supplementary Data 2. </w:t>
      </w:r>
      <w:r w:rsidRPr="00DC2FFD">
        <w:rPr>
          <w:rFonts w:ascii="Arial" w:hAnsi="Arial" w:cs="Arial"/>
          <w:b/>
          <w:i/>
          <w:sz w:val="20"/>
          <w:szCs w:val="20"/>
        </w:rPr>
        <w:t>L. mexicana</w:t>
      </w:r>
      <w:r w:rsidRPr="00DC2FFD">
        <w:rPr>
          <w:rFonts w:ascii="Arial" w:hAnsi="Arial" w:cs="Arial"/>
          <w:b/>
          <w:sz w:val="20"/>
          <w:szCs w:val="20"/>
        </w:rPr>
        <w:t xml:space="preserve"> DACs parasite stage subcellular localization and expression.</w:t>
      </w:r>
      <w:r w:rsidRPr="00DC2FFD">
        <w:rPr>
          <w:rFonts w:ascii="Arial" w:hAnsi="Arial" w:cs="Arial"/>
          <w:sz w:val="20"/>
          <w:szCs w:val="20"/>
        </w:rPr>
        <w:t xml:space="preserve"> </w:t>
      </w:r>
      <w:r w:rsidRPr="00DC2FFD">
        <w:rPr>
          <w:rFonts w:ascii="Arial" w:hAnsi="Arial" w:cs="Arial"/>
          <w:b/>
          <w:sz w:val="20"/>
          <w:szCs w:val="20"/>
        </w:rPr>
        <w:t>A.</w:t>
      </w:r>
      <w:r w:rsidRPr="00DC2FFD">
        <w:rPr>
          <w:rFonts w:ascii="Arial" w:hAnsi="Arial" w:cs="Arial"/>
          <w:sz w:val="20"/>
          <w:szCs w:val="20"/>
        </w:rPr>
        <w:t xml:space="preserve"> Representative flow cytometry histograms showing fluorescence intensity of </w:t>
      </w:r>
      <w:r w:rsidRPr="00DC2FFD">
        <w:rPr>
          <w:rFonts w:ascii="Arial" w:hAnsi="Arial" w:cs="Arial"/>
          <w:i/>
          <w:iCs/>
          <w:sz w:val="20"/>
          <w:szCs w:val="20"/>
        </w:rPr>
        <w:t>L. mexicana</w:t>
      </w:r>
      <w:r w:rsidRPr="00DC2FFD">
        <w:rPr>
          <w:rFonts w:ascii="Arial" w:hAnsi="Arial" w:cs="Arial"/>
          <w:sz w:val="20"/>
          <w:szCs w:val="20"/>
        </w:rPr>
        <w:t xml:space="preserve"> procyclic parasites expressing DACs fused to mNeonGreen generated in this study. </w:t>
      </w:r>
      <w:r w:rsidRPr="00DC2FFD">
        <w:rPr>
          <w:rFonts w:ascii="Arial" w:hAnsi="Arial" w:cs="Arial"/>
          <w:b/>
          <w:bCs/>
          <w:sz w:val="20"/>
          <w:szCs w:val="20"/>
        </w:rPr>
        <w:t>B.</w:t>
      </w:r>
      <w:r w:rsidRPr="00DC2FFD">
        <w:rPr>
          <w:rFonts w:ascii="Arial" w:hAnsi="Arial" w:cs="Arial"/>
          <w:sz w:val="20"/>
          <w:szCs w:val="20"/>
        </w:rPr>
        <w:t xml:space="preserve"> Confocal microscopy images of metacyclic and axenic amastigote stages of DAC-tagged parasites. As observed in procyclic forms, DAC1 and DAC5 are cytoplasmic, while DAC3 and 4 are nuclear. Scale bars: 5 µm (metacyclic), 2 µm (axenic amastigote). </w:t>
      </w:r>
      <w:r w:rsidRPr="00DC2FFD">
        <w:rPr>
          <w:rFonts w:ascii="Arial" w:hAnsi="Arial" w:cs="Arial"/>
          <w:b/>
          <w:bCs/>
          <w:sz w:val="20"/>
          <w:szCs w:val="20"/>
        </w:rPr>
        <w:t>C.</w:t>
      </w:r>
      <w:r w:rsidRPr="00DC2FFD">
        <w:rPr>
          <w:rFonts w:ascii="Arial" w:hAnsi="Arial" w:cs="Arial"/>
          <w:sz w:val="20"/>
          <w:szCs w:val="20"/>
        </w:rPr>
        <w:t xml:space="preserve"> DAC protein expression in procyclic, metacyclic, and axenic amastigote stages of </w:t>
      </w:r>
      <w:r w:rsidRPr="00DC2FFD">
        <w:rPr>
          <w:rFonts w:ascii="Arial" w:hAnsi="Arial" w:cs="Arial"/>
          <w:i/>
          <w:iCs/>
          <w:sz w:val="20"/>
          <w:szCs w:val="20"/>
        </w:rPr>
        <w:t>L. mexicana</w:t>
      </w:r>
      <w:r w:rsidRPr="00DC2FFD">
        <w:rPr>
          <w:rFonts w:ascii="Arial" w:hAnsi="Arial" w:cs="Arial"/>
          <w:sz w:val="20"/>
          <w:szCs w:val="20"/>
        </w:rPr>
        <w:t xml:space="preserve"> as determined by flow cytometry analysis. The data shown are representative of three independent quantifications.</w:t>
      </w:r>
    </w:p>
    <w:p w14:paraId="05658D86" w14:textId="77777777" w:rsidR="00583EA3" w:rsidRPr="00DC2FFD" w:rsidRDefault="00583EA3" w:rsidP="00583EA3">
      <w:pPr>
        <w:spacing w:line="480" w:lineRule="auto"/>
        <w:jc w:val="both"/>
        <w:rPr>
          <w:rFonts w:ascii="Arial" w:hAnsi="Arial" w:cs="Arial"/>
        </w:rPr>
      </w:pPr>
    </w:p>
    <w:p w14:paraId="43F7DD73" w14:textId="77777777" w:rsidR="00DC2FFD" w:rsidRPr="00DC2FFD" w:rsidRDefault="00DC2FFD" w:rsidP="00583EA3">
      <w:pPr>
        <w:spacing w:line="480" w:lineRule="auto"/>
        <w:jc w:val="both"/>
        <w:rPr>
          <w:rFonts w:ascii="Arial" w:hAnsi="Arial" w:cs="Arial"/>
        </w:rPr>
      </w:pPr>
    </w:p>
    <w:p w14:paraId="23F2F791" w14:textId="25C5CAF1" w:rsidR="00583EA3" w:rsidRPr="00DC2FFD" w:rsidRDefault="00DC2FFD" w:rsidP="00DC2FFD">
      <w:pPr>
        <w:spacing w:line="240" w:lineRule="auto"/>
        <w:jc w:val="center"/>
        <w:rPr>
          <w:rFonts w:ascii="Arial" w:hAnsi="Arial" w:cs="Arial"/>
        </w:rPr>
      </w:pPr>
      <w:r w:rsidRPr="00DC2FFD">
        <w:rPr>
          <w:rFonts w:ascii="Arial" w:hAnsi="Arial" w:cs="Arial"/>
          <w:noProof/>
        </w:rPr>
        <w:lastRenderedPageBreak/>
        <w:drawing>
          <wp:inline distT="0" distB="0" distL="0" distR="0" wp14:anchorId="300740F7" wp14:editId="2587CF16">
            <wp:extent cx="5943600" cy="2586355"/>
            <wp:effectExtent l="0" t="0" r="0" b="4445"/>
            <wp:docPr id="1475313936" name="Picture 3"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313936" name="Picture 3" descr="A graph of different types of data&#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586355"/>
                    </a:xfrm>
                    <a:prstGeom prst="rect">
                      <a:avLst/>
                    </a:prstGeom>
                  </pic:spPr>
                </pic:pic>
              </a:graphicData>
            </a:graphic>
          </wp:inline>
        </w:drawing>
      </w:r>
    </w:p>
    <w:p w14:paraId="3B103DC2" w14:textId="77777777" w:rsidR="00583EA3" w:rsidRPr="00DC2FFD" w:rsidRDefault="00583EA3" w:rsidP="00DC2FFD">
      <w:pPr>
        <w:spacing w:line="240" w:lineRule="auto"/>
        <w:jc w:val="both"/>
        <w:rPr>
          <w:rFonts w:ascii="Arial" w:hAnsi="Arial" w:cs="Arial"/>
          <w:sz w:val="20"/>
          <w:szCs w:val="20"/>
        </w:rPr>
      </w:pPr>
      <w:bookmarkStart w:id="0" w:name="_heading=h.1t3h5sf" w:colFirst="0" w:colLast="0"/>
      <w:bookmarkEnd w:id="0"/>
      <w:r w:rsidRPr="00DC2FFD">
        <w:rPr>
          <w:rFonts w:ascii="Arial" w:hAnsi="Arial" w:cs="Arial"/>
          <w:b/>
          <w:sz w:val="20"/>
          <w:szCs w:val="20"/>
        </w:rPr>
        <w:t xml:space="preserve">Supplementary Data 3. Confirmation of </w:t>
      </w:r>
      <w:r w:rsidRPr="00DC2FFD">
        <w:rPr>
          <w:rFonts w:ascii="Arial" w:hAnsi="Arial" w:cs="Arial"/>
          <w:b/>
          <w:i/>
          <w:sz w:val="20"/>
          <w:szCs w:val="20"/>
        </w:rPr>
        <w:t>L. mexicana</w:t>
      </w:r>
      <w:r w:rsidRPr="00DC2FFD">
        <w:rPr>
          <w:rFonts w:ascii="Arial" w:hAnsi="Arial" w:cs="Arial"/>
          <w:b/>
          <w:sz w:val="20"/>
          <w:szCs w:val="20"/>
        </w:rPr>
        <w:t xml:space="preserve"> DACs knockout mutants</w:t>
      </w:r>
      <w:r w:rsidRPr="00DC2FFD">
        <w:rPr>
          <w:rFonts w:ascii="Arial" w:hAnsi="Arial" w:cs="Arial"/>
          <w:sz w:val="20"/>
          <w:szCs w:val="20"/>
        </w:rPr>
        <w:t xml:space="preserve">. </w:t>
      </w:r>
      <w:r w:rsidRPr="00DC2FFD">
        <w:rPr>
          <w:rFonts w:ascii="Arial" w:hAnsi="Arial" w:cs="Arial"/>
          <w:b/>
          <w:sz w:val="20"/>
          <w:szCs w:val="20"/>
        </w:rPr>
        <w:t>A.</w:t>
      </w:r>
      <w:r w:rsidRPr="00DC2FFD">
        <w:rPr>
          <w:rFonts w:ascii="Arial" w:hAnsi="Arial" w:cs="Arial"/>
          <w:sz w:val="20"/>
          <w:szCs w:val="20"/>
        </w:rPr>
        <w:t xml:space="preserve"> Schematic representation of gene editing by homologous recombination. DAC loci showing integration of homologous recombination cassettes (HR) containing the antibiotic resistance genes for puromycin (PAC) and blasticidin (BSD). </w:t>
      </w:r>
      <w:r w:rsidRPr="00DC2FFD">
        <w:rPr>
          <w:rFonts w:ascii="Arial" w:hAnsi="Arial" w:cs="Arial"/>
          <w:b/>
          <w:bCs/>
          <w:sz w:val="20"/>
          <w:szCs w:val="20"/>
        </w:rPr>
        <w:t>B.</w:t>
      </w:r>
      <w:r w:rsidRPr="00DC2FFD">
        <w:rPr>
          <w:rFonts w:ascii="Arial" w:hAnsi="Arial" w:cs="Arial"/>
          <w:sz w:val="20"/>
          <w:szCs w:val="20"/>
        </w:rPr>
        <w:t xml:space="preserve"> Diagnostic PCR for DAC1 (LmxM.21.0680), DAC3 (LmxM.21.1870), DAC4 (LmxM.08.1090), and DAC5 (LmxM.24.1370). DAC knockout mutant parasites were genotyped by PCR using oligonucleotides pairs flanking the specific loci of each DAC (primer 1 in letter A) and antibiotic resistance genes (primer 3 or 4 in letter A). </w:t>
      </w:r>
      <w:r w:rsidRPr="00DC2FFD">
        <w:rPr>
          <w:rFonts w:ascii="Arial" w:hAnsi="Arial" w:cs="Arial"/>
          <w:b/>
          <w:bCs/>
          <w:sz w:val="20"/>
          <w:szCs w:val="20"/>
        </w:rPr>
        <w:t>C-D</w:t>
      </w:r>
      <w:r w:rsidRPr="00DC2FFD">
        <w:rPr>
          <w:rFonts w:ascii="Arial" w:hAnsi="Arial" w:cs="Arial"/>
          <w:sz w:val="20"/>
          <w:szCs w:val="20"/>
        </w:rPr>
        <w:t>. Confirmation of knockout mutant parasites by qPCR and RT-qPCR to measure DAC gene copy number and mRNA expression levels, respectively. We obtained hemizygous knockout mutants (one disrupted allele) for DAC1 and DAC3, and homozygous knockout mutants (both alleles disrupted) for DAC4 and DAC5. All data shown are representative of three independent biological replicates of a triplicate technical experiment. C1, C2 and C3: independent clones.</w:t>
      </w:r>
    </w:p>
    <w:p w14:paraId="791E0B46" w14:textId="77777777" w:rsidR="00583EA3" w:rsidRPr="00DC2FFD" w:rsidRDefault="00583EA3" w:rsidP="00583EA3">
      <w:pPr>
        <w:spacing w:line="240" w:lineRule="auto"/>
        <w:jc w:val="both"/>
        <w:rPr>
          <w:rFonts w:ascii="Arial" w:hAnsi="Arial" w:cs="Arial"/>
          <w:sz w:val="20"/>
          <w:szCs w:val="20"/>
        </w:rPr>
      </w:pPr>
    </w:p>
    <w:p w14:paraId="10A3676E" w14:textId="77777777" w:rsidR="00583EA3" w:rsidRPr="00DC2FFD" w:rsidRDefault="00583EA3" w:rsidP="00583EA3">
      <w:pPr>
        <w:spacing w:line="240" w:lineRule="auto"/>
        <w:jc w:val="both"/>
        <w:rPr>
          <w:rFonts w:ascii="Arial" w:hAnsi="Arial" w:cs="Arial"/>
          <w:sz w:val="20"/>
          <w:szCs w:val="20"/>
        </w:rPr>
      </w:pPr>
    </w:p>
    <w:p w14:paraId="67C3A91F" w14:textId="77777777" w:rsidR="00583EA3" w:rsidRPr="00DC2FFD" w:rsidRDefault="00583EA3" w:rsidP="00583EA3">
      <w:pPr>
        <w:spacing w:line="240" w:lineRule="auto"/>
        <w:jc w:val="both"/>
        <w:rPr>
          <w:rFonts w:ascii="Arial" w:hAnsi="Arial" w:cs="Arial"/>
          <w:sz w:val="20"/>
          <w:szCs w:val="20"/>
        </w:rPr>
      </w:pPr>
    </w:p>
    <w:p w14:paraId="583BF303" w14:textId="692CC0A4" w:rsidR="00583EA3" w:rsidRPr="00DC2FFD" w:rsidRDefault="00DC2FFD" w:rsidP="00DC2FFD">
      <w:pPr>
        <w:spacing w:line="240" w:lineRule="auto"/>
        <w:jc w:val="center"/>
        <w:rPr>
          <w:rFonts w:ascii="Arial" w:hAnsi="Arial" w:cs="Arial"/>
        </w:rPr>
      </w:pPr>
      <w:r w:rsidRPr="00DC2FFD">
        <w:rPr>
          <w:rFonts w:ascii="Arial" w:hAnsi="Arial" w:cs="Arial"/>
          <w:noProof/>
        </w:rPr>
        <w:lastRenderedPageBreak/>
        <w:drawing>
          <wp:inline distT="0" distB="0" distL="0" distR="0" wp14:anchorId="74E74A09" wp14:editId="740CAE4E">
            <wp:extent cx="5943600" cy="3473450"/>
            <wp:effectExtent l="0" t="0" r="0" b="6350"/>
            <wp:docPr id="750904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04037" name="Picture 75090403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473450"/>
                    </a:xfrm>
                    <a:prstGeom prst="rect">
                      <a:avLst/>
                    </a:prstGeom>
                  </pic:spPr>
                </pic:pic>
              </a:graphicData>
            </a:graphic>
          </wp:inline>
        </w:drawing>
      </w:r>
    </w:p>
    <w:p w14:paraId="0EE69162" w14:textId="77777777" w:rsidR="00583EA3" w:rsidRPr="00DC2FFD" w:rsidRDefault="00583EA3" w:rsidP="00DC2FFD">
      <w:pPr>
        <w:spacing w:line="240" w:lineRule="auto"/>
        <w:jc w:val="both"/>
        <w:rPr>
          <w:rFonts w:ascii="Arial" w:hAnsi="Arial" w:cs="Arial"/>
          <w:sz w:val="20"/>
          <w:szCs w:val="20"/>
        </w:rPr>
      </w:pPr>
      <w:r w:rsidRPr="00DC2FFD">
        <w:rPr>
          <w:rFonts w:ascii="Arial" w:hAnsi="Arial" w:cs="Arial"/>
          <w:b/>
          <w:sz w:val="20"/>
          <w:szCs w:val="20"/>
        </w:rPr>
        <w:t xml:space="preserve">Supplementary Data 4. Generation of </w:t>
      </w:r>
      <w:r w:rsidRPr="00DC2FFD">
        <w:rPr>
          <w:rFonts w:ascii="Arial" w:hAnsi="Arial" w:cs="Arial"/>
          <w:b/>
          <w:i/>
          <w:iCs/>
          <w:sz w:val="20"/>
          <w:szCs w:val="20"/>
        </w:rPr>
        <w:t>L. mexicana</w:t>
      </w:r>
      <w:r w:rsidRPr="00DC2FFD">
        <w:rPr>
          <w:rFonts w:ascii="Arial" w:hAnsi="Arial" w:cs="Arial"/>
          <w:b/>
          <w:sz w:val="20"/>
          <w:szCs w:val="20"/>
        </w:rPr>
        <w:t xml:space="preserve"> DAC add-back parasites. A.</w:t>
      </w:r>
      <w:r w:rsidRPr="00DC2FFD">
        <w:rPr>
          <w:rFonts w:ascii="Arial" w:hAnsi="Arial" w:cs="Arial"/>
          <w:sz w:val="20"/>
          <w:szCs w:val="20"/>
        </w:rPr>
        <w:t xml:space="preserve"> Confirmation of the maintenance of knockout genotype in each DAC add-back parasite (AB). Diagnostic PCR reactions were done as described in Supplementary Data 4A-B. </w:t>
      </w:r>
      <w:r w:rsidRPr="00DC2FFD">
        <w:rPr>
          <w:rFonts w:ascii="Arial" w:hAnsi="Arial" w:cs="Arial"/>
          <w:b/>
          <w:sz w:val="20"/>
          <w:szCs w:val="20"/>
        </w:rPr>
        <w:t>B.</w:t>
      </w:r>
      <w:r w:rsidRPr="00DC2FFD">
        <w:rPr>
          <w:rFonts w:ascii="Arial" w:hAnsi="Arial" w:cs="Arial"/>
          <w:sz w:val="20"/>
          <w:szCs w:val="20"/>
        </w:rPr>
        <w:t xml:space="preserve"> Western blot analysis of total protein extracts from DAC1, DAC3, and DAC4 add-back parasites using an anti-V5 antibody. Arrowheads indicate the expected sizes of DAC1 (50 kDa), DAC3 (67 kDa), and DAC4 (66 kDa). Aldolase was used as a loading control and Cas9 cell line as negative control. </w:t>
      </w:r>
      <w:r w:rsidRPr="00DC2FFD">
        <w:rPr>
          <w:rFonts w:ascii="Arial" w:hAnsi="Arial" w:cs="Arial"/>
          <w:b/>
          <w:sz w:val="20"/>
          <w:szCs w:val="20"/>
        </w:rPr>
        <w:t>C.</w:t>
      </w:r>
      <w:r w:rsidRPr="00DC2FFD">
        <w:rPr>
          <w:rFonts w:ascii="Arial" w:hAnsi="Arial" w:cs="Arial"/>
          <w:sz w:val="20"/>
          <w:szCs w:val="20"/>
        </w:rPr>
        <w:t xml:space="preserve"> DAC5-AB was evaluated by RT-qPCR and the expression levels were compared to the parental DAC5 gene expression. </w:t>
      </w:r>
      <w:r w:rsidRPr="00DC2FFD">
        <w:rPr>
          <w:rFonts w:ascii="Arial" w:hAnsi="Arial" w:cs="Arial"/>
          <w:i/>
          <w:iCs/>
          <w:sz w:val="20"/>
          <w:szCs w:val="20"/>
        </w:rPr>
        <w:t>L. mexicana</w:t>
      </w:r>
      <w:r w:rsidRPr="00DC2FFD">
        <w:rPr>
          <w:rFonts w:ascii="Arial" w:hAnsi="Arial" w:cs="Arial"/>
          <w:sz w:val="20"/>
          <w:szCs w:val="20"/>
        </w:rPr>
        <w:t xml:space="preserve"> GAPDH gene (LmxM.29.2980) was used as endogenous control. Statistical significance was determined by one-way ANOVA. *</w:t>
      </w:r>
      <w:r w:rsidRPr="00DC2FFD">
        <w:rPr>
          <w:rFonts w:ascii="Arial" w:hAnsi="Arial" w:cs="Arial"/>
          <w:i/>
          <w:iCs/>
          <w:sz w:val="20"/>
          <w:szCs w:val="20"/>
        </w:rPr>
        <w:t>p</w:t>
      </w:r>
      <w:r w:rsidRPr="00DC2FFD">
        <w:rPr>
          <w:rFonts w:ascii="Arial" w:hAnsi="Arial" w:cs="Arial"/>
          <w:sz w:val="20"/>
          <w:szCs w:val="20"/>
        </w:rPr>
        <w:t xml:space="preserve"> &lt; 0.05, **</w:t>
      </w:r>
      <w:r w:rsidRPr="00DC2FFD">
        <w:rPr>
          <w:rFonts w:ascii="Arial" w:hAnsi="Arial" w:cs="Arial"/>
          <w:i/>
          <w:iCs/>
          <w:sz w:val="20"/>
          <w:szCs w:val="20"/>
        </w:rPr>
        <w:t>p</w:t>
      </w:r>
      <w:r w:rsidRPr="00DC2FFD">
        <w:rPr>
          <w:rFonts w:ascii="Arial" w:hAnsi="Arial" w:cs="Arial"/>
          <w:sz w:val="20"/>
          <w:szCs w:val="20"/>
        </w:rPr>
        <w:t xml:space="preserve"> &lt; 0.01, ***</w:t>
      </w:r>
      <w:r w:rsidRPr="00DC2FFD">
        <w:rPr>
          <w:rFonts w:ascii="Arial" w:hAnsi="Arial" w:cs="Arial"/>
          <w:i/>
          <w:iCs/>
          <w:sz w:val="20"/>
          <w:szCs w:val="20"/>
        </w:rPr>
        <w:t>p</w:t>
      </w:r>
      <w:r w:rsidRPr="00DC2FFD">
        <w:rPr>
          <w:rFonts w:ascii="Arial" w:hAnsi="Arial" w:cs="Arial"/>
          <w:sz w:val="20"/>
          <w:szCs w:val="20"/>
        </w:rPr>
        <w:t xml:space="preserve"> &lt; 0.001, ****</w:t>
      </w:r>
      <w:r w:rsidRPr="00DC2FFD">
        <w:rPr>
          <w:rFonts w:ascii="Arial" w:hAnsi="Arial" w:cs="Arial"/>
          <w:i/>
          <w:iCs/>
          <w:sz w:val="20"/>
          <w:szCs w:val="20"/>
        </w:rPr>
        <w:t>p</w:t>
      </w:r>
      <w:r w:rsidRPr="00DC2FFD">
        <w:rPr>
          <w:rFonts w:ascii="Arial" w:hAnsi="Arial" w:cs="Arial"/>
          <w:sz w:val="20"/>
          <w:szCs w:val="20"/>
        </w:rPr>
        <w:t xml:space="preserve"> &lt; 0.0001. </w:t>
      </w:r>
      <w:r w:rsidRPr="00DC2FFD">
        <w:rPr>
          <w:rFonts w:ascii="Arial" w:hAnsi="Arial" w:cs="Arial"/>
          <w:b/>
          <w:sz w:val="20"/>
          <w:szCs w:val="20"/>
        </w:rPr>
        <w:t>D.</w:t>
      </w:r>
      <w:r w:rsidRPr="00DC2FFD">
        <w:rPr>
          <w:rFonts w:ascii="Arial" w:hAnsi="Arial" w:cs="Arial"/>
          <w:sz w:val="20"/>
          <w:szCs w:val="20"/>
        </w:rPr>
        <w:t xml:space="preserve"> Immunofluorescence of procyclic DAC5 add-back parasites using an anti-V5 antibody. DNA/kinetoplast stained with DAPI. Scale bar: 5 µm.</w:t>
      </w:r>
    </w:p>
    <w:p w14:paraId="3E642788" w14:textId="77777777" w:rsidR="00583EA3" w:rsidRPr="00DC2FFD" w:rsidRDefault="00583EA3" w:rsidP="00DC2FFD">
      <w:pPr>
        <w:spacing w:line="240" w:lineRule="auto"/>
        <w:jc w:val="both"/>
        <w:rPr>
          <w:rFonts w:ascii="Arial" w:hAnsi="Arial" w:cs="Arial"/>
          <w:sz w:val="20"/>
          <w:szCs w:val="20"/>
        </w:rPr>
      </w:pPr>
    </w:p>
    <w:p w14:paraId="234D5876" w14:textId="77777777" w:rsidR="00583EA3" w:rsidRPr="00DC2FFD" w:rsidRDefault="00583EA3" w:rsidP="00583EA3">
      <w:pPr>
        <w:spacing w:line="240" w:lineRule="auto"/>
        <w:jc w:val="both"/>
        <w:rPr>
          <w:rFonts w:ascii="Arial" w:hAnsi="Arial" w:cs="Arial"/>
          <w:sz w:val="20"/>
          <w:szCs w:val="20"/>
        </w:rPr>
      </w:pPr>
    </w:p>
    <w:p w14:paraId="6947685A" w14:textId="327E90CC" w:rsidR="00583EA3" w:rsidRPr="00DC2FFD" w:rsidRDefault="005A57B2" w:rsidP="005A57B2">
      <w:pPr>
        <w:spacing w:line="240" w:lineRule="auto"/>
        <w:jc w:val="center"/>
        <w:rPr>
          <w:rFonts w:ascii="Arial" w:hAnsi="Arial" w:cs="Arial"/>
        </w:rPr>
      </w:pPr>
      <w:r>
        <w:rPr>
          <w:rFonts w:ascii="Arial" w:hAnsi="Arial" w:cs="Arial"/>
          <w:noProof/>
        </w:rPr>
        <w:lastRenderedPageBreak/>
        <w:drawing>
          <wp:inline distT="0" distB="0" distL="0" distR="0" wp14:anchorId="3C85A625" wp14:editId="274DF069">
            <wp:extent cx="5252999" cy="4680000"/>
            <wp:effectExtent l="0" t="0" r="5080" b="0"/>
            <wp:docPr id="1791228412" name="Picture 5" descr="A group of graphs showing different types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228412" name="Picture 5" descr="A group of graphs showing different types of cell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52999" cy="4680000"/>
                    </a:xfrm>
                    <a:prstGeom prst="rect">
                      <a:avLst/>
                    </a:prstGeom>
                  </pic:spPr>
                </pic:pic>
              </a:graphicData>
            </a:graphic>
          </wp:inline>
        </w:drawing>
      </w:r>
    </w:p>
    <w:p w14:paraId="737B3B74" w14:textId="77777777" w:rsidR="00583EA3" w:rsidRPr="00DC2FFD" w:rsidRDefault="00583EA3" w:rsidP="005A57B2">
      <w:pPr>
        <w:spacing w:line="240" w:lineRule="auto"/>
        <w:jc w:val="both"/>
        <w:rPr>
          <w:rFonts w:ascii="Arial" w:hAnsi="Arial" w:cs="Arial"/>
          <w:sz w:val="20"/>
          <w:szCs w:val="20"/>
        </w:rPr>
      </w:pPr>
      <w:r w:rsidRPr="00DC2FFD">
        <w:rPr>
          <w:rFonts w:ascii="Arial" w:hAnsi="Arial" w:cs="Arial"/>
          <w:b/>
          <w:bCs/>
          <w:sz w:val="20"/>
          <w:szCs w:val="20"/>
        </w:rPr>
        <w:t>Supplementary Figure 5. DAC3 and DAC5 impact </w:t>
      </w:r>
      <w:r w:rsidRPr="00DC2FFD">
        <w:rPr>
          <w:rFonts w:ascii="Arial" w:hAnsi="Arial" w:cs="Arial"/>
          <w:b/>
          <w:bCs/>
          <w:i/>
          <w:iCs/>
          <w:sz w:val="20"/>
          <w:szCs w:val="20"/>
        </w:rPr>
        <w:t>L. longipalpis</w:t>
      </w:r>
      <w:r w:rsidRPr="00DC2FFD">
        <w:rPr>
          <w:rFonts w:ascii="Arial" w:hAnsi="Arial" w:cs="Arial"/>
          <w:b/>
          <w:bCs/>
          <w:sz w:val="20"/>
          <w:szCs w:val="20"/>
        </w:rPr>
        <w:t> </w:t>
      </w:r>
      <w:r w:rsidRPr="00DC2FFD">
        <w:rPr>
          <w:rFonts w:ascii="Arial" w:hAnsi="Arial" w:cs="Arial"/>
          <w:b/>
          <w:bCs/>
          <w:i/>
          <w:iCs/>
          <w:sz w:val="20"/>
          <w:szCs w:val="20"/>
        </w:rPr>
        <w:t>in vivo</w:t>
      </w:r>
      <w:r w:rsidRPr="00DC2FFD">
        <w:rPr>
          <w:rFonts w:ascii="Arial" w:hAnsi="Arial" w:cs="Arial"/>
          <w:b/>
          <w:bCs/>
          <w:sz w:val="20"/>
          <w:szCs w:val="20"/>
        </w:rPr>
        <w:t> metacyclogenesis.</w:t>
      </w:r>
      <w:r w:rsidRPr="00DC2FFD">
        <w:rPr>
          <w:rFonts w:ascii="Arial" w:hAnsi="Arial" w:cs="Arial"/>
          <w:sz w:val="20"/>
          <w:szCs w:val="20"/>
        </w:rPr>
        <w:t xml:space="preserve"> </w:t>
      </w:r>
      <w:r w:rsidRPr="00DC2FFD">
        <w:rPr>
          <w:rFonts w:ascii="Arial" w:hAnsi="Arial" w:cs="Arial"/>
          <w:b/>
          <w:bCs/>
          <w:sz w:val="20"/>
          <w:szCs w:val="20"/>
        </w:rPr>
        <w:t>A.</w:t>
      </w:r>
      <w:r w:rsidRPr="00DC2FFD">
        <w:rPr>
          <w:rFonts w:ascii="Arial" w:hAnsi="Arial" w:cs="Arial"/>
          <w:sz w:val="20"/>
          <w:szCs w:val="20"/>
        </w:rPr>
        <w:t> </w:t>
      </w:r>
      <w:r w:rsidRPr="00DC2FFD">
        <w:rPr>
          <w:rFonts w:ascii="Arial" w:hAnsi="Arial" w:cs="Arial"/>
          <w:i/>
          <w:iCs/>
          <w:sz w:val="20"/>
          <w:szCs w:val="20"/>
        </w:rPr>
        <w:t>L. longipalpis</w:t>
      </w:r>
      <w:r w:rsidRPr="00DC2FFD">
        <w:rPr>
          <w:rFonts w:ascii="Arial" w:hAnsi="Arial" w:cs="Arial"/>
          <w:sz w:val="20"/>
          <w:szCs w:val="20"/>
        </w:rPr>
        <w:t> females were infected with stationary procyclic parasites from parental, knockout (DAC1</w:t>
      </w:r>
      <w:r w:rsidRPr="00DC2FFD">
        <w:rPr>
          <w:rFonts w:ascii="Arial" w:hAnsi="Arial" w:cs="Arial"/>
          <w:sz w:val="20"/>
          <w:szCs w:val="20"/>
          <w:vertAlign w:val="superscript"/>
        </w:rPr>
        <w:t>-/+</w:t>
      </w:r>
      <w:r w:rsidRPr="00DC2FFD">
        <w:rPr>
          <w:rFonts w:ascii="Arial" w:hAnsi="Arial" w:cs="Arial"/>
          <w:sz w:val="20"/>
          <w:szCs w:val="20"/>
        </w:rPr>
        <w:t>, DAC3</w:t>
      </w:r>
      <w:r w:rsidRPr="00DC2FFD">
        <w:rPr>
          <w:rFonts w:ascii="Arial" w:hAnsi="Arial" w:cs="Arial"/>
          <w:sz w:val="20"/>
          <w:szCs w:val="20"/>
          <w:vertAlign w:val="superscript"/>
        </w:rPr>
        <w:t>-/+</w:t>
      </w:r>
      <w:r w:rsidRPr="00DC2FFD">
        <w:rPr>
          <w:rFonts w:ascii="Arial" w:hAnsi="Arial" w:cs="Arial"/>
          <w:sz w:val="20"/>
          <w:szCs w:val="20"/>
        </w:rPr>
        <w:t>, DAC4</w:t>
      </w:r>
      <w:r w:rsidRPr="00DC2FFD">
        <w:rPr>
          <w:rFonts w:ascii="Arial" w:hAnsi="Arial" w:cs="Arial"/>
          <w:sz w:val="20"/>
          <w:szCs w:val="20"/>
          <w:vertAlign w:val="superscript"/>
        </w:rPr>
        <w:t>-/-,</w:t>
      </w:r>
      <w:r w:rsidRPr="00DC2FFD">
        <w:rPr>
          <w:rFonts w:ascii="Arial" w:hAnsi="Arial" w:cs="Arial"/>
          <w:sz w:val="20"/>
          <w:szCs w:val="20"/>
        </w:rPr>
        <w:t xml:space="preserve"> and DAC5</w:t>
      </w:r>
      <w:r w:rsidRPr="00DC2FFD">
        <w:rPr>
          <w:rFonts w:ascii="Arial" w:hAnsi="Arial" w:cs="Arial"/>
          <w:sz w:val="20"/>
          <w:szCs w:val="20"/>
          <w:vertAlign w:val="superscript"/>
        </w:rPr>
        <w:t>-/-</w:t>
      </w:r>
      <w:r w:rsidRPr="00DC2FFD">
        <w:rPr>
          <w:rFonts w:ascii="Arial" w:hAnsi="Arial" w:cs="Arial"/>
          <w:sz w:val="20"/>
          <w:szCs w:val="20"/>
        </w:rPr>
        <w:t xml:space="preserve">). </w:t>
      </w:r>
      <w:r w:rsidRPr="00DC2FFD">
        <w:rPr>
          <w:rFonts w:ascii="Arial" w:hAnsi="Arial" w:cs="Arial"/>
          <w:b/>
          <w:bCs/>
          <w:sz w:val="20"/>
          <w:szCs w:val="20"/>
        </w:rPr>
        <w:t>B</w:t>
      </w:r>
      <w:r w:rsidRPr="00DC2FFD">
        <w:rPr>
          <w:rFonts w:ascii="Arial" w:hAnsi="Arial" w:cs="Arial"/>
          <w:sz w:val="20"/>
          <w:szCs w:val="20"/>
        </w:rPr>
        <w:t>. Metacyclogenesis was monitored at 1-, 4-, and 8-days post-infection for DAC3-AB (upper panel) and DAC5-AB (lower panel), but no phenotype reversion was observed when compared to DAC3</w:t>
      </w:r>
      <w:r w:rsidRPr="00DC2FFD">
        <w:rPr>
          <w:rFonts w:ascii="Arial" w:hAnsi="Arial" w:cs="Arial"/>
          <w:sz w:val="20"/>
          <w:szCs w:val="20"/>
          <w:vertAlign w:val="superscript"/>
        </w:rPr>
        <w:t>-/+</w:t>
      </w:r>
      <w:r w:rsidRPr="00DC2FFD">
        <w:rPr>
          <w:rFonts w:ascii="Arial" w:hAnsi="Arial" w:cs="Arial"/>
          <w:sz w:val="20"/>
          <w:szCs w:val="20"/>
        </w:rPr>
        <w:t xml:space="preserve"> and DAC5</w:t>
      </w:r>
      <w:r w:rsidRPr="00DC2FFD">
        <w:rPr>
          <w:rFonts w:ascii="Arial" w:hAnsi="Arial" w:cs="Arial"/>
          <w:sz w:val="20"/>
          <w:szCs w:val="20"/>
          <w:vertAlign w:val="superscript"/>
        </w:rPr>
        <w:t>-/-</w:t>
      </w:r>
      <w:r w:rsidRPr="00DC2FFD">
        <w:rPr>
          <w:rFonts w:ascii="Arial" w:hAnsi="Arial" w:cs="Arial"/>
          <w:sz w:val="20"/>
          <w:szCs w:val="20"/>
        </w:rPr>
        <w:t xml:space="preserve"> parasites. Each experiment was performed at least three times with ~100 </w:t>
      </w:r>
      <w:r w:rsidRPr="00DC2FFD">
        <w:rPr>
          <w:rFonts w:ascii="Arial" w:hAnsi="Arial" w:cs="Arial"/>
          <w:i/>
          <w:iCs/>
          <w:sz w:val="20"/>
          <w:szCs w:val="20"/>
        </w:rPr>
        <w:t>L. longipalpis</w:t>
      </w:r>
      <w:r w:rsidRPr="00DC2FFD">
        <w:rPr>
          <w:rFonts w:ascii="Arial" w:hAnsi="Arial" w:cs="Arial"/>
          <w:sz w:val="20"/>
          <w:szCs w:val="20"/>
        </w:rPr>
        <w:t> females per cell line.</w:t>
      </w:r>
    </w:p>
    <w:p w14:paraId="59A4CD85" w14:textId="77777777" w:rsidR="00583EA3" w:rsidRPr="00DC2FFD" w:rsidRDefault="00583EA3" w:rsidP="00583EA3">
      <w:pPr>
        <w:spacing w:line="240" w:lineRule="auto"/>
        <w:jc w:val="both"/>
        <w:rPr>
          <w:rFonts w:ascii="Arial" w:hAnsi="Arial" w:cs="Arial"/>
          <w:sz w:val="20"/>
          <w:szCs w:val="20"/>
        </w:rPr>
      </w:pPr>
      <w:r w:rsidRPr="00DC2FFD">
        <w:rPr>
          <w:rFonts w:ascii="Arial" w:hAnsi="Arial" w:cs="Arial"/>
          <w:sz w:val="20"/>
          <w:szCs w:val="20"/>
        </w:rPr>
        <w:t xml:space="preserve"> </w:t>
      </w:r>
    </w:p>
    <w:p w14:paraId="576BCA8B" w14:textId="0CE69A80" w:rsidR="00583EA3" w:rsidRPr="00FE3BC7" w:rsidRDefault="00FE3BC7" w:rsidP="00FE3BC7">
      <w:pPr>
        <w:spacing w:line="240" w:lineRule="auto"/>
        <w:jc w:val="both"/>
        <w:rPr>
          <w:rFonts w:ascii="Arial" w:hAnsi="Arial" w:cs="Arial"/>
          <w:sz w:val="20"/>
          <w:szCs w:val="20"/>
        </w:rPr>
      </w:pPr>
      <w:r>
        <w:rPr>
          <w:rFonts w:ascii="Arial" w:hAnsi="Arial" w:cs="Arial"/>
          <w:noProof/>
          <w:sz w:val="20"/>
          <w:szCs w:val="20"/>
        </w:rPr>
        <w:lastRenderedPageBreak/>
        <w:drawing>
          <wp:inline distT="0" distB="0" distL="0" distR="0" wp14:anchorId="4ABA2F6B" wp14:editId="71BF6E9F">
            <wp:extent cx="5943600" cy="2240915"/>
            <wp:effectExtent l="0" t="0" r="0" b="0"/>
            <wp:docPr id="907470088" name="Picture 6" descr="A collage of a mouse's f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70088" name="Picture 6" descr="A collage of a mouse's fee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240915"/>
                    </a:xfrm>
                    <a:prstGeom prst="rect">
                      <a:avLst/>
                    </a:prstGeom>
                  </pic:spPr>
                </pic:pic>
              </a:graphicData>
            </a:graphic>
          </wp:inline>
        </w:drawing>
      </w:r>
    </w:p>
    <w:p w14:paraId="5D4617FA" w14:textId="3505F323" w:rsidR="00583EA3" w:rsidRPr="00DC2FFD" w:rsidRDefault="00583EA3" w:rsidP="00FE3BC7">
      <w:pPr>
        <w:spacing w:line="240" w:lineRule="auto"/>
        <w:jc w:val="both"/>
        <w:rPr>
          <w:rFonts w:ascii="Arial" w:hAnsi="Arial" w:cs="Arial"/>
          <w:sz w:val="20"/>
          <w:szCs w:val="20"/>
        </w:rPr>
      </w:pPr>
      <w:r w:rsidRPr="00DC2FFD">
        <w:rPr>
          <w:rFonts w:ascii="Arial" w:hAnsi="Arial" w:cs="Arial"/>
          <w:b/>
          <w:bCs/>
          <w:sz w:val="20"/>
          <w:szCs w:val="20"/>
        </w:rPr>
        <w:t>Supplementary Data 6. Loss of DAC5 impairs</w:t>
      </w:r>
      <w:r w:rsidRPr="00DC2FFD">
        <w:rPr>
          <w:rFonts w:ascii="Arial" w:hAnsi="Arial" w:cs="Arial"/>
          <w:b/>
          <w:bCs/>
          <w:i/>
          <w:iCs/>
          <w:sz w:val="20"/>
          <w:szCs w:val="20"/>
        </w:rPr>
        <w:t xml:space="preserve"> L. mexicana</w:t>
      </w:r>
      <w:r w:rsidRPr="00DC2FFD">
        <w:rPr>
          <w:rFonts w:ascii="Arial" w:hAnsi="Arial" w:cs="Arial"/>
          <w:b/>
          <w:bCs/>
          <w:sz w:val="20"/>
          <w:szCs w:val="20"/>
        </w:rPr>
        <w:t xml:space="preserve"> infectivity. A</w:t>
      </w:r>
      <w:r w:rsidRPr="00DC2FFD">
        <w:rPr>
          <w:rFonts w:ascii="Arial" w:hAnsi="Arial" w:cs="Arial"/>
          <w:sz w:val="20"/>
          <w:szCs w:val="20"/>
        </w:rPr>
        <w:t xml:space="preserve">. </w:t>
      </w:r>
      <w:r w:rsidRPr="00DC2FFD">
        <w:rPr>
          <w:rFonts w:ascii="Arial" w:hAnsi="Arial" w:cs="Arial"/>
          <w:i/>
          <w:iCs/>
          <w:sz w:val="20"/>
          <w:szCs w:val="20"/>
        </w:rPr>
        <w:t>In vitro</w:t>
      </w:r>
      <w:r w:rsidRPr="00DC2FFD">
        <w:rPr>
          <w:rFonts w:ascii="Arial" w:hAnsi="Arial" w:cs="Arial"/>
          <w:sz w:val="20"/>
          <w:szCs w:val="20"/>
        </w:rPr>
        <w:t xml:space="preserve"> infection assay of DAC5-AB parasites. BMDMs were infected with axenic amastigotes of Cas9, DAC5</w:t>
      </w:r>
      <w:r w:rsidRPr="00DC2FFD">
        <w:rPr>
          <w:rFonts w:ascii="Arial" w:hAnsi="Arial" w:cs="Arial"/>
          <w:sz w:val="20"/>
          <w:szCs w:val="20"/>
          <w:vertAlign w:val="superscript"/>
        </w:rPr>
        <w:t>-/-</w:t>
      </w:r>
      <w:r w:rsidRPr="00DC2FFD">
        <w:rPr>
          <w:rFonts w:ascii="Arial" w:hAnsi="Arial" w:cs="Arial"/>
          <w:sz w:val="20"/>
          <w:szCs w:val="20"/>
        </w:rPr>
        <w:t xml:space="preserve">, and DAC5-AB parasites at a multiplicity of infection (MOI) of 1:1 for 2h. Extracellular parasites were removed by washing. After 48h of infection, cells were fixed with methanol, stained with Giemsa, and visualized by microscopy. The number of intracellular amastigotes per macrophage was quantified using ImageJ software (n=200 macrophages per condition). Scale bar: 50 μm. Data represent the mean ± SD of three independent experiments. </w:t>
      </w:r>
      <w:r w:rsidRPr="00DC2FFD">
        <w:rPr>
          <w:rFonts w:ascii="Arial" w:hAnsi="Arial" w:cs="Arial"/>
          <w:b/>
          <w:bCs/>
          <w:sz w:val="20"/>
          <w:szCs w:val="20"/>
        </w:rPr>
        <w:t>B.</w:t>
      </w:r>
      <w:r w:rsidRPr="00DC2FFD">
        <w:rPr>
          <w:rFonts w:ascii="Arial" w:hAnsi="Arial" w:cs="Arial"/>
          <w:sz w:val="20"/>
          <w:szCs w:val="20"/>
        </w:rPr>
        <w:t xml:space="preserve"> </w:t>
      </w:r>
      <w:r w:rsidR="00FE3BC7" w:rsidRPr="00DC2FFD">
        <w:rPr>
          <w:rFonts w:ascii="Arial" w:hAnsi="Arial" w:cs="Arial"/>
          <w:sz w:val="20"/>
          <w:szCs w:val="20"/>
        </w:rPr>
        <w:t>Representative images of infected BALB/c mice with Cas9 and DACs mutant parasites at 48 days post-infection demonstrating reduced lesion development in mice infected with DAC5</w:t>
      </w:r>
      <w:r w:rsidR="00FE3BC7" w:rsidRPr="00DC2FFD">
        <w:rPr>
          <w:rFonts w:ascii="Arial" w:hAnsi="Arial" w:cs="Arial"/>
          <w:sz w:val="20"/>
          <w:szCs w:val="20"/>
          <w:vertAlign w:val="superscript"/>
        </w:rPr>
        <w:t>-/-</w:t>
      </w:r>
      <w:r w:rsidR="00FE3BC7" w:rsidRPr="00DC2FFD">
        <w:rPr>
          <w:rFonts w:ascii="Arial" w:hAnsi="Arial" w:cs="Arial"/>
          <w:sz w:val="20"/>
          <w:szCs w:val="20"/>
        </w:rPr>
        <w:t xml:space="preserve"> compared to the Cas9 parasites. </w:t>
      </w:r>
      <w:r w:rsidRPr="00DC2FFD">
        <w:rPr>
          <w:rFonts w:ascii="Arial" w:hAnsi="Arial" w:cs="Arial"/>
          <w:b/>
          <w:bCs/>
          <w:sz w:val="20"/>
          <w:szCs w:val="20"/>
        </w:rPr>
        <w:t>C.</w:t>
      </w:r>
      <w:r w:rsidRPr="00DC2FFD">
        <w:rPr>
          <w:rFonts w:ascii="Arial" w:hAnsi="Arial" w:cs="Arial"/>
          <w:sz w:val="20"/>
          <w:szCs w:val="20"/>
        </w:rPr>
        <w:t xml:space="preserve"> </w:t>
      </w:r>
      <w:r w:rsidR="00FE3BC7" w:rsidRPr="00DC2FFD">
        <w:rPr>
          <w:rFonts w:ascii="Arial" w:hAnsi="Arial" w:cs="Arial"/>
          <w:sz w:val="20"/>
          <w:szCs w:val="20"/>
        </w:rPr>
        <w:t>Parasite burden of tissues of BALB/c mice infected with parental and DACs knockout mutants. qPCR was performed to determine parasite burden in skin samples collected 48 days post-initial infection.</w:t>
      </w:r>
      <w:r w:rsidR="00FE3BC7">
        <w:rPr>
          <w:rFonts w:ascii="Arial" w:hAnsi="Arial" w:cs="Arial"/>
          <w:sz w:val="20"/>
          <w:szCs w:val="20"/>
        </w:rPr>
        <w:t xml:space="preserve"> We measured kDNA for parasite burden determination.</w:t>
      </w:r>
    </w:p>
    <w:p w14:paraId="6512B7B9" w14:textId="77777777" w:rsidR="00583EA3" w:rsidRDefault="00583EA3" w:rsidP="00583EA3">
      <w:pPr>
        <w:spacing w:line="480" w:lineRule="auto"/>
        <w:jc w:val="both"/>
        <w:rPr>
          <w:rFonts w:ascii="Arial" w:hAnsi="Arial" w:cs="Arial"/>
          <w:b/>
        </w:rPr>
      </w:pPr>
    </w:p>
    <w:p w14:paraId="43548F77" w14:textId="77777777" w:rsidR="008F7F64" w:rsidRPr="00DC2FFD" w:rsidRDefault="008F7F64" w:rsidP="00583EA3">
      <w:pPr>
        <w:spacing w:line="480" w:lineRule="auto"/>
        <w:jc w:val="both"/>
        <w:rPr>
          <w:rFonts w:ascii="Arial" w:hAnsi="Arial" w:cs="Arial"/>
          <w:b/>
        </w:rPr>
      </w:pPr>
    </w:p>
    <w:p w14:paraId="1A1F0F3F" w14:textId="0671B044" w:rsidR="00583EA3" w:rsidRPr="00DC2FFD" w:rsidRDefault="008F7F64" w:rsidP="008F7F64">
      <w:pPr>
        <w:spacing w:line="240" w:lineRule="auto"/>
        <w:jc w:val="center"/>
        <w:rPr>
          <w:rFonts w:ascii="Arial" w:hAnsi="Arial" w:cs="Arial"/>
          <w:b/>
        </w:rPr>
      </w:pPr>
      <w:r>
        <w:rPr>
          <w:rFonts w:ascii="Arial" w:hAnsi="Arial" w:cs="Arial"/>
          <w:b/>
          <w:noProof/>
        </w:rPr>
        <w:lastRenderedPageBreak/>
        <w:drawing>
          <wp:inline distT="0" distB="0" distL="0" distR="0" wp14:anchorId="5283D946" wp14:editId="1BE6A012">
            <wp:extent cx="4991100" cy="3517900"/>
            <wp:effectExtent l="0" t="0" r="0" b="0"/>
            <wp:docPr id="1501085694" name="Picture 7" descr="A collage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85694" name="Picture 7" descr="A collage of cells&#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91100" cy="3517900"/>
                    </a:xfrm>
                    <a:prstGeom prst="rect">
                      <a:avLst/>
                    </a:prstGeom>
                  </pic:spPr>
                </pic:pic>
              </a:graphicData>
            </a:graphic>
          </wp:inline>
        </w:drawing>
      </w:r>
    </w:p>
    <w:p w14:paraId="3498B1F7" w14:textId="77777777" w:rsidR="00583EA3" w:rsidRPr="00DC2FFD" w:rsidRDefault="00583EA3" w:rsidP="008F7F64">
      <w:pPr>
        <w:spacing w:line="240" w:lineRule="auto"/>
        <w:jc w:val="both"/>
        <w:rPr>
          <w:rFonts w:ascii="Arial" w:hAnsi="Arial" w:cs="Arial"/>
          <w:bCs/>
        </w:rPr>
      </w:pPr>
      <w:r w:rsidRPr="00DC2FFD">
        <w:rPr>
          <w:rFonts w:ascii="Arial" w:hAnsi="Arial" w:cs="Arial"/>
          <w:b/>
          <w:sz w:val="20"/>
          <w:szCs w:val="20"/>
        </w:rPr>
        <w:t>Supplementary Figure 7. DAC5 influences axenic amastigote to procyclic differentiation.</w:t>
      </w:r>
      <w:r w:rsidRPr="00DC2FFD">
        <w:rPr>
          <w:rFonts w:ascii="Arial" w:hAnsi="Arial" w:cs="Arial"/>
          <w:bCs/>
          <w:sz w:val="20"/>
          <w:szCs w:val="20"/>
        </w:rPr>
        <w:t xml:space="preserve"> Differentiation kinetics of DAC5</w:t>
      </w:r>
      <w:r w:rsidRPr="00DC2FFD">
        <w:rPr>
          <w:rFonts w:ascii="Arial" w:hAnsi="Arial" w:cs="Arial"/>
          <w:bCs/>
          <w:sz w:val="20"/>
          <w:szCs w:val="20"/>
          <w:vertAlign w:val="superscript"/>
        </w:rPr>
        <w:t xml:space="preserve">-/- </w:t>
      </w:r>
      <w:r w:rsidRPr="00DC2FFD">
        <w:rPr>
          <w:rFonts w:ascii="Arial" w:hAnsi="Arial" w:cs="Arial"/>
          <w:bCs/>
          <w:sz w:val="20"/>
          <w:szCs w:val="20"/>
        </w:rPr>
        <w:t>and Cas9 parasites were assessed over 24h (0, 2, 4, 6, 8, and 24h). DAC5</w:t>
      </w:r>
      <w:r w:rsidRPr="00DC2FFD">
        <w:rPr>
          <w:rFonts w:ascii="Arial" w:hAnsi="Arial" w:cs="Arial"/>
          <w:bCs/>
          <w:sz w:val="20"/>
          <w:szCs w:val="20"/>
          <w:vertAlign w:val="superscript"/>
        </w:rPr>
        <w:t>-/-</w:t>
      </w:r>
      <w:r w:rsidRPr="00DC2FFD">
        <w:rPr>
          <w:rFonts w:ascii="Arial" w:hAnsi="Arial" w:cs="Arial"/>
          <w:bCs/>
          <w:sz w:val="20"/>
          <w:szCs w:val="20"/>
        </w:rPr>
        <w:t xml:space="preserve"> cells exhibit a delay in differentiation to procyclic forms. Scale bar: 2 µm (axenic amastigotes), 5 µm (procyclic forms).</w:t>
      </w:r>
    </w:p>
    <w:p w14:paraId="60F00E8B" w14:textId="77777777" w:rsidR="00583EA3" w:rsidRPr="00DC2FFD" w:rsidRDefault="00583EA3" w:rsidP="00583EA3">
      <w:pPr>
        <w:spacing w:line="480" w:lineRule="auto"/>
        <w:jc w:val="both"/>
        <w:rPr>
          <w:rFonts w:ascii="Arial" w:hAnsi="Arial" w:cs="Arial"/>
          <w:b/>
        </w:rPr>
      </w:pPr>
    </w:p>
    <w:p w14:paraId="746AE513" w14:textId="1A78177A" w:rsidR="00583EA3" w:rsidRPr="00DC2FFD" w:rsidRDefault="008F7F64" w:rsidP="008F7F64">
      <w:pPr>
        <w:spacing w:line="240" w:lineRule="auto"/>
        <w:jc w:val="center"/>
        <w:rPr>
          <w:rFonts w:ascii="Arial" w:hAnsi="Arial" w:cs="Arial"/>
          <w:b/>
        </w:rPr>
      </w:pPr>
      <w:r>
        <w:rPr>
          <w:rFonts w:ascii="Arial" w:hAnsi="Arial" w:cs="Arial"/>
          <w:b/>
          <w:noProof/>
        </w:rPr>
        <w:lastRenderedPageBreak/>
        <w:drawing>
          <wp:inline distT="0" distB="0" distL="0" distR="0" wp14:anchorId="0C29512E" wp14:editId="282ED27E">
            <wp:extent cx="5943600" cy="5858510"/>
            <wp:effectExtent l="0" t="0" r="0" b="0"/>
            <wp:docPr id="29467826" name="Picture 8" descr="A chart of different types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7826" name="Picture 8" descr="A chart of different types of number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5858510"/>
                    </a:xfrm>
                    <a:prstGeom prst="rect">
                      <a:avLst/>
                    </a:prstGeom>
                  </pic:spPr>
                </pic:pic>
              </a:graphicData>
            </a:graphic>
          </wp:inline>
        </w:drawing>
      </w:r>
    </w:p>
    <w:p w14:paraId="43E31066" w14:textId="77777777" w:rsidR="00583EA3" w:rsidRPr="00DC2FFD" w:rsidRDefault="00583EA3" w:rsidP="008F7F64">
      <w:pPr>
        <w:spacing w:line="240" w:lineRule="auto"/>
        <w:jc w:val="both"/>
        <w:rPr>
          <w:rFonts w:ascii="Arial" w:hAnsi="Arial" w:cs="Arial"/>
          <w:sz w:val="20"/>
          <w:szCs w:val="20"/>
        </w:rPr>
      </w:pPr>
      <w:r w:rsidRPr="00DC2FFD">
        <w:rPr>
          <w:rFonts w:ascii="Arial" w:hAnsi="Arial" w:cs="Arial"/>
          <w:b/>
          <w:sz w:val="20"/>
          <w:szCs w:val="20"/>
        </w:rPr>
        <w:t xml:space="preserve">Supplementary Data 8. Measurement of procyclic, metacyclic and amastigote expression markers in DACs mutant. </w:t>
      </w:r>
      <w:r w:rsidRPr="00DC2FFD">
        <w:rPr>
          <w:rFonts w:ascii="Arial" w:hAnsi="Arial" w:cs="Arial"/>
          <w:bCs/>
          <w:sz w:val="20"/>
          <w:szCs w:val="20"/>
        </w:rPr>
        <w:t xml:space="preserve">Using RT-qPCR we measure the expression of </w:t>
      </w:r>
      <w:r w:rsidRPr="00DC2FFD">
        <w:rPr>
          <w:rFonts w:ascii="Arial" w:hAnsi="Arial" w:cs="Arial"/>
          <w:sz w:val="20"/>
          <w:szCs w:val="20"/>
        </w:rPr>
        <w:t xml:space="preserve">Histone H4 (procyclic), sherp (metacyclic) and amastin (amastigote) expression in the parental and DACs mutant. The analysis confirmed each parasite stage we were working and did not reveal significant differences between the cell lines. Data shown are representative of three independent experiments (n=6 technical replicates for each sample). </w:t>
      </w:r>
    </w:p>
    <w:p w14:paraId="78F8F4B0" w14:textId="77777777" w:rsidR="00583EA3" w:rsidRPr="00DC2FFD" w:rsidRDefault="00583EA3" w:rsidP="00583EA3">
      <w:pPr>
        <w:spacing w:line="240" w:lineRule="auto"/>
        <w:jc w:val="both"/>
        <w:rPr>
          <w:rFonts w:ascii="Arial" w:hAnsi="Arial" w:cs="Arial"/>
          <w:bCs/>
          <w:sz w:val="20"/>
          <w:szCs w:val="20"/>
        </w:rPr>
      </w:pPr>
    </w:p>
    <w:p w14:paraId="01D009C3" w14:textId="77777777" w:rsidR="00583EA3" w:rsidRPr="00DC2FFD" w:rsidRDefault="00583EA3" w:rsidP="00583EA3">
      <w:pPr>
        <w:spacing w:line="240" w:lineRule="auto"/>
        <w:jc w:val="both"/>
        <w:rPr>
          <w:rFonts w:ascii="Arial" w:hAnsi="Arial" w:cs="Arial"/>
          <w:b/>
        </w:rPr>
      </w:pPr>
    </w:p>
    <w:p w14:paraId="2513410D" w14:textId="77777777" w:rsidR="00583EA3" w:rsidRDefault="00583EA3" w:rsidP="00583EA3">
      <w:pPr>
        <w:spacing w:line="240" w:lineRule="auto"/>
        <w:jc w:val="both"/>
        <w:rPr>
          <w:rFonts w:ascii="Arial" w:hAnsi="Arial" w:cs="Arial"/>
          <w:b/>
        </w:rPr>
      </w:pPr>
    </w:p>
    <w:p w14:paraId="71819839" w14:textId="77777777" w:rsidR="008F7F64" w:rsidRDefault="008F7F64" w:rsidP="00583EA3">
      <w:pPr>
        <w:spacing w:line="240" w:lineRule="auto"/>
        <w:jc w:val="both"/>
        <w:rPr>
          <w:rFonts w:ascii="Arial" w:hAnsi="Arial" w:cs="Arial"/>
          <w:b/>
        </w:rPr>
      </w:pPr>
    </w:p>
    <w:p w14:paraId="06516F12" w14:textId="77777777" w:rsidR="008F7F64" w:rsidRPr="00DC2FFD" w:rsidRDefault="008F7F64" w:rsidP="00583EA3">
      <w:pPr>
        <w:spacing w:line="240" w:lineRule="auto"/>
        <w:jc w:val="both"/>
        <w:rPr>
          <w:rFonts w:ascii="Arial" w:hAnsi="Arial" w:cs="Arial"/>
          <w:b/>
        </w:rPr>
      </w:pPr>
    </w:p>
    <w:p w14:paraId="6EB366F0" w14:textId="2F3FF025" w:rsidR="00583EA3" w:rsidRPr="00DC2FFD" w:rsidRDefault="00515B3C" w:rsidP="00583EA3">
      <w:pPr>
        <w:spacing w:line="240" w:lineRule="auto"/>
        <w:jc w:val="both"/>
        <w:rPr>
          <w:rFonts w:ascii="Arial" w:hAnsi="Arial" w:cs="Arial"/>
          <w:bCs/>
        </w:rPr>
      </w:pPr>
      <w:r>
        <w:rPr>
          <w:rFonts w:ascii="Arial" w:hAnsi="Arial" w:cs="Arial"/>
          <w:bCs/>
          <w:noProof/>
        </w:rPr>
        <w:lastRenderedPageBreak/>
        <w:drawing>
          <wp:inline distT="0" distB="0" distL="0" distR="0" wp14:anchorId="42EC761C" wp14:editId="2E706065">
            <wp:extent cx="5943600" cy="2593340"/>
            <wp:effectExtent l="0" t="0" r="0" b="0"/>
            <wp:docPr id="61567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71266" name="Picture 61567126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593340"/>
                    </a:xfrm>
                    <a:prstGeom prst="rect">
                      <a:avLst/>
                    </a:prstGeom>
                  </pic:spPr>
                </pic:pic>
              </a:graphicData>
            </a:graphic>
          </wp:inline>
        </w:drawing>
      </w:r>
    </w:p>
    <w:p w14:paraId="73810683" w14:textId="77777777" w:rsidR="00583EA3" w:rsidRPr="00DC2FFD" w:rsidRDefault="00583EA3" w:rsidP="00583EA3">
      <w:pPr>
        <w:spacing w:line="240" w:lineRule="auto"/>
        <w:jc w:val="both"/>
        <w:rPr>
          <w:rFonts w:ascii="Arial" w:hAnsi="Arial" w:cs="Arial"/>
          <w:bCs/>
        </w:rPr>
      </w:pPr>
      <w:r w:rsidRPr="00DC2FFD">
        <w:rPr>
          <w:rFonts w:ascii="Arial" w:hAnsi="Arial" w:cs="Arial"/>
          <w:b/>
          <w:sz w:val="20"/>
          <w:szCs w:val="20"/>
        </w:rPr>
        <w:t xml:space="preserve">Supplementary Data 9. Differential gene expression in </w:t>
      </w:r>
      <w:r w:rsidRPr="00DC2FFD">
        <w:rPr>
          <w:rFonts w:ascii="Arial" w:hAnsi="Arial" w:cs="Arial"/>
          <w:b/>
          <w:i/>
          <w:iCs/>
          <w:sz w:val="20"/>
          <w:szCs w:val="20"/>
        </w:rPr>
        <w:t>L. mexicana</w:t>
      </w:r>
      <w:r w:rsidRPr="00DC2FFD">
        <w:rPr>
          <w:rFonts w:ascii="Arial" w:hAnsi="Arial" w:cs="Arial"/>
          <w:b/>
          <w:sz w:val="20"/>
          <w:szCs w:val="20"/>
        </w:rPr>
        <w:t xml:space="preserve"> DAC knockout mutants. A.</w:t>
      </w:r>
      <w:r w:rsidRPr="00DC2FFD">
        <w:rPr>
          <w:rFonts w:ascii="Arial" w:hAnsi="Arial" w:cs="Arial"/>
          <w:bCs/>
          <w:sz w:val="20"/>
          <w:szCs w:val="20"/>
        </w:rPr>
        <w:t xml:space="preserve"> Number of upregulated and downregulated genes in each DAC knockout mutant compared to the parental strain. </w:t>
      </w:r>
      <w:r w:rsidRPr="00DC2FFD">
        <w:rPr>
          <w:rFonts w:ascii="Arial" w:hAnsi="Arial" w:cs="Arial"/>
          <w:b/>
          <w:sz w:val="20"/>
          <w:szCs w:val="20"/>
        </w:rPr>
        <w:t>B.</w:t>
      </w:r>
      <w:r w:rsidRPr="00DC2FFD">
        <w:rPr>
          <w:rFonts w:ascii="Arial" w:hAnsi="Arial" w:cs="Arial"/>
          <w:bCs/>
          <w:sz w:val="20"/>
          <w:szCs w:val="20"/>
        </w:rPr>
        <w:t xml:space="preserve"> Venn diagrams showing the overlap of upregulated (upper panel) and downregulated (lower panel) genes among all DAC knockout mutants. </w:t>
      </w:r>
      <w:r w:rsidRPr="00DC2FFD">
        <w:rPr>
          <w:rFonts w:ascii="Arial" w:hAnsi="Arial" w:cs="Arial"/>
          <w:b/>
          <w:sz w:val="20"/>
          <w:szCs w:val="20"/>
        </w:rPr>
        <w:t>C.</w:t>
      </w:r>
      <w:r w:rsidRPr="00DC2FFD">
        <w:rPr>
          <w:rFonts w:ascii="Arial" w:hAnsi="Arial" w:cs="Arial"/>
          <w:bCs/>
          <w:sz w:val="20"/>
          <w:szCs w:val="20"/>
        </w:rPr>
        <w:t xml:space="preserve"> Venn diagrams showing the overlap of upregulated and downregulated genes between cytosolic DAC (DAC1 and DAC5) and nuclear DAC mutants (DAC3 and DAC4). </w:t>
      </w:r>
    </w:p>
    <w:p w14:paraId="37E3BD10" w14:textId="77777777" w:rsidR="00583EA3" w:rsidRPr="00DC2FFD" w:rsidRDefault="00583EA3" w:rsidP="00583EA3">
      <w:pPr>
        <w:spacing w:line="480" w:lineRule="auto"/>
        <w:jc w:val="both"/>
        <w:rPr>
          <w:rFonts w:ascii="Arial" w:hAnsi="Arial" w:cs="Arial"/>
          <w:b/>
        </w:rPr>
      </w:pPr>
    </w:p>
    <w:p w14:paraId="36D8D0D3" w14:textId="10C57F7F" w:rsidR="00583EA3" w:rsidRPr="00DC2FFD" w:rsidRDefault="006216DB" w:rsidP="00583EA3">
      <w:pPr>
        <w:spacing w:line="480" w:lineRule="auto"/>
        <w:jc w:val="center"/>
        <w:rPr>
          <w:rFonts w:ascii="Arial" w:hAnsi="Arial" w:cs="Arial"/>
          <w:b/>
        </w:rPr>
      </w:pPr>
      <w:r>
        <w:rPr>
          <w:rFonts w:ascii="Arial" w:hAnsi="Arial" w:cs="Arial"/>
          <w:b/>
          <w:noProof/>
        </w:rPr>
        <w:lastRenderedPageBreak/>
        <w:drawing>
          <wp:inline distT="0" distB="0" distL="0" distR="0" wp14:anchorId="03B8E8CF" wp14:editId="571DD48F">
            <wp:extent cx="5464518" cy="7056000"/>
            <wp:effectExtent l="0" t="0" r="0" b="5715"/>
            <wp:docPr id="8774677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67713" name="Picture 8774677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64518" cy="7056000"/>
                    </a:xfrm>
                    <a:prstGeom prst="rect">
                      <a:avLst/>
                    </a:prstGeom>
                  </pic:spPr>
                </pic:pic>
              </a:graphicData>
            </a:graphic>
          </wp:inline>
        </w:drawing>
      </w:r>
    </w:p>
    <w:p w14:paraId="5305BF70" w14:textId="46078E1B" w:rsidR="00583EA3" w:rsidRPr="004E5021" w:rsidRDefault="00583EA3" w:rsidP="00583EA3">
      <w:pPr>
        <w:spacing w:line="240" w:lineRule="auto"/>
        <w:jc w:val="both"/>
        <w:rPr>
          <w:rFonts w:ascii="Arial" w:hAnsi="Arial" w:cs="Arial"/>
          <w:sz w:val="20"/>
          <w:szCs w:val="20"/>
        </w:rPr>
      </w:pPr>
      <w:r w:rsidRPr="00DC2FFD">
        <w:rPr>
          <w:rFonts w:ascii="Arial" w:hAnsi="Arial" w:cs="Arial"/>
          <w:b/>
          <w:bCs/>
          <w:sz w:val="20"/>
          <w:szCs w:val="20"/>
        </w:rPr>
        <w:t>Supplementary Data 10. Gene Ontology (GO) enrichment analysis of differentially expressed genes (DEGs) in DAC mutants.</w:t>
      </w:r>
      <w:r w:rsidRPr="00DC2FFD">
        <w:rPr>
          <w:rFonts w:ascii="Arial" w:hAnsi="Arial" w:cs="Arial"/>
          <w:sz w:val="20"/>
          <w:szCs w:val="20"/>
        </w:rPr>
        <w:t xml:space="preserve"> </w:t>
      </w:r>
      <w:r w:rsidRPr="00DC2FFD">
        <w:rPr>
          <w:rFonts w:ascii="Arial" w:hAnsi="Arial" w:cs="Arial"/>
          <w:b/>
          <w:bCs/>
          <w:sz w:val="20"/>
          <w:szCs w:val="20"/>
        </w:rPr>
        <w:t>A.</w:t>
      </w:r>
      <w:r w:rsidRPr="00DC2FFD">
        <w:rPr>
          <w:rFonts w:ascii="Arial" w:hAnsi="Arial" w:cs="Arial"/>
          <w:sz w:val="20"/>
          <w:szCs w:val="20"/>
        </w:rPr>
        <w:t xml:space="preserve"> GO enrichment analysis for the "Cellular Component (CC)" category. Bubble charts show enriched CC terms for upregulated and downregulated genes in each </w:t>
      </w:r>
      <w:r w:rsidRPr="00DC2FFD">
        <w:rPr>
          <w:rFonts w:ascii="Arial" w:hAnsi="Arial" w:cs="Arial"/>
          <w:i/>
          <w:iCs/>
          <w:sz w:val="20"/>
          <w:szCs w:val="20"/>
        </w:rPr>
        <w:t>L. mexicana</w:t>
      </w:r>
      <w:r w:rsidRPr="00DC2FFD">
        <w:rPr>
          <w:rFonts w:ascii="Arial" w:hAnsi="Arial" w:cs="Arial"/>
          <w:sz w:val="20"/>
          <w:szCs w:val="20"/>
        </w:rPr>
        <w:t xml:space="preserve"> DAC mutant. </w:t>
      </w:r>
      <w:r w:rsidRPr="00DC2FFD">
        <w:rPr>
          <w:rFonts w:ascii="Arial" w:hAnsi="Arial" w:cs="Arial"/>
          <w:b/>
          <w:bCs/>
          <w:sz w:val="20"/>
          <w:szCs w:val="20"/>
        </w:rPr>
        <w:t>B.</w:t>
      </w:r>
      <w:r w:rsidRPr="00DC2FFD">
        <w:rPr>
          <w:rFonts w:ascii="Arial" w:hAnsi="Arial" w:cs="Arial"/>
          <w:sz w:val="20"/>
          <w:szCs w:val="20"/>
        </w:rPr>
        <w:t xml:space="preserve"> GO enrichment analysis for the "Biological Process (BP)" category. Bubble charts show enriched BP terms for upregulated and downregulated genes in each </w:t>
      </w:r>
      <w:r w:rsidRPr="00DC2FFD">
        <w:rPr>
          <w:rFonts w:ascii="Arial" w:hAnsi="Arial" w:cs="Arial"/>
          <w:i/>
          <w:iCs/>
          <w:sz w:val="20"/>
          <w:szCs w:val="20"/>
        </w:rPr>
        <w:t>L. mexicana</w:t>
      </w:r>
      <w:r w:rsidRPr="00DC2FFD">
        <w:rPr>
          <w:rFonts w:ascii="Arial" w:hAnsi="Arial" w:cs="Arial"/>
          <w:sz w:val="20"/>
          <w:szCs w:val="20"/>
        </w:rPr>
        <w:t xml:space="preserve"> DAC mutant. For these analyses it was considered a </w:t>
      </w:r>
      <w:r w:rsidRPr="00DC2FFD">
        <w:rPr>
          <w:rFonts w:ascii="Arial" w:hAnsi="Arial" w:cs="Arial"/>
          <w:i/>
          <w:iCs/>
          <w:sz w:val="20"/>
          <w:szCs w:val="20"/>
        </w:rPr>
        <w:t>p</w:t>
      </w:r>
      <w:r w:rsidRPr="00DC2FFD">
        <w:rPr>
          <w:rFonts w:ascii="Arial" w:hAnsi="Arial" w:cs="Arial"/>
          <w:sz w:val="20"/>
          <w:szCs w:val="20"/>
        </w:rPr>
        <w:t xml:space="preserve">-value cutoff of </w:t>
      </w:r>
      <w:r w:rsidRPr="00DC2FFD">
        <w:rPr>
          <w:rFonts w:ascii="Arial" w:hAnsi="Arial" w:cs="Arial"/>
          <w:sz w:val="20"/>
          <w:szCs w:val="20"/>
        </w:rPr>
        <w:sym w:font="Symbol" w:char="F0A3"/>
      </w:r>
      <w:r w:rsidRPr="00DC2FFD">
        <w:rPr>
          <w:rFonts w:ascii="Arial" w:hAnsi="Arial" w:cs="Arial"/>
          <w:sz w:val="20"/>
          <w:szCs w:val="20"/>
        </w:rPr>
        <w:t>0.05.</w:t>
      </w:r>
      <w:r w:rsidRPr="00DC2FFD">
        <w:rPr>
          <w:rFonts w:ascii="Arial" w:hAnsi="Arial" w:cs="Arial"/>
          <w:sz w:val="20"/>
          <w:szCs w:val="20"/>
        </w:rPr>
        <w:tab/>
      </w:r>
    </w:p>
    <w:p w14:paraId="1E8E0A10" w14:textId="74955AC4" w:rsidR="00583EA3" w:rsidRPr="00DC2FFD" w:rsidRDefault="004E5021" w:rsidP="00583EA3">
      <w:pPr>
        <w:spacing w:line="240" w:lineRule="auto"/>
        <w:jc w:val="both"/>
        <w:rPr>
          <w:rFonts w:ascii="Arial" w:hAnsi="Arial" w:cs="Arial"/>
          <w:b/>
          <w:bCs/>
          <w:sz w:val="20"/>
          <w:szCs w:val="20"/>
        </w:rPr>
      </w:pPr>
      <w:r>
        <w:rPr>
          <w:rFonts w:ascii="Arial" w:hAnsi="Arial" w:cs="Arial"/>
          <w:b/>
          <w:bCs/>
          <w:noProof/>
          <w:sz w:val="20"/>
          <w:szCs w:val="20"/>
        </w:rPr>
        <w:lastRenderedPageBreak/>
        <w:drawing>
          <wp:inline distT="0" distB="0" distL="0" distR="0" wp14:anchorId="20C80AF7" wp14:editId="6752308F">
            <wp:extent cx="5943600" cy="6637020"/>
            <wp:effectExtent l="0" t="0" r="0" b="5080"/>
            <wp:docPr id="265522007" name="Picture 10" descr="A screen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22007" name="Picture 10" descr="A screenshot of a char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6637020"/>
                    </a:xfrm>
                    <a:prstGeom prst="rect">
                      <a:avLst/>
                    </a:prstGeom>
                  </pic:spPr>
                </pic:pic>
              </a:graphicData>
            </a:graphic>
          </wp:inline>
        </w:drawing>
      </w:r>
    </w:p>
    <w:p w14:paraId="4A24C5EE" w14:textId="77777777" w:rsidR="00583EA3" w:rsidRPr="00DC2FFD" w:rsidRDefault="00583EA3" w:rsidP="00583EA3">
      <w:pPr>
        <w:spacing w:line="240" w:lineRule="auto"/>
        <w:jc w:val="both"/>
        <w:rPr>
          <w:rFonts w:ascii="Arial" w:hAnsi="Arial" w:cs="Arial"/>
          <w:sz w:val="20"/>
          <w:szCs w:val="20"/>
        </w:rPr>
      </w:pPr>
      <w:r w:rsidRPr="00DC2FFD">
        <w:rPr>
          <w:rFonts w:ascii="Arial" w:hAnsi="Arial" w:cs="Arial"/>
          <w:b/>
          <w:bCs/>
          <w:sz w:val="20"/>
          <w:szCs w:val="20"/>
        </w:rPr>
        <w:t>Supplementary Data 11. Quantitative proteome of DAC mutants.</w:t>
      </w:r>
      <w:r w:rsidRPr="00DC2FFD">
        <w:rPr>
          <w:rFonts w:ascii="Arial" w:hAnsi="Arial" w:cs="Arial"/>
          <w:sz w:val="20"/>
          <w:szCs w:val="20"/>
        </w:rPr>
        <w:t xml:space="preserve"> </w:t>
      </w:r>
      <w:r w:rsidRPr="00DC2FFD">
        <w:rPr>
          <w:rFonts w:ascii="Arial" w:hAnsi="Arial" w:cs="Arial"/>
          <w:b/>
          <w:bCs/>
          <w:sz w:val="20"/>
          <w:szCs w:val="20"/>
        </w:rPr>
        <w:t>A.</w:t>
      </w:r>
      <w:r w:rsidRPr="00DC2FFD">
        <w:rPr>
          <w:rFonts w:ascii="Arial" w:hAnsi="Arial" w:cs="Arial"/>
          <w:sz w:val="20"/>
          <w:szCs w:val="20"/>
        </w:rPr>
        <w:t xml:space="preserve"> Principal component analysis (PCA) of the total protein samples of DACs mutants and parental cells. </w:t>
      </w:r>
      <w:r w:rsidRPr="00DC2FFD">
        <w:rPr>
          <w:rFonts w:ascii="Arial" w:hAnsi="Arial" w:cs="Arial"/>
          <w:b/>
          <w:bCs/>
          <w:sz w:val="20"/>
          <w:szCs w:val="20"/>
        </w:rPr>
        <w:t>B.</w:t>
      </w:r>
      <w:r w:rsidRPr="00DC2FFD">
        <w:rPr>
          <w:rFonts w:ascii="Arial" w:hAnsi="Arial" w:cs="Arial"/>
          <w:sz w:val="20"/>
          <w:szCs w:val="20"/>
        </w:rPr>
        <w:t xml:space="preserve"> Volcano plot of differentially expressed proteins (log2(FC) &gt;1.5 and FDR &lt;0.05) of DACs mutants compared to Cas9 cells. </w:t>
      </w:r>
      <w:r w:rsidRPr="00DC2FFD">
        <w:rPr>
          <w:rFonts w:ascii="Arial" w:hAnsi="Arial" w:cs="Arial"/>
          <w:b/>
          <w:bCs/>
          <w:sz w:val="20"/>
          <w:szCs w:val="20"/>
        </w:rPr>
        <w:t>C.</w:t>
      </w:r>
      <w:r w:rsidRPr="00DC2FFD">
        <w:rPr>
          <w:rFonts w:ascii="Arial" w:hAnsi="Arial" w:cs="Arial"/>
          <w:sz w:val="20"/>
          <w:szCs w:val="20"/>
        </w:rPr>
        <w:t xml:space="preserve"> Number of differentially expressed proteins (DEPs) in each DAC mutant compared to parental cell. </w:t>
      </w:r>
      <w:r w:rsidRPr="00DC2FFD">
        <w:rPr>
          <w:rFonts w:ascii="Arial" w:hAnsi="Arial" w:cs="Arial"/>
          <w:b/>
          <w:bCs/>
          <w:sz w:val="20"/>
          <w:szCs w:val="20"/>
        </w:rPr>
        <w:t>D.</w:t>
      </w:r>
      <w:r w:rsidRPr="00DC2FFD">
        <w:rPr>
          <w:rFonts w:ascii="Arial" w:hAnsi="Arial" w:cs="Arial"/>
          <w:sz w:val="20"/>
          <w:szCs w:val="20"/>
        </w:rPr>
        <w:t xml:space="preserve"> Venn diagrams comparing the DEPs among DACs mutants and Cas9. </w:t>
      </w:r>
      <w:r w:rsidRPr="00DC2FFD">
        <w:rPr>
          <w:rFonts w:ascii="Arial" w:hAnsi="Arial" w:cs="Arial"/>
          <w:b/>
          <w:bCs/>
          <w:sz w:val="20"/>
          <w:szCs w:val="20"/>
        </w:rPr>
        <w:t>E.</w:t>
      </w:r>
      <w:r w:rsidRPr="00DC2FFD">
        <w:rPr>
          <w:rFonts w:ascii="Arial" w:hAnsi="Arial" w:cs="Arial"/>
          <w:sz w:val="20"/>
          <w:szCs w:val="20"/>
        </w:rPr>
        <w:t xml:space="preserve"> Cellular compartment distribution of DEPs of each DACs mutant. </w:t>
      </w:r>
      <w:r w:rsidRPr="00DC2FFD">
        <w:rPr>
          <w:rFonts w:ascii="Arial" w:hAnsi="Arial" w:cs="Arial"/>
          <w:b/>
          <w:bCs/>
          <w:sz w:val="20"/>
          <w:szCs w:val="20"/>
        </w:rPr>
        <w:t>F.</w:t>
      </w:r>
      <w:r w:rsidRPr="00DC2FFD">
        <w:rPr>
          <w:rFonts w:ascii="Arial" w:hAnsi="Arial" w:cs="Arial"/>
          <w:sz w:val="20"/>
          <w:szCs w:val="20"/>
        </w:rPr>
        <w:t xml:space="preserve"> Dynamic radar plot of Top30 DEPs found in each DAC mutant compared to Cas9. The downregulated proteins are identified as green circles and the upregulated proteins as salmon circles. The top5 down and upregulated proteins are identified in green and salmon in each dynamic radar. </w:t>
      </w:r>
    </w:p>
    <w:p w14:paraId="6BD2B829" w14:textId="77777777" w:rsidR="00583EA3" w:rsidRPr="00DC2FFD" w:rsidRDefault="00583EA3" w:rsidP="00583EA3">
      <w:pPr>
        <w:spacing w:line="240" w:lineRule="auto"/>
        <w:jc w:val="both"/>
        <w:rPr>
          <w:rFonts w:ascii="Arial" w:hAnsi="Arial" w:cs="Arial"/>
          <w:b/>
          <w:bCs/>
          <w:sz w:val="20"/>
          <w:szCs w:val="20"/>
        </w:rPr>
      </w:pPr>
    </w:p>
    <w:p w14:paraId="569A37C9" w14:textId="40A869CC" w:rsidR="004E5021" w:rsidRDefault="004E5021" w:rsidP="004E5021">
      <w:pPr>
        <w:spacing w:line="240" w:lineRule="auto"/>
        <w:jc w:val="center"/>
        <w:rPr>
          <w:rFonts w:ascii="Arial" w:hAnsi="Arial" w:cs="Arial"/>
          <w:b/>
          <w:bCs/>
          <w:sz w:val="20"/>
          <w:szCs w:val="20"/>
        </w:rPr>
      </w:pPr>
      <w:r>
        <w:rPr>
          <w:rFonts w:ascii="Arial" w:hAnsi="Arial" w:cs="Arial"/>
          <w:b/>
          <w:bCs/>
          <w:noProof/>
          <w:sz w:val="20"/>
          <w:szCs w:val="20"/>
        </w:rPr>
        <w:lastRenderedPageBreak/>
        <w:drawing>
          <wp:inline distT="0" distB="0" distL="0" distR="0" wp14:anchorId="17EF87CF" wp14:editId="71B5D250">
            <wp:extent cx="4642989" cy="3600000"/>
            <wp:effectExtent l="0" t="0" r="5715" b="0"/>
            <wp:docPr id="1714741695" name="Picture 11" descr="A collage of graphs and ch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41695" name="Picture 11" descr="A collage of graphs and chart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42989" cy="3600000"/>
                    </a:xfrm>
                    <a:prstGeom prst="rect">
                      <a:avLst/>
                    </a:prstGeom>
                  </pic:spPr>
                </pic:pic>
              </a:graphicData>
            </a:graphic>
          </wp:inline>
        </w:drawing>
      </w:r>
    </w:p>
    <w:p w14:paraId="0DEFE37A" w14:textId="3E18C068" w:rsidR="00583EA3" w:rsidRPr="00DC2FFD" w:rsidRDefault="00583EA3" w:rsidP="00583EA3">
      <w:pPr>
        <w:spacing w:line="240" w:lineRule="auto"/>
        <w:jc w:val="both"/>
        <w:rPr>
          <w:rFonts w:ascii="Arial" w:hAnsi="Arial" w:cs="Arial"/>
          <w:sz w:val="20"/>
          <w:szCs w:val="20"/>
        </w:rPr>
      </w:pPr>
      <w:r w:rsidRPr="00DC2FFD">
        <w:rPr>
          <w:rFonts w:ascii="Arial" w:hAnsi="Arial" w:cs="Arial"/>
          <w:b/>
          <w:bCs/>
          <w:sz w:val="20"/>
          <w:szCs w:val="20"/>
        </w:rPr>
        <w:t>Supplementary Data 12. Quantitative acetylome of DAC mutants.</w:t>
      </w:r>
      <w:r w:rsidRPr="00DC2FFD">
        <w:rPr>
          <w:rFonts w:ascii="Arial" w:hAnsi="Arial" w:cs="Arial"/>
          <w:sz w:val="20"/>
          <w:szCs w:val="20"/>
        </w:rPr>
        <w:t xml:space="preserve"> </w:t>
      </w:r>
      <w:r w:rsidRPr="00DC2FFD">
        <w:rPr>
          <w:rFonts w:ascii="Arial" w:hAnsi="Arial" w:cs="Arial"/>
          <w:b/>
          <w:bCs/>
          <w:sz w:val="20"/>
          <w:szCs w:val="20"/>
        </w:rPr>
        <w:t>A.</w:t>
      </w:r>
      <w:r w:rsidRPr="00DC2FFD">
        <w:rPr>
          <w:rFonts w:ascii="Arial" w:hAnsi="Arial" w:cs="Arial"/>
          <w:sz w:val="20"/>
          <w:szCs w:val="20"/>
        </w:rPr>
        <w:t xml:space="preserve"> Principal component analysis (PCA) of the Kac protein samples of DACs mutants and parental cells. </w:t>
      </w:r>
      <w:r w:rsidRPr="00DC2FFD">
        <w:rPr>
          <w:rFonts w:ascii="Arial" w:hAnsi="Arial" w:cs="Arial"/>
          <w:b/>
          <w:bCs/>
          <w:sz w:val="20"/>
          <w:szCs w:val="20"/>
        </w:rPr>
        <w:t>B.</w:t>
      </w:r>
      <w:r w:rsidRPr="00DC2FFD">
        <w:rPr>
          <w:rFonts w:ascii="Arial" w:hAnsi="Arial" w:cs="Arial"/>
          <w:sz w:val="20"/>
          <w:szCs w:val="20"/>
        </w:rPr>
        <w:t xml:space="preserve"> Volcano plot of differentially acetylated proteins (log2(FC) &gt;1.5 and FDR &lt;0.05) of DACs mutants compared to Cas9 cells. </w:t>
      </w:r>
      <w:r w:rsidRPr="00DC2FFD">
        <w:rPr>
          <w:rFonts w:ascii="Arial" w:hAnsi="Arial" w:cs="Arial"/>
          <w:b/>
          <w:bCs/>
          <w:sz w:val="20"/>
          <w:szCs w:val="20"/>
        </w:rPr>
        <w:t>C.</w:t>
      </w:r>
      <w:r w:rsidRPr="00DC2FFD">
        <w:rPr>
          <w:rFonts w:ascii="Arial" w:hAnsi="Arial" w:cs="Arial"/>
          <w:sz w:val="20"/>
          <w:szCs w:val="20"/>
        </w:rPr>
        <w:t xml:space="preserve"> The number of Kac proteins (left panel) and Kac sites (right panel) detected from </w:t>
      </w:r>
      <w:r w:rsidRPr="00DC2FFD">
        <w:rPr>
          <w:rFonts w:ascii="Arial" w:hAnsi="Arial" w:cs="Arial"/>
          <w:i/>
          <w:iCs/>
          <w:sz w:val="20"/>
          <w:szCs w:val="20"/>
        </w:rPr>
        <w:t>Trypanosoma evansi</w:t>
      </w:r>
      <w:r w:rsidRPr="00DC2FFD">
        <w:rPr>
          <w:rFonts w:ascii="Arial" w:hAnsi="Arial" w:cs="Arial"/>
          <w:sz w:val="20"/>
          <w:szCs w:val="20"/>
        </w:rPr>
        <w:t xml:space="preserve"> (Tev) </w:t>
      </w:r>
      <w:r w:rsidRPr="00DC2FFD">
        <w:rPr>
          <w:rFonts w:ascii="Arial" w:hAnsi="Arial" w:cs="Arial"/>
          <w:i/>
          <w:iCs/>
          <w:sz w:val="20"/>
          <w:szCs w:val="20"/>
        </w:rPr>
        <w:t>Trypanosoma brucei</w:t>
      </w:r>
      <w:r w:rsidRPr="00DC2FFD">
        <w:rPr>
          <w:rFonts w:ascii="Arial" w:hAnsi="Arial" w:cs="Arial"/>
          <w:sz w:val="20"/>
          <w:szCs w:val="20"/>
        </w:rPr>
        <w:t xml:space="preserve"> (Tb), </w:t>
      </w:r>
      <w:r w:rsidRPr="00DC2FFD">
        <w:rPr>
          <w:rFonts w:ascii="Arial" w:hAnsi="Arial" w:cs="Arial"/>
          <w:i/>
          <w:iCs/>
          <w:sz w:val="20"/>
          <w:szCs w:val="20"/>
        </w:rPr>
        <w:t>Trypanosoma cruzi</w:t>
      </w:r>
      <w:r w:rsidRPr="00DC2FFD">
        <w:rPr>
          <w:rFonts w:ascii="Arial" w:hAnsi="Arial" w:cs="Arial"/>
          <w:sz w:val="20"/>
          <w:szCs w:val="20"/>
        </w:rPr>
        <w:t xml:space="preserve"> (Tc), and </w:t>
      </w:r>
      <w:r w:rsidRPr="00DC2FFD">
        <w:rPr>
          <w:rFonts w:ascii="Arial" w:hAnsi="Arial" w:cs="Arial"/>
          <w:i/>
          <w:iCs/>
          <w:sz w:val="20"/>
          <w:szCs w:val="20"/>
        </w:rPr>
        <w:t>L. mexicana</w:t>
      </w:r>
      <w:r w:rsidRPr="00DC2FFD">
        <w:rPr>
          <w:rFonts w:ascii="Arial" w:hAnsi="Arial" w:cs="Arial"/>
          <w:sz w:val="20"/>
          <w:szCs w:val="20"/>
        </w:rPr>
        <w:t xml:space="preserve"> (Lmex). The percentage of acetylated proteomes over their respective total predicted proteomes is showed in the bottom panel. </w:t>
      </w:r>
    </w:p>
    <w:p w14:paraId="46F6660F" w14:textId="77777777" w:rsidR="00583EA3" w:rsidRPr="00DC2FFD" w:rsidRDefault="00583EA3" w:rsidP="00583EA3">
      <w:pPr>
        <w:spacing w:line="240" w:lineRule="auto"/>
        <w:jc w:val="both"/>
        <w:rPr>
          <w:rFonts w:ascii="Arial" w:hAnsi="Arial" w:cs="Arial"/>
          <w:sz w:val="20"/>
          <w:szCs w:val="20"/>
        </w:rPr>
      </w:pPr>
    </w:p>
    <w:p w14:paraId="75B623C3" w14:textId="13C7C95F" w:rsidR="00583EA3" w:rsidRPr="00DC2FFD" w:rsidRDefault="00583EA3" w:rsidP="00583EA3">
      <w:pPr>
        <w:spacing w:line="240" w:lineRule="auto"/>
        <w:jc w:val="both"/>
        <w:rPr>
          <w:rFonts w:ascii="Arial" w:hAnsi="Arial" w:cs="Arial"/>
          <w:sz w:val="20"/>
          <w:szCs w:val="20"/>
        </w:rPr>
      </w:pPr>
    </w:p>
    <w:p w14:paraId="6786F9A2" w14:textId="77777777" w:rsidR="00583EA3" w:rsidRDefault="00583EA3" w:rsidP="00583EA3">
      <w:pPr>
        <w:spacing w:line="240" w:lineRule="auto"/>
        <w:jc w:val="both"/>
        <w:rPr>
          <w:rFonts w:ascii="Arial" w:hAnsi="Arial" w:cs="Arial"/>
          <w:sz w:val="20"/>
          <w:szCs w:val="20"/>
        </w:rPr>
      </w:pPr>
    </w:p>
    <w:p w14:paraId="1119F155" w14:textId="77777777" w:rsidR="004E5021" w:rsidRDefault="004E5021" w:rsidP="00583EA3">
      <w:pPr>
        <w:spacing w:line="240" w:lineRule="auto"/>
        <w:jc w:val="both"/>
        <w:rPr>
          <w:rFonts w:ascii="Arial" w:hAnsi="Arial" w:cs="Arial"/>
          <w:sz w:val="20"/>
          <w:szCs w:val="20"/>
        </w:rPr>
      </w:pPr>
    </w:p>
    <w:p w14:paraId="1D2C5EC4" w14:textId="77777777" w:rsidR="004E5021" w:rsidRDefault="004E5021" w:rsidP="00583EA3">
      <w:pPr>
        <w:spacing w:line="240" w:lineRule="auto"/>
        <w:jc w:val="both"/>
        <w:rPr>
          <w:rFonts w:ascii="Arial" w:hAnsi="Arial" w:cs="Arial"/>
          <w:sz w:val="20"/>
          <w:szCs w:val="20"/>
        </w:rPr>
      </w:pPr>
    </w:p>
    <w:p w14:paraId="0836C4C2" w14:textId="77777777" w:rsidR="004E5021" w:rsidRDefault="004E5021" w:rsidP="00583EA3">
      <w:pPr>
        <w:spacing w:line="240" w:lineRule="auto"/>
        <w:jc w:val="both"/>
        <w:rPr>
          <w:rFonts w:ascii="Arial" w:hAnsi="Arial" w:cs="Arial"/>
          <w:sz w:val="20"/>
          <w:szCs w:val="20"/>
        </w:rPr>
      </w:pPr>
    </w:p>
    <w:p w14:paraId="4C6C3F00" w14:textId="77777777" w:rsidR="004E5021" w:rsidRDefault="004E5021" w:rsidP="00583EA3">
      <w:pPr>
        <w:spacing w:line="240" w:lineRule="auto"/>
        <w:jc w:val="both"/>
        <w:rPr>
          <w:rFonts w:ascii="Arial" w:hAnsi="Arial" w:cs="Arial"/>
          <w:sz w:val="20"/>
          <w:szCs w:val="20"/>
        </w:rPr>
      </w:pPr>
    </w:p>
    <w:p w14:paraId="425DA37C" w14:textId="77777777" w:rsidR="004E5021" w:rsidRDefault="004E5021" w:rsidP="00583EA3">
      <w:pPr>
        <w:spacing w:line="240" w:lineRule="auto"/>
        <w:jc w:val="both"/>
        <w:rPr>
          <w:rFonts w:ascii="Arial" w:hAnsi="Arial" w:cs="Arial"/>
          <w:sz w:val="20"/>
          <w:szCs w:val="20"/>
        </w:rPr>
      </w:pPr>
    </w:p>
    <w:p w14:paraId="7BF1AE4E" w14:textId="77777777" w:rsidR="004E5021" w:rsidRDefault="004E5021" w:rsidP="00583EA3">
      <w:pPr>
        <w:spacing w:line="240" w:lineRule="auto"/>
        <w:jc w:val="both"/>
        <w:rPr>
          <w:rFonts w:ascii="Arial" w:hAnsi="Arial" w:cs="Arial"/>
          <w:sz w:val="20"/>
          <w:szCs w:val="20"/>
        </w:rPr>
      </w:pPr>
    </w:p>
    <w:p w14:paraId="29C7F80B" w14:textId="77777777" w:rsidR="004E5021" w:rsidRDefault="004E5021" w:rsidP="00583EA3">
      <w:pPr>
        <w:spacing w:line="240" w:lineRule="auto"/>
        <w:jc w:val="both"/>
        <w:rPr>
          <w:rFonts w:ascii="Arial" w:hAnsi="Arial" w:cs="Arial"/>
          <w:sz w:val="20"/>
          <w:szCs w:val="20"/>
        </w:rPr>
      </w:pPr>
    </w:p>
    <w:p w14:paraId="09BBEB17" w14:textId="77777777" w:rsidR="004E5021" w:rsidRDefault="004E5021" w:rsidP="00583EA3">
      <w:pPr>
        <w:spacing w:line="240" w:lineRule="auto"/>
        <w:jc w:val="both"/>
        <w:rPr>
          <w:rFonts w:ascii="Arial" w:hAnsi="Arial" w:cs="Arial"/>
          <w:sz w:val="20"/>
          <w:szCs w:val="20"/>
        </w:rPr>
      </w:pPr>
    </w:p>
    <w:p w14:paraId="0D7B5B12" w14:textId="77777777" w:rsidR="004E5021" w:rsidRDefault="004E5021" w:rsidP="00583EA3">
      <w:pPr>
        <w:spacing w:line="240" w:lineRule="auto"/>
        <w:jc w:val="both"/>
        <w:rPr>
          <w:rFonts w:ascii="Arial" w:hAnsi="Arial" w:cs="Arial"/>
          <w:sz w:val="20"/>
          <w:szCs w:val="20"/>
        </w:rPr>
      </w:pPr>
    </w:p>
    <w:p w14:paraId="44407E3B" w14:textId="600FC84A" w:rsidR="004E5021" w:rsidRPr="00DC2FFD" w:rsidRDefault="004E5021" w:rsidP="00583EA3">
      <w:pPr>
        <w:spacing w:line="240" w:lineRule="auto"/>
        <w:jc w:val="both"/>
        <w:rPr>
          <w:rFonts w:ascii="Arial" w:hAnsi="Arial" w:cs="Arial"/>
          <w:sz w:val="20"/>
          <w:szCs w:val="20"/>
        </w:rPr>
      </w:pPr>
      <w:r>
        <w:rPr>
          <w:rFonts w:ascii="Arial" w:hAnsi="Arial" w:cs="Arial"/>
          <w:noProof/>
          <w:sz w:val="20"/>
          <w:szCs w:val="20"/>
        </w:rPr>
        <w:lastRenderedPageBreak/>
        <w:drawing>
          <wp:inline distT="0" distB="0" distL="0" distR="0" wp14:anchorId="5883AB4E" wp14:editId="19A889A9">
            <wp:extent cx="5943600" cy="2651760"/>
            <wp:effectExtent l="0" t="0" r="0" b="2540"/>
            <wp:docPr id="1846507675" name="Picture 12"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07675" name="Picture 12" descr="A close-up of a char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651760"/>
                    </a:xfrm>
                    <a:prstGeom prst="rect">
                      <a:avLst/>
                    </a:prstGeom>
                  </pic:spPr>
                </pic:pic>
              </a:graphicData>
            </a:graphic>
          </wp:inline>
        </w:drawing>
      </w:r>
    </w:p>
    <w:p w14:paraId="40239731" w14:textId="77777777" w:rsidR="00583EA3" w:rsidRPr="00DC2FFD" w:rsidRDefault="00583EA3" w:rsidP="00583EA3">
      <w:pPr>
        <w:spacing w:line="240" w:lineRule="auto"/>
        <w:jc w:val="both"/>
        <w:rPr>
          <w:rFonts w:ascii="Arial" w:hAnsi="Arial" w:cs="Arial"/>
          <w:sz w:val="20"/>
          <w:szCs w:val="20"/>
        </w:rPr>
      </w:pPr>
      <w:r w:rsidRPr="00DC2FFD">
        <w:rPr>
          <w:rFonts w:ascii="Arial" w:hAnsi="Arial" w:cs="Arial"/>
          <w:b/>
          <w:bCs/>
          <w:sz w:val="20"/>
          <w:szCs w:val="20"/>
        </w:rPr>
        <w:t>Supplementary Data 13. Protein acetylation in glycolytic enzymes of DAC mutants. A.</w:t>
      </w:r>
      <w:r w:rsidRPr="00DC2FFD">
        <w:rPr>
          <w:rFonts w:ascii="Arial" w:hAnsi="Arial" w:cs="Arial"/>
          <w:sz w:val="20"/>
          <w:szCs w:val="20"/>
        </w:rPr>
        <w:t xml:space="preserve"> Schematic representation of the Embden–Meyerhof pathway in </w:t>
      </w:r>
      <w:r w:rsidRPr="00DC2FFD">
        <w:rPr>
          <w:rFonts w:ascii="Arial" w:hAnsi="Arial" w:cs="Arial"/>
          <w:i/>
          <w:iCs/>
          <w:sz w:val="20"/>
          <w:szCs w:val="20"/>
        </w:rPr>
        <w:t>L. mexicana</w:t>
      </w:r>
      <w:r w:rsidRPr="00DC2FFD">
        <w:rPr>
          <w:rFonts w:ascii="Arial" w:hAnsi="Arial" w:cs="Arial"/>
          <w:sz w:val="20"/>
          <w:szCs w:val="20"/>
        </w:rPr>
        <w:t xml:space="preserve">, showing acetylation sites detected in each DAC mutant. Colored circles indicate the presence of acetylation on specific glycolytic enzymes; enzymes were considered acetylated if at least one Kac site was identified. Hexokinase (HK); glucose phosphate isomerase (PGI); phosphofructokinase (PFK); fructose 1,6-biphosphate aldolase (ALD); triose phosphate isomerase (TIM); glyceraldehyde 3-phosphate dehydrogenase (GAPDH); phosphoglycerate kinase (PGK); phosphoglycerate mutase (PGM); enolase (ENO); pyruvate kinase (PK). </w:t>
      </w:r>
      <w:r w:rsidRPr="00DC2FFD">
        <w:rPr>
          <w:rFonts w:ascii="Arial" w:hAnsi="Arial" w:cs="Arial"/>
          <w:b/>
          <w:bCs/>
          <w:sz w:val="20"/>
          <w:szCs w:val="20"/>
        </w:rPr>
        <w:t>B.</w:t>
      </w:r>
      <w:r w:rsidRPr="00DC2FFD">
        <w:rPr>
          <w:rFonts w:ascii="Arial" w:hAnsi="Arial" w:cs="Arial"/>
          <w:sz w:val="20"/>
          <w:szCs w:val="20"/>
        </w:rPr>
        <w:t xml:space="preserve"> Number of Kac sites detected per glycolytic enzyme in each DAC mutant. </w:t>
      </w:r>
      <w:r w:rsidRPr="00DC2FFD">
        <w:rPr>
          <w:rFonts w:ascii="Arial" w:hAnsi="Arial" w:cs="Arial"/>
          <w:b/>
          <w:bCs/>
          <w:sz w:val="20"/>
          <w:szCs w:val="20"/>
        </w:rPr>
        <w:t>C.</w:t>
      </w:r>
      <w:r w:rsidRPr="00DC2FFD">
        <w:rPr>
          <w:rFonts w:ascii="Arial" w:hAnsi="Arial" w:cs="Arial"/>
          <w:sz w:val="20"/>
          <w:szCs w:val="20"/>
        </w:rPr>
        <w:t xml:space="preserve"> Quantitative acetylation levels for each lysine site identified across all glycolytic enzymes and DAC mutants. </w:t>
      </w:r>
      <w:r w:rsidRPr="00DC2FFD">
        <w:rPr>
          <w:rFonts w:ascii="Arial" w:hAnsi="Arial" w:cs="Arial"/>
          <w:b/>
          <w:bCs/>
          <w:sz w:val="20"/>
          <w:szCs w:val="20"/>
        </w:rPr>
        <w:t>D.</w:t>
      </w:r>
      <w:r w:rsidRPr="00DC2FFD">
        <w:rPr>
          <w:rFonts w:ascii="Arial" w:hAnsi="Arial" w:cs="Arial"/>
          <w:sz w:val="20"/>
          <w:szCs w:val="20"/>
        </w:rPr>
        <w:t xml:space="preserve"> </w:t>
      </w:r>
      <w:r w:rsidRPr="00DC2FFD">
        <w:rPr>
          <w:rFonts w:ascii="Arial" w:hAnsi="Arial" w:cs="Arial"/>
          <w:i/>
          <w:iCs/>
          <w:sz w:val="20"/>
          <w:szCs w:val="20"/>
        </w:rPr>
        <w:t>L. mexicana</w:t>
      </w:r>
      <w:r w:rsidRPr="00DC2FFD">
        <w:rPr>
          <w:rFonts w:ascii="Arial" w:hAnsi="Arial" w:cs="Arial"/>
          <w:sz w:val="20"/>
          <w:szCs w:val="20"/>
        </w:rPr>
        <w:t xml:space="preserve"> ALD protein structure (PDB: 2QAP) with residues critical for enzymatic activity highlighted in green. Conserved lysine residues potentially involved in activity regulation are shown in comparison to human (Hs) and </w:t>
      </w:r>
      <w:r w:rsidRPr="00DC2FFD">
        <w:rPr>
          <w:rFonts w:ascii="Arial" w:hAnsi="Arial" w:cs="Arial"/>
          <w:i/>
          <w:iCs/>
          <w:sz w:val="20"/>
          <w:szCs w:val="20"/>
        </w:rPr>
        <w:t>T. brucei</w:t>
      </w:r>
      <w:r w:rsidRPr="00DC2FFD">
        <w:rPr>
          <w:rFonts w:ascii="Arial" w:hAnsi="Arial" w:cs="Arial"/>
          <w:sz w:val="20"/>
          <w:szCs w:val="20"/>
        </w:rPr>
        <w:t xml:space="preserve"> (Tb) homologs (lower panel).</w:t>
      </w:r>
    </w:p>
    <w:p w14:paraId="306BF663" w14:textId="1C09FBA4" w:rsidR="00583EA3" w:rsidRDefault="00583EA3" w:rsidP="00583EA3">
      <w:pPr>
        <w:spacing w:line="480" w:lineRule="auto"/>
        <w:jc w:val="center"/>
        <w:rPr>
          <w:rFonts w:ascii="Arial" w:hAnsi="Arial" w:cs="Arial"/>
          <w:b/>
        </w:rPr>
      </w:pPr>
    </w:p>
    <w:p w14:paraId="41E564B5" w14:textId="77777777" w:rsidR="004E5021" w:rsidRDefault="004E5021" w:rsidP="00583EA3">
      <w:pPr>
        <w:spacing w:line="480" w:lineRule="auto"/>
        <w:jc w:val="center"/>
        <w:rPr>
          <w:rFonts w:ascii="Arial" w:hAnsi="Arial" w:cs="Arial"/>
          <w:b/>
        </w:rPr>
      </w:pPr>
    </w:p>
    <w:p w14:paraId="1CCAC3AB" w14:textId="77777777" w:rsidR="004E5021" w:rsidRDefault="004E5021" w:rsidP="00583EA3">
      <w:pPr>
        <w:spacing w:line="480" w:lineRule="auto"/>
        <w:jc w:val="center"/>
        <w:rPr>
          <w:rFonts w:ascii="Arial" w:hAnsi="Arial" w:cs="Arial"/>
          <w:b/>
        </w:rPr>
      </w:pPr>
    </w:p>
    <w:p w14:paraId="7388F5DF" w14:textId="77777777" w:rsidR="004E5021" w:rsidRDefault="004E5021" w:rsidP="00583EA3">
      <w:pPr>
        <w:spacing w:line="480" w:lineRule="auto"/>
        <w:jc w:val="center"/>
        <w:rPr>
          <w:rFonts w:ascii="Arial" w:hAnsi="Arial" w:cs="Arial"/>
          <w:b/>
        </w:rPr>
      </w:pPr>
    </w:p>
    <w:p w14:paraId="7A912A81" w14:textId="77777777" w:rsidR="004E5021" w:rsidRDefault="004E5021" w:rsidP="00583EA3">
      <w:pPr>
        <w:spacing w:line="480" w:lineRule="auto"/>
        <w:jc w:val="center"/>
        <w:rPr>
          <w:rFonts w:ascii="Arial" w:hAnsi="Arial" w:cs="Arial"/>
          <w:b/>
        </w:rPr>
      </w:pPr>
    </w:p>
    <w:p w14:paraId="7EE42A4E" w14:textId="77777777" w:rsidR="004E5021" w:rsidRDefault="004E5021" w:rsidP="00583EA3">
      <w:pPr>
        <w:spacing w:line="480" w:lineRule="auto"/>
        <w:jc w:val="center"/>
        <w:rPr>
          <w:rFonts w:ascii="Arial" w:hAnsi="Arial" w:cs="Arial"/>
          <w:b/>
        </w:rPr>
      </w:pPr>
    </w:p>
    <w:p w14:paraId="04722B90" w14:textId="77777777" w:rsidR="004E5021" w:rsidRDefault="004E5021" w:rsidP="00583EA3">
      <w:pPr>
        <w:spacing w:line="480" w:lineRule="auto"/>
        <w:jc w:val="center"/>
        <w:rPr>
          <w:rFonts w:ascii="Arial" w:hAnsi="Arial" w:cs="Arial"/>
          <w:b/>
        </w:rPr>
      </w:pPr>
    </w:p>
    <w:p w14:paraId="69B1035F" w14:textId="77777777" w:rsidR="004E5021" w:rsidRDefault="004E5021" w:rsidP="00583EA3">
      <w:pPr>
        <w:spacing w:line="480" w:lineRule="auto"/>
        <w:jc w:val="center"/>
        <w:rPr>
          <w:rFonts w:ascii="Arial" w:hAnsi="Arial" w:cs="Arial"/>
          <w:b/>
        </w:rPr>
      </w:pPr>
    </w:p>
    <w:p w14:paraId="64CEA02E" w14:textId="74645BCB" w:rsidR="004E5021" w:rsidRPr="00DC2FFD" w:rsidRDefault="004E5021" w:rsidP="00583EA3">
      <w:pPr>
        <w:spacing w:line="480" w:lineRule="auto"/>
        <w:jc w:val="center"/>
        <w:rPr>
          <w:rFonts w:ascii="Arial" w:hAnsi="Arial" w:cs="Arial"/>
          <w:b/>
        </w:rPr>
      </w:pPr>
      <w:r>
        <w:rPr>
          <w:rFonts w:ascii="Arial" w:hAnsi="Arial" w:cs="Arial"/>
          <w:b/>
          <w:noProof/>
        </w:rPr>
        <w:lastRenderedPageBreak/>
        <w:drawing>
          <wp:inline distT="0" distB="0" distL="0" distR="0" wp14:anchorId="492273FB" wp14:editId="246A360E">
            <wp:extent cx="4638617" cy="6516000"/>
            <wp:effectExtent l="0" t="0" r="0" b="0"/>
            <wp:docPr id="1499244721" name="Picture 13"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44721" name="Picture 13" descr="A close-up of a char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38617" cy="6516000"/>
                    </a:xfrm>
                    <a:prstGeom prst="rect">
                      <a:avLst/>
                    </a:prstGeom>
                  </pic:spPr>
                </pic:pic>
              </a:graphicData>
            </a:graphic>
          </wp:inline>
        </w:drawing>
      </w:r>
    </w:p>
    <w:p w14:paraId="38D807A9" w14:textId="77777777" w:rsidR="00583EA3" w:rsidRPr="004E5021" w:rsidRDefault="00583EA3" w:rsidP="00583EA3">
      <w:pPr>
        <w:autoSpaceDE w:val="0"/>
        <w:autoSpaceDN w:val="0"/>
        <w:adjustRightInd w:val="0"/>
        <w:spacing w:line="240" w:lineRule="auto"/>
        <w:jc w:val="both"/>
        <w:rPr>
          <w:rFonts w:ascii="Arial" w:hAnsi="Arial" w:cs="Arial"/>
          <w:sz w:val="20"/>
          <w:szCs w:val="20"/>
        </w:rPr>
      </w:pPr>
      <w:r w:rsidRPr="004E5021">
        <w:rPr>
          <w:rFonts w:ascii="Arial" w:hAnsi="Arial" w:cs="Arial"/>
          <w:b/>
          <w:bCs/>
          <w:sz w:val="20"/>
          <w:szCs w:val="20"/>
        </w:rPr>
        <w:t>Supplementary Data 14.</w:t>
      </w:r>
      <w:r w:rsidRPr="004E5021">
        <w:rPr>
          <w:rFonts w:ascii="Arial" w:hAnsi="Arial" w:cs="Arial"/>
          <w:sz w:val="20"/>
          <w:szCs w:val="20"/>
        </w:rPr>
        <w:t xml:space="preserve"> </w:t>
      </w:r>
      <w:r w:rsidRPr="004E5021">
        <w:rPr>
          <w:rFonts w:ascii="Arial" w:hAnsi="Arial" w:cs="Arial"/>
          <w:b/>
          <w:bCs/>
          <w:sz w:val="20"/>
          <w:szCs w:val="20"/>
        </w:rPr>
        <w:t>Estimation of the cell cycle phase lengths of DACs mutants</w:t>
      </w:r>
      <w:r w:rsidRPr="004E5021">
        <w:rPr>
          <w:rFonts w:ascii="Arial" w:hAnsi="Arial" w:cs="Arial"/>
          <w:sz w:val="20"/>
          <w:szCs w:val="20"/>
        </w:rPr>
        <w:t xml:space="preserve">. </w:t>
      </w:r>
      <w:r w:rsidRPr="004E5021">
        <w:rPr>
          <w:rFonts w:ascii="Arial" w:hAnsi="Arial" w:cs="Arial"/>
          <w:b/>
          <w:bCs/>
          <w:color w:val="000000"/>
          <w:sz w:val="20"/>
          <w:szCs w:val="20"/>
        </w:rPr>
        <w:t>A</w:t>
      </w:r>
      <w:r w:rsidRPr="004E5021">
        <w:rPr>
          <w:rFonts w:ascii="Arial" w:hAnsi="Arial" w:cs="Arial"/>
          <w:color w:val="000000"/>
          <w:sz w:val="20"/>
          <w:szCs w:val="20"/>
        </w:rPr>
        <w:t xml:space="preserve">. DAPI-labeled parasites (2N2K) were used to measure the percentage of parasites in cytokinesis. </w:t>
      </w:r>
      <w:r w:rsidRPr="004E5021">
        <w:rPr>
          <w:rFonts w:ascii="Arial" w:hAnsi="Arial" w:cs="Arial"/>
          <w:b/>
          <w:bCs/>
          <w:color w:val="000000"/>
          <w:sz w:val="20"/>
          <w:szCs w:val="20"/>
        </w:rPr>
        <w:t>B</w:t>
      </w:r>
      <w:r w:rsidRPr="004E5021">
        <w:rPr>
          <w:rFonts w:ascii="Arial" w:hAnsi="Arial" w:cs="Arial"/>
          <w:color w:val="000000"/>
          <w:sz w:val="20"/>
          <w:szCs w:val="20"/>
        </w:rPr>
        <w:t xml:space="preserve">. Parasites with nuclei in division but not yet segregated were used to estimate the proportion of parasites performing mitosis. </w:t>
      </w:r>
      <w:r w:rsidRPr="004E5021">
        <w:rPr>
          <w:rFonts w:ascii="Arial" w:hAnsi="Arial" w:cs="Arial"/>
          <w:b/>
          <w:bCs/>
          <w:color w:val="000000"/>
          <w:sz w:val="20"/>
          <w:szCs w:val="20"/>
        </w:rPr>
        <w:t>C</w:t>
      </w:r>
      <w:r w:rsidRPr="004E5021">
        <w:rPr>
          <w:rFonts w:ascii="Arial" w:hAnsi="Arial" w:cs="Arial"/>
          <w:color w:val="000000"/>
          <w:sz w:val="20"/>
          <w:szCs w:val="20"/>
        </w:rPr>
        <w:t>. To estimate the duration of the G2+M phases, EdU was added to the culture, and parasites were continuously collected every 15 min until parasites containing two EdU-labeled nuclei in the same cell (cytokinesis) were observed. This pattern was observed after 45 min for all lineages</w:t>
      </w:r>
      <w:r w:rsidRPr="004E5021">
        <w:rPr>
          <w:rFonts w:ascii="Arial" w:hAnsi="Arial" w:cs="Arial"/>
          <w:sz w:val="20"/>
          <w:szCs w:val="20"/>
        </w:rPr>
        <w:t xml:space="preserve"> </w:t>
      </w:r>
      <w:r w:rsidRPr="004E5021">
        <w:rPr>
          <w:rFonts w:ascii="Arial" w:hAnsi="Arial" w:cs="Arial"/>
          <w:color w:val="000000"/>
          <w:sz w:val="20"/>
          <w:szCs w:val="20"/>
        </w:rPr>
        <w:t>except for DAC5</w:t>
      </w:r>
      <w:r w:rsidRPr="004E5021">
        <w:rPr>
          <w:rFonts w:ascii="Arial" w:hAnsi="Arial" w:cs="Arial"/>
          <w:color w:val="000000"/>
          <w:sz w:val="20"/>
          <w:szCs w:val="20"/>
          <w:vertAlign w:val="superscript"/>
        </w:rPr>
        <w:t>-/-</w:t>
      </w:r>
      <w:r w:rsidRPr="004E5021">
        <w:rPr>
          <w:rFonts w:ascii="Arial" w:hAnsi="Arial" w:cs="Arial"/>
          <w:color w:val="000000"/>
          <w:sz w:val="20"/>
          <w:szCs w:val="20"/>
        </w:rPr>
        <w:t xml:space="preserve">, which was observed after 60 min. This assay was carried out in triplicate, and in all replicates, we found a parasite containing two EdU-labeled nuclei simultaneously. </w:t>
      </w:r>
      <w:r w:rsidRPr="004E5021">
        <w:rPr>
          <w:rFonts w:ascii="Arial" w:hAnsi="Arial" w:cs="Arial"/>
          <w:b/>
          <w:bCs/>
          <w:color w:val="000000"/>
          <w:sz w:val="20"/>
          <w:szCs w:val="20"/>
        </w:rPr>
        <w:t>D</w:t>
      </w:r>
      <w:r w:rsidRPr="004E5021">
        <w:rPr>
          <w:rFonts w:ascii="Arial" w:hAnsi="Arial" w:cs="Arial"/>
          <w:color w:val="000000"/>
          <w:sz w:val="20"/>
          <w:szCs w:val="20"/>
        </w:rPr>
        <w:t xml:space="preserve">. EdU-labeled parasites (after 1 h EdU pulse) were used to estimate the percentage of parasites able to uptake this thymidine analog. Error bars in the </w:t>
      </w:r>
      <w:r w:rsidRPr="004E5021">
        <w:rPr>
          <w:rFonts w:ascii="Arial" w:hAnsi="Arial" w:cs="Arial"/>
          <w:color w:val="000000"/>
          <w:sz w:val="20"/>
          <w:szCs w:val="20"/>
        </w:rPr>
        <w:lastRenderedPageBreak/>
        <w:t xml:space="preserve">graphs (A-D) represent the SD. </w:t>
      </w:r>
      <w:bookmarkStart w:id="1" w:name="OLE_LINK1"/>
      <w:r w:rsidRPr="004E5021">
        <w:rPr>
          <w:rFonts w:ascii="Arial" w:hAnsi="Arial" w:cs="Arial"/>
          <w:color w:val="000000"/>
          <w:sz w:val="20"/>
          <w:szCs w:val="20"/>
        </w:rPr>
        <w:t>NS = not significant</w:t>
      </w:r>
      <w:bookmarkEnd w:id="1"/>
      <w:r w:rsidRPr="004E5021">
        <w:rPr>
          <w:rFonts w:ascii="Arial" w:hAnsi="Arial" w:cs="Arial"/>
          <w:color w:val="000000"/>
          <w:sz w:val="20"/>
          <w:szCs w:val="20"/>
        </w:rPr>
        <w:t xml:space="preserve">, i.e., p &gt; 0.05. The scale bars on the representative images (A-D) correspond to 10 µm. K = kinetoplast and N = nucleus. The values in each graph (A-D) represent the average of three independent assays. The number of the cells analyzed (n) is shown for each lineage. </w:t>
      </w:r>
      <w:r w:rsidRPr="004E5021">
        <w:rPr>
          <w:rFonts w:ascii="Arial" w:hAnsi="Arial" w:cs="Arial"/>
          <w:b/>
          <w:bCs/>
          <w:color w:val="000000"/>
          <w:sz w:val="20"/>
          <w:szCs w:val="20"/>
        </w:rPr>
        <w:t>E</w:t>
      </w:r>
      <w:r w:rsidRPr="004E5021">
        <w:rPr>
          <w:rFonts w:ascii="Arial" w:hAnsi="Arial" w:cs="Arial"/>
          <w:color w:val="000000"/>
          <w:sz w:val="20"/>
          <w:szCs w:val="20"/>
        </w:rPr>
        <w:t xml:space="preserve">. The measured parameters (A-D) were inserted in the CeCyD software to estimate the duration of the cell cycle phases </w:t>
      </w:r>
      <w:r w:rsidRPr="004E5021">
        <w:rPr>
          <w:rFonts w:ascii="Arial" w:hAnsi="Arial" w:cs="Arial"/>
          <w:sz w:val="20"/>
          <w:szCs w:val="20"/>
        </w:rPr>
        <w:t>(G1, S, G2, M, and C) for each lineage analyzed. dt = doubling time; ccu = cell cycle unit.</w:t>
      </w:r>
    </w:p>
    <w:p w14:paraId="6EF4269F" w14:textId="77777777" w:rsidR="00583EA3" w:rsidRPr="004E5021" w:rsidRDefault="00583EA3">
      <w:pPr>
        <w:rPr>
          <w:rFonts w:ascii="Arial" w:hAnsi="Arial" w:cs="Arial"/>
          <w:sz w:val="20"/>
          <w:szCs w:val="20"/>
          <w:lang w:val="en-CA"/>
        </w:rPr>
      </w:pPr>
    </w:p>
    <w:p w14:paraId="7F441B9F" w14:textId="77777777" w:rsidR="00467B4C" w:rsidRPr="00DC2FFD" w:rsidRDefault="00467B4C">
      <w:pPr>
        <w:rPr>
          <w:rFonts w:ascii="Arial" w:hAnsi="Arial" w:cs="Arial"/>
          <w:lang w:val="en-CA"/>
        </w:rPr>
      </w:pPr>
    </w:p>
    <w:sectPr w:rsidR="00467B4C" w:rsidRPr="00DC2FFD" w:rsidSect="00C2124E">
      <w:footerReference w:type="even" r:id="rId20"/>
      <w:footerReference w:type="default" r:id="rId21"/>
      <w:pgSz w:w="12240" w:h="15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32E0E3" w14:textId="77777777" w:rsidR="002347FE" w:rsidRDefault="002347FE" w:rsidP="00C2124E">
      <w:pPr>
        <w:spacing w:after="0" w:line="240" w:lineRule="auto"/>
      </w:pPr>
      <w:r>
        <w:separator/>
      </w:r>
    </w:p>
  </w:endnote>
  <w:endnote w:type="continuationSeparator" w:id="0">
    <w:p w14:paraId="0668C16F" w14:textId="77777777" w:rsidR="002347FE" w:rsidRDefault="002347FE" w:rsidP="00C212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16639674"/>
      <w:docPartObj>
        <w:docPartGallery w:val="Page Numbers (Bottom of Page)"/>
        <w:docPartUnique/>
      </w:docPartObj>
    </w:sdtPr>
    <w:sdtContent>
      <w:p w14:paraId="27EE5948" w14:textId="28FD380D" w:rsidR="00C2124E" w:rsidRDefault="00C2124E" w:rsidP="00C1791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6963778D" w14:textId="77777777" w:rsidR="00C2124E" w:rsidRDefault="00C2124E" w:rsidP="00C2124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30350137"/>
      <w:docPartObj>
        <w:docPartGallery w:val="Page Numbers (Bottom of Page)"/>
        <w:docPartUnique/>
      </w:docPartObj>
    </w:sdtPr>
    <w:sdtContent>
      <w:p w14:paraId="1091DDF3" w14:textId="6A1BC94E" w:rsidR="00C2124E" w:rsidRDefault="00C2124E" w:rsidP="00C1791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FB8689A" w14:textId="77777777" w:rsidR="00C2124E" w:rsidRDefault="00C2124E" w:rsidP="00C2124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047028" w14:textId="77777777" w:rsidR="002347FE" w:rsidRDefault="002347FE" w:rsidP="00C2124E">
      <w:pPr>
        <w:spacing w:after="0" w:line="240" w:lineRule="auto"/>
      </w:pPr>
      <w:r>
        <w:separator/>
      </w:r>
    </w:p>
  </w:footnote>
  <w:footnote w:type="continuationSeparator" w:id="0">
    <w:p w14:paraId="54F3C6F0" w14:textId="77777777" w:rsidR="002347FE" w:rsidRDefault="002347FE" w:rsidP="00C2124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7B4C"/>
    <w:rsid w:val="001F1381"/>
    <w:rsid w:val="002241AC"/>
    <w:rsid w:val="002347FE"/>
    <w:rsid w:val="00467B4C"/>
    <w:rsid w:val="004E5021"/>
    <w:rsid w:val="00515B3C"/>
    <w:rsid w:val="00583EA3"/>
    <w:rsid w:val="005A57B2"/>
    <w:rsid w:val="006216DB"/>
    <w:rsid w:val="007614B0"/>
    <w:rsid w:val="00783933"/>
    <w:rsid w:val="008F7F64"/>
    <w:rsid w:val="00A666BF"/>
    <w:rsid w:val="00C2124E"/>
    <w:rsid w:val="00DC2FFD"/>
    <w:rsid w:val="00FE3BC7"/>
  </w:rsids>
  <m:mathPr>
    <m:mathFont m:val="Cambria Math"/>
    <m:brkBin m:val="before"/>
    <m:brkBinSub m:val="--"/>
    <m:smallFrac m:val="0"/>
    <m:dispDef/>
    <m:lMargin m:val="0"/>
    <m:rMargin m:val="0"/>
    <m:defJc m:val="centerGroup"/>
    <m:wrapIndent m:val="1440"/>
    <m:intLim m:val="subSup"/>
    <m:naryLim m:val="undOvr"/>
  </m:mathPr>
  <w:themeFontLang w:val="en-BR"/>
  <w:clrSchemeMapping w:bg1="light1" w:t1="dark1" w:bg2="light2" w:t2="dark2" w:accent1="accent1" w:accent2="accent2" w:accent3="accent3" w:accent4="accent4" w:accent5="accent5" w:accent6="accent6" w:hyperlink="hyperlink" w:followedHyperlink="followedHyperlink"/>
  <w:decimalSymbol w:val=","/>
  <w:listSeparator w:val=","/>
  <w14:docId w14:val="56FAADE9"/>
  <w15:chartTrackingRefBased/>
  <w15:docId w15:val="{A680DDBE-5623-E946-8F9E-2DFBC6FA86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B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67B4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67B4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67B4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67B4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67B4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67B4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67B4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67B4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67B4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7B4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67B4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67B4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67B4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67B4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67B4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67B4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67B4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67B4C"/>
    <w:rPr>
      <w:rFonts w:eastAsiaTheme="majorEastAsia" w:cstheme="majorBidi"/>
      <w:color w:val="272727" w:themeColor="text1" w:themeTint="D8"/>
    </w:rPr>
  </w:style>
  <w:style w:type="paragraph" w:styleId="Title">
    <w:name w:val="Title"/>
    <w:basedOn w:val="Normal"/>
    <w:next w:val="Normal"/>
    <w:link w:val="TitleChar"/>
    <w:uiPriority w:val="10"/>
    <w:qFormat/>
    <w:rsid w:val="00467B4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67B4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67B4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67B4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67B4C"/>
    <w:pPr>
      <w:spacing w:before="160"/>
      <w:jc w:val="center"/>
    </w:pPr>
    <w:rPr>
      <w:i/>
      <w:iCs/>
      <w:color w:val="404040" w:themeColor="text1" w:themeTint="BF"/>
    </w:rPr>
  </w:style>
  <w:style w:type="character" w:customStyle="1" w:styleId="QuoteChar">
    <w:name w:val="Quote Char"/>
    <w:basedOn w:val="DefaultParagraphFont"/>
    <w:link w:val="Quote"/>
    <w:uiPriority w:val="29"/>
    <w:rsid w:val="00467B4C"/>
    <w:rPr>
      <w:i/>
      <w:iCs/>
      <w:color w:val="404040" w:themeColor="text1" w:themeTint="BF"/>
    </w:rPr>
  </w:style>
  <w:style w:type="paragraph" w:styleId="ListParagraph">
    <w:name w:val="List Paragraph"/>
    <w:basedOn w:val="Normal"/>
    <w:uiPriority w:val="34"/>
    <w:qFormat/>
    <w:rsid w:val="00467B4C"/>
    <w:pPr>
      <w:ind w:left="720"/>
      <w:contextualSpacing/>
    </w:pPr>
  </w:style>
  <w:style w:type="character" w:styleId="IntenseEmphasis">
    <w:name w:val="Intense Emphasis"/>
    <w:basedOn w:val="DefaultParagraphFont"/>
    <w:uiPriority w:val="21"/>
    <w:qFormat/>
    <w:rsid w:val="00467B4C"/>
    <w:rPr>
      <w:i/>
      <w:iCs/>
      <w:color w:val="0F4761" w:themeColor="accent1" w:themeShade="BF"/>
    </w:rPr>
  </w:style>
  <w:style w:type="paragraph" w:styleId="IntenseQuote">
    <w:name w:val="Intense Quote"/>
    <w:basedOn w:val="Normal"/>
    <w:next w:val="Normal"/>
    <w:link w:val="IntenseQuoteChar"/>
    <w:uiPriority w:val="30"/>
    <w:qFormat/>
    <w:rsid w:val="00467B4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67B4C"/>
    <w:rPr>
      <w:i/>
      <w:iCs/>
      <w:color w:val="0F4761" w:themeColor="accent1" w:themeShade="BF"/>
    </w:rPr>
  </w:style>
  <w:style w:type="character" w:styleId="IntenseReference">
    <w:name w:val="Intense Reference"/>
    <w:basedOn w:val="DefaultParagraphFont"/>
    <w:uiPriority w:val="32"/>
    <w:qFormat/>
    <w:rsid w:val="00467B4C"/>
    <w:rPr>
      <w:b/>
      <w:bCs/>
      <w:smallCaps/>
      <w:color w:val="0F4761" w:themeColor="accent1" w:themeShade="BF"/>
      <w:spacing w:val="5"/>
    </w:rPr>
  </w:style>
  <w:style w:type="paragraph" w:styleId="CommentText">
    <w:name w:val="annotation text"/>
    <w:basedOn w:val="Normal"/>
    <w:link w:val="CommentTextChar"/>
    <w:uiPriority w:val="99"/>
    <w:unhideWhenUsed/>
    <w:rsid w:val="00583EA3"/>
    <w:pPr>
      <w:spacing w:after="0" w:line="240" w:lineRule="auto"/>
    </w:pPr>
    <w:rPr>
      <w:rFonts w:ascii="Arial" w:eastAsia="MS Mincho" w:hAnsi="Arial" w:cs="Arial"/>
      <w:kern w:val="0"/>
      <w:sz w:val="20"/>
      <w:szCs w:val="20"/>
      <w:lang w:val="en-US"/>
      <w14:ligatures w14:val="none"/>
    </w:rPr>
  </w:style>
  <w:style w:type="character" w:customStyle="1" w:styleId="CommentTextChar">
    <w:name w:val="Comment Text Char"/>
    <w:basedOn w:val="DefaultParagraphFont"/>
    <w:link w:val="CommentText"/>
    <w:uiPriority w:val="99"/>
    <w:rsid w:val="00583EA3"/>
    <w:rPr>
      <w:rFonts w:ascii="Arial" w:eastAsia="MS Mincho" w:hAnsi="Arial" w:cs="Arial"/>
      <w:kern w:val="0"/>
      <w:sz w:val="20"/>
      <w:szCs w:val="20"/>
      <w:lang w:val="en-US"/>
      <w14:ligatures w14:val="none"/>
    </w:rPr>
  </w:style>
  <w:style w:type="character" w:styleId="CommentReference">
    <w:name w:val="annotation reference"/>
    <w:basedOn w:val="DefaultParagraphFont"/>
    <w:uiPriority w:val="99"/>
    <w:semiHidden/>
    <w:unhideWhenUsed/>
    <w:rsid w:val="00583EA3"/>
    <w:rPr>
      <w:sz w:val="16"/>
      <w:szCs w:val="16"/>
    </w:rPr>
  </w:style>
  <w:style w:type="paragraph" w:styleId="Footer">
    <w:name w:val="footer"/>
    <w:basedOn w:val="Normal"/>
    <w:link w:val="FooterChar"/>
    <w:uiPriority w:val="99"/>
    <w:unhideWhenUsed/>
    <w:rsid w:val="00C212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C2124E"/>
  </w:style>
  <w:style w:type="character" w:styleId="PageNumber">
    <w:name w:val="page number"/>
    <w:basedOn w:val="DefaultParagraphFont"/>
    <w:uiPriority w:val="99"/>
    <w:semiHidden/>
    <w:unhideWhenUsed/>
    <w:rsid w:val="00C2124E"/>
  </w:style>
  <w:style w:type="character" w:styleId="LineNumber">
    <w:name w:val="line number"/>
    <w:basedOn w:val="DefaultParagraphFont"/>
    <w:uiPriority w:val="99"/>
    <w:semiHidden/>
    <w:unhideWhenUsed/>
    <w:rsid w:val="00C212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image" Target="media/image8.tif"/><Relationship Id="rId18" Type="http://schemas.openxmlformats.org/officeDocument/2006/relationships/image" Target="media/image13.tif"/><Relationship Id="rId3" Type="http://schemas.openxmlformats.org/officeDocument/2006/relationships/webSettings" Target="webSettings.xml"/><Relationship Id="rId21" Type="http://schemas.openxmlformats.org/officeDocument/2006/relationships/footer" Target="footer2.xml"/><Relationship Id="rId7" Type="http://schemas.openxmlformats.org/officeDocument/2006/relationships/image" Target="media/image2.tif"/><Relationship Id="rId12" Type="http://schemas.openxmlformats.org/officeDocument/2006/relationships/image" Target="media/image7.tiff"/><Relationship Id="rId17" Type="http://schemas.openxmlformats.org/officeDocument/2006/relationships/image" Target="media/image12.tif"/><Relationship Id="rId2" Type="http://schemas.openxmlformats.org/officeDocument/2006/relationships/settings" Target="settings.xml"/><Relationship Id="rId16" Type="http://schemas.openxmlformats.org/officeDocument/2006/relationships/image" Target="media/image11.tif"/><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tif"/><Relationship Id="rId23" Type="http://schemas.openxmlformats.org/officeDocument/2006/relationships/theme" Target="theme/theme1.xml"/><Relationship Id="rId10" Type="http://schemas.openxmlformats.org/officeDocument/2006/relationships/image" Target="media/image5.tif"/><Relationship Id="rId19" Type="http://schemas.openxmlformats.org/officeDocument/2006/relationships/image" Target="media/image14.tif"/><Relationship Id="rId4" Type="http://schemas.openxmlformats.org/officeDocument/2006/relationships/footnotes" Target="footnotes.xml"/><Relationship Id="rId9" Type="http://schemas.openxmlformats.org/officeDocument/2006/relationships/image" Target="media/image4.tif"/><Relationship Id="rId14" Type="http://schemas.openxmlformats.org/officeDocument/2006/relationships/image" Target="media/image9.ti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17</TotalTime>
  <Pages>15</Pages>
  <Words>1626</Words>
  <Characters>9273</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Nilmar Silvio Moretti</dc:creator>
  <cp:keywords/>
  <dc:description/>
  <cp:lastModifiedBy>Nilmar Silvio Moretti</cp:lastModifiedBy>
  <cp:revision>13</cp:revision>
  <dcterms:created xsi:type="dcterms:W3CDTF">2025-08-26T14:38:00Z</dcterms:created>
  <dcterms:modified xsi:type="dcterms:W3CDTF">2025-09-02T19:05:00Z</dcterms:modified>
</cp:coreProperties>
</file>