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51A01" w14:textId="77777777" w:rsidR="00F77CC6" w:rsidRPr="00C8519F" w:rsidRDefault="00F77CC6" w:rsidP="00F77CC6">
      <w:pPr>
        <w:spacing w:line="480" w:lineRule="auto"/>
        <w:rPr>
          <w:rFonts w:ascii="Times New Roman" w:hAnsi="Times New Roman" w:cs="Times New Roman"/>
          <w:b/>
          <w:bCs/>
        </w:rPr>
      </w:pPr>
      <w:r w:rsidRPr="00C8519F">
        <w:rPr>
          <w:rFonts w:ascii="Times New Roman" w:hAnsi="Times New Roman" w:cs="Times New Roman"/>
          <w:b/>
          <w:bCs/>
        </w:rPr>
        <w:t xml:space="preserve">Supplemental </w:t>
      </w:r>
      <w:r>
        <w:rPr>
          <w:rFonts w:ascii="Times New Roman" w:hAnsi="Times New Roman" w:cs="Times New Roman"/>
          <w:b/>
          <w:bCs/>
        </w:rPr>
        <w:t>F</w:t>
      </w:r>
      <w:r w:rsidRPr="00C8519F">
        <w:rPr>
          <w:rFonts w:ascii="Times New Roman" w:hAnsi="Times New Roman" w:cs="Times New Roman"/>
          <w:b/>
          <w:bCs/>
        </w:rPr>
        <w:t xml:space="preserve">igure </w:t>
      </w:r>
      <w:r>
        <w:rPr>
          <w:rFonts w:ascii="Times New Roman" w:hAnsi="Times New Roman" w:cs="Times New Roman"/>
          <w:b/>
          <w:bCs/>
        </w:rPr>
        <w:t>L</w:t>
      </w:r>
      <w:r w:rsidRPr="00C8519F">
        <w:rPr>
          <w:rFonts w:ascii="Times New Roman" w:hAnsi="Times New Roman" w:cs="Times New Roman"/>
          <w:b/>
          <w:bCs/>
        </w:rPr>
        <w:t>egends</w:t>
      </w:r>
    </w:p>
    <w:p w14:paraId="65A38A2D" w14:textId="77777777" w:rsidR="00F77CC6" w:rsidRDefault="00F77CC6" w:rsidP="00F77CC6">
      <w:pPr>
        <w:spacing w:line="480" w:lineRule="auto"/>
        <w:rPr>
          <w:rFonts w:ascii="Times New Roman" w:hAnsi="Times New Roman" w:cs="Times New Roman"/>
          <w:b/>
          <w:bCs/>
        </w:rPr>
      </w:pPr>
      <w:r w:rsidRPr="00C8519F">
        <w:rPr>
          <w:rFonts w:ascii="Times New Roman" w:hAnsi="Times New Roman" w:cs="Times New Roman"/>
          <w:b/>
          <w:bCs/>
        </w:rPr>
        <w:t>Supplemental Figure 1  Distribution of CD3, CD8, CD4, and differentiation subsets among total CD8</w:t>
      </w:r>
      <w:r w:rsidRPr="00C8519F">
        <w:rPr>
          <w:rFonts w:ascii="Times New Roman" w:hAnsi="Times New Roman" w:cs="Times New Roman"/>
          <w:b/>
          <w:bCs/>
          <w:vertAlign w:val="superscript"/>
        </w:rPr>
        <w:t>+</w:t>
      </w:r>
      <w:r w:rsidRPr="00C8519F">
        <w:rPr>
          <w:rFonts w:ascii="Times New Roman" w:hAnsi="Times New Roman" w:cs="Times New Roman"/>
          <w:b/>
          <w:bCs/>
        </w:rPr>
        <w:t xml:space="preserve"> T cells. </w:t>
      </w:r>
    </w:p>
    <w:p w14:paraId="4DF8DD41" w14:textId="77777777" w:rsidR="00F77CC6" w:rsidRPr="00C8519F" w:rsidRDefault="00F77CC6" w:rsidP="00F77CC6">
      <w:pPr>
        <w:spacing w:line="480" w:lineRule="auto"/>
        <w:rPr>
          <w:rFonts w:ascii="Times New Roman" w:hAnsi="Times New Roman" w:cs="Times New Roman"/>
          <w:b/>
          <w:bCs/>
        </w:rPr>
      </w:pPr>
      <w:r w:rsidRPr="004132A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F44560E" wp14:editId="5BA641C8">
            <wp:extent cx="5395962" cy="1354666"/>
            <wp:effectExtent l="0" t="0" r="1905" b="4445"/>
            <wp:docPr id="115605536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055368" name=""/>
                    <pic:cNvPicPr/>
                  </pic:nvPicPr>
                  <pic:blipFill rotWithShape="1">
                    <a:blip r:embed="rId4"/>
                    <a:srcRect t="8834" b="73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13547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4CD895" w14:textId="77777777" w:rsidR="00F77CC6" w:rsidRDefault="00F77CC6" w:rsidP="00F77CC6">
      <w:pPr>
        <w:spacing w:line="480" w:lineRule="auto"/>
        <w:rPr>
          <w:rFonts w:ascii="Times New Roman" w:hAnsi="Times New Roman" w:cs="Times New Roman"/>
        </w:rPr>
      </w:pPr>
      <w:r w:rsidRPr="00C8519F">
        <w:rPr>
          <w:rFonts w:ascii="Times New Roman" w:hAnsi="Times New Roman" w:cs="Times New Roman"/>
        </w:rPr>
        <w:t>Comparative analysis of CD3, CD8, CD4, and differentiation marker (CCR7 and CD45RA) expression in CD8</w:t>
      </w:r>
      <w:r w:rsidRPr="00C8519F">
        <w:rPr>
          <w:rFonts w:ascii="Times New Roman" w:hAnsi="Times New Roman" w:cs="Times New Roman"/>
          <w:vertAlign w:val="superscript"/>
        </w:rPr>
        <w:t xml:space="preserve">+ </w:t>
      </w:r>
      <w:r w:rsidRPr="00C8519F">
        <w:rPr>
          <w:rFonts w:ascii="Times New Roman" w:hAnsi="Times New Roman" w:cs="Times New Roman"/>
        </w:rPr>
        <w:t>T cells</w:t>
      </w:r>
      <w:r w:rsidRPr="00C8519F" w:rsidDel="002F4242">
        <w:rPr>
          <w:rFonts w:ascii="Times New Roman" w:hAnsi="Times New Roman" w:cs="Times New Roman"/>
        </w:rPr>
        <w:t xml:space="preserve"> </w:t>
      </w:r>
      <w:r w:rsidRPr="00C8519F">
        <w:rPr>
          <w:rFonts w:ascii="Times New Roman" w:hAnsi="Times New Roman" w:cs="Times New Roman"/>
        </w:rPr>
        <w:t>under control and L-arginine-enriched conditions (n = 7). Based on CCR7 and CD45RA expression, CD8</w:t>
      </w:r>
      <w:r w:rsidRPr="00C8519F">
        <w:rPr>
          <w:rFonts w:ascii="Times New Roman" w:hAnsi="Times New Roman" w:cs="Times New Roman"/>
          <w:vertAlign w:val="superscript"/>
        </w:rPr>
        <w:t xml:space="preserve">+ </w:t>
      </w:r>
      <w:r w:rsidRPr="00C8519F">
        <w:rPr>
          <w:rFonts w:ascii="Times New Roman" w:hAnsi="Times New Roman" w:cs="Times New Roman"/>
        </w:rPr>
        <w:t>T cells were classified into four subsets: T</w:t>
      </w:r>
      <w:r w:rsidRPr="00C8519F">
        <w:rPr>
          <w:rFonts w:ascii="Times New Roman" w:hAnsi="Times New Roman" w:cs="Times New Roman"/>
          <w:vertAlign w:val="subscript"/>
        </w:rPr>
        <w:t>naïve</w:t>
      </w:r>
      <w:r w:rsidRPr="00C8519F">
        <w:rPr>
          <w:rFonts w:ascii="Times New Roman" w:hAnsi="Times New Roman" w:cs="Times New Roman"/>
        </w:rPr>
        <w:t xml:space="preserve"> (CCR7</w:t>
      </w:r>
      <w:r w:rsidRPr="00C8519F">
        <w:rPr>
          <w:rFonts w:ascii="Times New Roman" w:hAnsi="Times New Roman" w:cs="Times New Roman"/>
          <w:vertAlign w:val="superscript"/>
        </w:rPr>
        <w:t>+</w:t>
      </w:r>
      <w:r w:rsidRPr="00C8519F">
        <w:rPr>
          <w:rFonts w:ascii="Times New Roman" w:hAnsi="Times New Roman" w:cs="Times New Roman"/>
        </w:rPr>
        <w:t>CD45RA</w:t>
      </w:r>
      <w:r w:rsidRPr="00C8519F">
        <w:rPr>
          <w:rFonts w:ascii="Times New Roman" w:hAnsi="Times New Roman" w:cs="Times New Roman"/>
          <w:vertAlign w:val="superscript"/>
        </w:rPr>
        <w:t>+</w:t>
      </w:r>
      <w:r w:rsidRPr="00C8519F">
        <w:rPr>
          <w:rFonts w:ascii="Times New Roman" w:hAnsi="Times New Roman" w:cs="Times New Roman"/>
        </w:rPr>
        <w:t>), T</w:t>
      </w:r>
      <w:r w:rsidRPr="00C8519F">
        <w:rPr>
          <w:rFonts w:ascii="Times New Roman" w:hAnsi="Times New Roman" w:cs="Times New Roman"/>
          <w:vertAlign w:val="subscript"/>
        </w:rPr>
        <w:t xml:space="preserve">CM </w:t>
      </w:r>
      <w:r w:rsidRPr="00C8519F">
        <w:rPr>
          <w:rFonts w:ascii="Times New Roman" w:hAnsi="Times New Roman" w:cs="Times New Roman"/>
        </w:rPr>
        <w:t>( central memory, CCR7</w:t>
      </w:r>
      <w:r w:rsidRPr="00C8519F">
        <w:rPr>
          <w:rFonts w:ascii="Times New Roman" w:hAnsi="Times New Roman" w:cs="Times New Roman"/>
          <w:vertAlign w:val="superscript"/>
        </w:rPr>
        <w:t>+</w:t>
      </w:r>
      <w:r w:rsidRPr="00C8519F">
        <w:rPr>
          <w:rFonts w:ascii="Times New Roman" w:hAnsi="Times New Roman" w:cs="Times New Roman"/>
        </w:rPr>
        <w:t>CD45RA</w:t>
      </w:r>
      <w:r w:rsidRPr="00C8519F">
        <w:rPr>
          <w:rFonts w:ascii="Times New Roman" w:hAnsi="Times New Roman" w:cs="Times New Roman"/>
          <w:vertAlign w:val="superscript"/>
        </w:rPr>
        <w:t>-</w:t>
      </w:r>
      <w:r w:rsidRPr="00C8519F">
        <w:rPr>
          <w:rFonts w:ascii="Times New Roman" w:hAnsi="Times New Roman" w:cs="Times New Roman"/>
        </w:rPr>
        <w:t>), T</w:t>
      </w:r>
      <w:r w:rsidRPr="00C8519F">
        <w:rPr>
          <w:rFonts w:ascii="Times New Roman" w:hAnsi="Times New Roman" w:cs="Times New Roman"/>
          <w:vertAlign w:val="subscript"/>
        </w:rPr>
        <w:t xml:space="preserve">EM </w:t>
      </w:r>
      <w:r w:rsidRPr="00C8519F">
        <w:rPr>
          <w:rFonts w:ascii="Times New Roman" w:hAnsi="Times New Roman" w:cs="Times New Roman"/>
        </w:rPr>
        <w:t>(effector memory, CCR7</w:t>
      </w:r>
      <w:r w:rsidRPr="00C8519F">
        <w:rPr>
          <w:rFonts w:ascii="Times New Roman" w:hAnsi="Times New Roman" w:cs="Times New Roman"/>
          <w:vertAlign w:val="superscript"/>
        </w:rPr>
        <w:t>-</w:t>
      </w:r>
      <w:r w:rsidRPr="00C8519F">
        <w:rPr>
          <w:rFonts w:ascii="Times New Roman" w:hAnsi="Times New Roman" w:cs="Times New Roman"/>
        </w:rPr>
        <w:t>CD45RA</w:t>
      </w:r>
      <w:r w:rsidRPr="00C8519F">
        <w:rPr>
          <w:rFonts w:ascii="Times New Roman" w:hAnsi="Times New Roman" w:cs="Times New Roman"/>
          <w:vertAlign w:val="superscript"/>
        </w:rPr>
        <w:t>-</w:t>
      </w:r>
      <w:r w:rsidRPr="00C8519F">
        <w:rPr>
          <w:rFonts w:ascii="Times New Roman" w:hAnsi="Times New Roman" w:cs="Times New Roman"/>
        </w:rPr>
        <w:t>), and T</w:t>
      </w:r>
      <w:r w:rsidRPr="00C8519F">
        <w:rPr>
          <w:rFonts w:ascii="Times New Roman" w:hAnsi="Times New Roman" w:cs="Times New Roman"/>
          <w:vertAlign w:val="subscript"/>
        </w:rPr>
        <w:t>EMRA</w:t>
      </w:r>
      <w:r w:rsidRPr="00C8519F">
        <w:rPr>
          <w:rFonts w:ascii="Times New Roman" w:hAnsi="Times New Roman" w:cs="Times New Roman"/>
        </w:rPr>
        <w:t xml:space="preserve"> (terminally differentiated effector memory re-expressing CD45RA, CCR7</w:t>
      </w:r>
      <w:r w:rsidRPr="00C8519F">
        <w:rPr>
          <w:rFonts w:ascii="Times New Roman" w:hAnsi="Times New Roman" w:cs="Times New Roman"/>
          <w:vertAlign w:val="superscript"/>
        </w:rPr>
        <w:t>-</w:t>
      </w:r>
      <w:r w:rsidRPr="00C8519F">
        <w:rPr>
          <w:rFonts w:ascii="Times New Roman" w:hAnsi="Times New Roman" w:cs="Times New Roman"/>
        </w:rPr>
        <w:t>CD45RA</w:t>
      </w:r>
      <w:r w:rsidRPr="00C8519F">
        <w:rPr>
          <w:rFonts w:ascii="Times New Roman" w:hAnsi="Times New Roman" w:cs="Times New Roman"/>
          <w:vertAlign w:val="superscript"/>
        </w:rPr>
        <w:t>+</w:t>
      </w:r>
      <w:r w:rsidRPr="00C8519F">
        <w:rPr>
          <w:rFonts w:ascii="Times New Roman" w:hAnsi="Times New Roman" w:cs="Times New Roman"/>
        </w:rPr>
        <w:t xml:space="preserve">). </w:t>
      </w:r>
    </w:p>
    <w:p w14:paraId="221DC165" w14:textId="77777777" w:rsidR="00F77CC6" w:rsidRDefault="00F77CC6" w:rsidP="00F77CC6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A90FD6E" w14:textId="77777777" w:rsidR="00F77CC6" w:rsidRPr="00C8519F" w:rsidRDefault="00F77CC6" w:rsidP="00F77CC6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7575893" w14:textId="77777777" w:rsidR="00F77CC6" w:rsidRDefault="00F77CC6" w:rsidP="00F77CC6">
      <w:pPr>
        <w:spacing w:line="480" w:lineRule="auto"/>
        <w:rPr>
          <w:rFonts w:ascii="Times New Roman" w:hAnsi="Times New Roman" w:cs="Times New Roman"/>
          <w:b/>
          <w:bCs/>
        </w:rPr>
      </w:pPr>
      <w:r w:rsidRPr="00C8519F">
        <w:rPr>
          <w:rFonts w:ascii="Times New Roman" w:hAnsi="Times New Roman" w:cs="Times New Roman"/>
          <w:b/>
          <w:bCs/>
        </w:rPr>
        <w:t>Supplemental Figure 2  Gating strategy for surface marker, exhaustion marker, and phosphorylation analyses in total CD8</w:t>
      </w:r>
      <w:r w:rsidRPr="00C8519F">
        <w:rPr>
          <w:rFonts w:ascii="Times New Roman" w:hAnsi="Times New Roman" w:cs="Times New Roman"/>
          <w:b/>
          <w:bCs/>
          <w:vertAlign w:val="superscript"/>
        </w:rPr>
        <w:t xml:space="preserve">+ </w:t>
      </w:r>
      <w:r w:rsidRPr="00C8519F">
        <w:rPr>
          <w:rFonts w:ascii="Times New Roman" w:hAnsi="Times New Roman" w:cs="Times New Roman"/>
          <w:b/>
          <w:bCs/>
        </w:rPr>
        <w:t xml:space="preserve">T cells. </w:t>
      </w:r>
    </w:p>
    <w:p w14:paraId="4CEDE3A8" w14:textId="77777777" w:rsidR="00F77CC6" w:rsidRPr="00C8519F" w:rsidRDefault="00F77CC6" w:rsidP="00F77CC6">
      <w:pPr>
        <w:spacing w:line="480" w:lineRule="auto"/>
        <w:rPr>
          <w:rFonts w:ascii="Times New Roman" w:hAnsi="Times New Roman" w:cs="Times New Roman"/>
          <w:b/>
          <w:bCs/>
        </w:rPr>
      </w:pPr>
      <w:r w:rsidRPr="004132A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43688AD" wp14:editId="0B26015C">
            <wp:extent cx="5395286" cy="790222"/>
            <wp:effectExtent l="0" t="0" r="2540" b="0"/>
            <wp:docPr id="76426948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269480" name=""/>
                    <pic:cNvPicPr/>
                  </pic:nvPicPr>
                  <pic:blipFill rotWithShape="1">
                    <a:blip r:embed="rId5"/>
                    <a:srcRect t="10863" b="789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790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437F38" w14:textId="77777777" w:rsidR="00F77CC6" w:rsidRPr="00C8519F" w:rsidRDefault="00F77CC6" w:rsidP="00F77CC6">
      <w:pPr>
        <w:spacing w:line="480" w:lineRule="auto"/>
        <w:ind w:firstLineChars="50" w:firstLine="120"/>
        <w:rPr>
          <w:rFonts w:ascii="Times New Roman" w:hAnsi="Times New Roman" w:cs="Times New Roman"/>
          <w:b/>
          <w:bCs/>
        </w:rPr>
      </w:pPr>
      <w:r w:rsidRPr="00C8519F">
        <w:rPr>
          <w:rFonts w:ascii="Times New Roman" w:hAnsi="Times New Roman" w:cs="Times New Roman"/>
        </w:rPr>
        <w:t xml:space="preserve">Given that apoptotic cells downregulate surface antigen expression and decrease phosphorylation levels, analyses of surface markers, exhaustion markers, and phosphorylation </w:t>
      </w:r>
      <w:r w:rsidRPr="00C8519F">
        <w:rPr>
          <w:rFonts w:ascii="Times New Roman" w:hAnsi="Times New Roman" w:cs="Times New Roman"/>
        </w:rPr>
        <w:lastRenderedPageBreak/>
        <w:t>were conducted on cCasp-3</w:t>
      </w:r>
      <w:r w:rsidRPr="00C8519F">
        <w:rPr>
          <w:rFonts w:ascii="Times New Roman" w:hAnsi="Times New Roman" w:cs="Times New Roman"/>
          <w:vertAlign w:val="superscript"/>
        </w:rPr>
        <w:t>-</w:t>
      </w:r>
      <w:r w:rsidRPr="00C8519F">
        <w:rPr>
          <w:rFonts w:ascii="Times New Roman" w:hAnsi="Times New Roman" w:cs="Times New Roman"/>
        </w:rPr>
        <w:t xml:space="preserve"> CD8</w:t>
      </w:r>
      <w:r w:rsidRPr="00C8519F">
        <w:rPr>
          <w:rFonts w:ascii="Times New Roman" w:hAnsi="Times New Roman" w:cs="Times New Roman"/>
          <w:vertAlign w:val="superscript"/>
        </w:rPr>
        <w:t>+</w:t>
      </w:r>
      <w:r w:rsidRPr="00C8519F">
        <w:rPr>
          <w:rFonts w:ascii="Times New Roman" w:hAnsi="Times New Roman" w:cs="Times New Roman"/>
        </w:rPr>
        <w:t xml:space="preserve"> T cells to evaluate expression in the non-apoptotic population (refer to Fig. 2c-e and Fig. 3b). </w:t>
      </w:r>
    </w:p>
    <w:p w14:paraId="0174635C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CC6"/>
    <w:rsid w:val="002978F5"/>
    <w:rsid w:val="003852CF"/>
    <w:rsid w:val="004E780C"/>
    <w:rsid w:val="005F2D6F"/>
    <w:rsid w:val="00F50F1E"/>
    <w:rsid w:val="00F7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8E3E0"/>
  <w15:chartTrackingRefBased/>
  <w15:docId w15:val="{C41D2815-A143-4B06-81BF-E5A900317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CC6"/>
    <w:pPr>
      <w:spacing w:after="0" w:line="240" w:lineRule="auto"/>
    </w:pPr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7CC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7CC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7CC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7CC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7CC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7CC6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7CC6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7CC6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7CC6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7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7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7C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7C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7C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7C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7C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7C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7C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77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7CC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77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7CC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77C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7CC6"/>
    <w:pPr>
      <w:spacing w:after="160" w:line="278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77C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7C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7C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7C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2025-10-03T17:13:00Z</dcterms:created>
  <dcterms:modified xsi:type="dcterms:W3CDTF">2025-10-03T17:13:00Z</dcterms:modified>
</cp:coreProperties>
</file>