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63CE2D8" w14:textId="77777777" w:rsidR="003E09CC" w:rsidRPr="00AA428D" w:rsidRDefault="003E09CC" w:rsidP="003E09CC">
      <w:pPr>
        <w:pStyle w:val="NormalWeb"/>
        <w:jc w:val="both"/>
        <w:rPr>
          <w:color w:val="000000"/>
          <w:sz w:val="22"/>
          <w:szCs w:val="22"/>
        </w:rPr>
      </w:pPr>
      <w:r w:rsidRPr="003E09CC">
        <w:rPr>
          <w:b/>
          <w:bCs/>
          <w:color w:val="FF0000"/>
          <w:sz w:val="22"/>
          <w:szCs w:val="22"/>
        </w:rPr>
        <w:t>Table1</w:t>
      </w:r>
      <w:r w:rsidRPr="00624C53">
        <w:rPr>
          <w:color w:val="000000"/>
          <w:sz w:val="22"/>
          <w:szCs w:val="22"/>
        </w:rPr>
        <w:t xml:space="preserve">. </w:t>
      </w:r>
      <w:r w:rsidRPr="00AA428D">
        <w:rPr>
          <w:color w:val="000000"/>
          <w:sz w:val="22"/>
          <w:szCs w:val="22"/>
        </w:rPr>
        <w:t xml:space="preserve">Biological traits, vector status, host associations and geographic distribution of 12 </w:t>
      </w:r>
      <w:proofErr w:type="spellStart"/>
      <w:r w:rsidRPr="00AA428D">
        <w:rPr>
          <w:i/>
          <w:iCs/>
          <w:color w:val="000000"/>
          <w:sz w:val="22"/>
          <w:szCs w:val="22"/>
        </w:rPr>
        <w:t>Cacopsylla</w:t>
      </w:r>
      <w:proofErr w:type="spellEnd"/>
      <w:r w:rsidRPr="00AA428D">
        <w:rPr>
          <w:color w:val="000000"/>
          <w:sz w:val="22"/>
          <w:szCs w:val="22"/>
        </w:rPr>
        <w:t xml:space="preserve"> species included in the phylogenetic and transposable elements analyses. Voltinism,</w:t>
      </w:r>
      <w:r>
        <w:rPr>
          <w:color w:val="000000"/>
          <w:sz w:val="22"/>
          <w:szCs w:val="22"/>
        </w:rPr>
        <w:t xml:space="preserve"> the</w:t>
      </w:r>
      <w:r w:rsidRPr="00AA428D">
        <w:rPr>
          <w:color w:val="000000"/>
          <w:sz w:val="22"/>
          <w:szCs w:val="22"/>
        </w:rPr>
        <w:t xml:space="preserve"> number of generations per year; </w:t>
      </w:r>
      <w:r>
        <w:rPr>
          <w:color w:val="000000"/>
          <w:sz w:val="22"/>
          <w:szCs w:val="22"/>
        </w:rPr>
        <w:t>O</w:t>
      </w:r>
      <w:r w:rsidRPr="00AA428D">
        <w:rPr>
          <w:color w:val="000000"/>
          <w:sz w:val="22"/>
          <w:szCs w:val="22"/>
        </w:rPr>
        <w:t xml:space="preserve">verwintering strategy, the </w:t>
      </w:r>
      <w:r>
        <w:rPr>
          <w:color w:val="000000"/>
          <w:sz w:val="22"/>
          <w:szCs w:val="22"/>
        </w:rPr>
        <w:t xml:space="preserve">developmental </w:t>
      </w:r>
      <w:r w:rsidRPr="00AA428D">
        <w:rPr>
          <w:color w:val="000000"/>
          <w:sz w:val="22"/>
          <w:szCs w:val="22"/>
        </w:rPr>
        <w:t>stage</w:t>
      </w:r>
      <w:r>
        <w:rPr>
          <w:color w:val="000000"/>
          <w:sz w:val="22"/>
          <w:szCs w:val="22"/>
        </w:rPr>
        <w:t xml:space="preserve"> and plant</w:t>
      </w:r>
      <w:r w:rsidRPr="00AA428D">
        <w:rPr>
          <w:color w:val="000000"/>
          <w:sz w:val="22"/>
          <w:szCs w:val="22"/>
        </w:rPr>
        <w:t xml:space="preserve"> </w:t>
      </w:r>
      <w:r>
        <w:rPr>
          <w:color w:val="000000"/>
          <w:sz w:val="22"/>
          <w:szCs w:val="22"/>
        </w:rPr>
        <w:t>on</w:t>
      </w:r>
      <w:r w:rsidRPr="00AA428D">
        <w:rPr>
          <w:color w:val="000000"/>
          <w:sz w:val="22"/>
          <w:szCs w:val="22"/>
        </w:rPr>
        <w:t xml:space="preserve"> which </w:t>
      </w:r>
      <w:r>
        <w:rPr>
          <w:color w:val="000000"/>
          <w:sz w:val="22"/>
          <w:szCs w:val="22"/>
        </w:rPr>
        <w:t>psyllid overwinters</w:t>
      </w:r>
      <w:r w:rsidRPr="00AA428D">
        <w:rPr>
          <w:color w:val="000000"/>
          <w:sz w:val="22"/>
          <w:szCs w:val="22"/>
        </w:rPr>
        <w:t xml:space="preserve">; </w:t>
      </w:r>
      <w:r>
        <w:rPr>
          <w:color w:val="000000"/>
          <w:sz w:val="22"/>
          <w:szCs w:val="22"/>
        </w:rPr>
        <w:t>D</w:t>
      </w:r>
      <w:r w:rsidRPr="00AA428D">
        <w:rPr>
          <w:color w:val="000000"/>
          <w:sz w:val="22"/>
          <w:szCs w:val="22"/>
        </w:rPr>
        <w:t xml:space="preserve">imorphism, </w:t>
      </w:r>
      <w:r>
        <w:rPr>
          <w:color w:val="000000"/>
          <w:sz w:val="22"/>
          <w:szCs w:val="22"/>
        </w:rPr>
        <w:t xml:space="preserve">the </w:t>
      </w:r>
      <w:r w:rsidRPr="00AA428D">
        <w:rPr>
          <w:color w:val="000000"/>
          <w:sz w:val="22"/>
          <w:szCs w:val="22"/>
        </w:rPr>
        <w:t xml:space="preserve">presence of </w:t>
      </w:r>
      <w:r>
        <w:rPr>
          <w:color w:val="000000"/>
          <w:sz w:val="22"/>
          <w:szCs w:val="22"/>
        </w:rPr>
        <w:t>seasonally</w:t>
      </w:r>
      <w:r w:rsidRPr="00AA428D">
        <w:rPr>
          <w:color w:val="000000"/>
          <w:sz w:val="22"/>
          <w:szCs w:val="22"/>
        </w:rPr>
        <w:t xml:space="preserve"> distinct</w:t>
      </w:r>
      <w:r>
        <w:rPr>
          <w:color w:val="000000"/>
          <w:sz w:val="22"/>
          <w:szCs w:val="22"/>
        </w:rPr>
        <w:t xml:space="preserve"> morphological</w:t>
      </w:r>
      <w:r w:rsidRPr="00AA428D">
        <w:rPr>
          <w:color w:val="000000"/>
          <w:sz w:val="22"/>
          <w:szCs w:val="22"/>
        </w:rPr>
        <w:t xml:space="preserve"> forms; </w:t>
      </w:r>
      <w:r>
        <w:rPr>
          <w:color w:val="000000"/>
          <w:sz w:val="22"/>
          <w:szCs w:val="22"/>
        </w:rPr>
        <w:t>V</w:t>
      </w:r>
      <w:r w:rsidRPr="00AA428D">
        <w:rPr>
          <w:color w:val="000000"/>
          <w:sz w:val="22"/>
          <w:szCs w:val="22"/>
        </w:rPr>
        <w:t>ector status</w:t>
      </w:r>
      <w:r>
        <w:rPr>
          <w:color w:val="000000"/>
          <w:sz w:val="22"/>
          <w:szCs w:val="22"/>
        </w:rPr>
        <w:t xml:space="preserve"> denotes whether </w:t>
      </w:r>
      <w:r w:rsidRPr="00AA428D">
        <w:rPr>
          <w:color w:val="000000"/>
          <w:sz w:val="22"/>
          <w:szCs w:val="22"/>
        </w:rPr>
        <w:t xml:space="preserve">the </w:t>
      </w:r>
      <w:r>
        <w:rPr>
          <w:color w:val="000000"/>
          <w:sz w:val="22"/>
          <w:szCs w:val="22"/>
        </w:rPr>
        <w:t>species</w:t>
      </w:r>
      <w:r w:rsidRPr="00AA428D">
        <w:rPr>
          <w:color w:val="000000"/>
          <w:sz w:val="22"/>
          <w:szCs w:val="22"/>
        </w:rPr>
        <w:t xml:space="preserve"> is a </w:t>
      </w:r>
      <w:r>
        <w:rPr>
          <w:color w:val="000000"/>
          <w:sz w:val="22"/>
          <w:szCs w:val="22"/>
        </w:rPr>
        <w:t>confirmed</w:t>
      </w:r>
      <w:r w:rsidRPr="00AA428D">
        <w:rPr>
          <w:color w:val="000000"/>
          <w:sz w:val="22"/>
          <w:szCs w:val="22"/>
        </w:rPr>
        <w:t xml:space="preserve"> vector of plant pathogens (</w:t>
      </w:r>
      <w:proofErr w:type="spellStart"/>
      <w:r>
        <w:rPr>
          <w:color w:val="000000"/>
          <w:sz w:val="22"/>
          <w:szCs w:val="22"/>
        </w:rPr>
        <w:t>Liberibacter</w:t>
      </w:r>
      <w:proofErr w:type="spellEnd"/>
      <w:r>
        <w:rPr>
          <w:color w:val="000000"/>
          <w:sz w:val="22"/>
          <w:szCs w:val="22"/>
        </w:rPr>
        <w:t>, Phytoplasma</w:t>
      </w:r>
      <w:r w:rsidRPr="00AA428D">
        <w:rPr>
          <w:color w:val="000000"/>
          <w:sz w:val="22"/>
          <w:szCs w:val="22"/>
        </w:rPr>
        <w:t xml:space="preserve">); </w:t>
      </w:r>
      <w:r>
        <w:rPr>
          <w:color w:val="000000"/>
          <w:sz w:val="22"/>
          <w:szCs w:val="22"/>
        </w:rPr>
        <w:t>H</w:t>
      </w:r>
      <w:r w:rsidRPr="00AA428D">
        <w:rPr>
          <w:color w:val="000000"/>
          <w:sz w:val="22"/>
          <w:szCs w:val="22"/>
        </w:rPr>
        <w:t>ost plant species</w:t>
      </w:r>
      <w:r>
        <w:rPr>
          <w:color w:val="000000"/>
          <w:sz w:val="22"/>
          <w:szCs w:val="22"/>
        </w:rPr>
        <w:t>/family</w:t>
      </w:r>
      <w:r w:rsidRPr="00AA428D">
        <w:rPr>
          <w:color w:val="000000"/>
          <w:sz w:val="22"/>
          <w:szCs w:val="22"/>
        </w:rPr>
        <w:t xml:space="preserve">, </w:t>
      </w:r>
      <w:r>
        <w:rPr>
          <w:color w:val="000000"/>
          <w:sz w:val="22"/>
          <w:szCs w:val="22"/>
        </w:rPr>
        <w:t xml:space="preserve">the plant taxa </w:t>
      </w:r>
      <w:r w:rsidRPr="00AA428D">
        <w:rPr>
          <w:color w:val="000000"/>
          <w:sz w:val="22"/>
          <w:szCs w:val="22"/>
        </w:rPr>
        <w:t xml:space="preserve">on which </w:t>
      </w:r>
      <w:r>
        <w:rPr>
          <w:color w:val="000000"/>
          <w:sz w:val="22"/>
          <w:szCs w:val="22"/>
        </w:rPr>
        <w:t xml:space="preserve">psyllid completes its life cycle </w:t>
      </w:r>
      <w:r w:rsidRPr="00802EEC">
        <w:rPr>
          <w:strike/>
          <w:color w:val="000000"/>
          <w:sz w:val="22"/>
          <w:szCs w:val="22"/>
        </w:rPr>
        <w:t>(main host in bold)</w:t>
      </w:r>
      <w:r w:rsidRPr="00AA428D">
        <w:rPr>
          <w:color w:val="000000"/>
          <w:sz w:val="22"/>
          <w:szCs w:val="22"/>
        </w:rPr>
        <w:t xml:space="preserve">; Distribution, </w:t>
      </w:r>
      <w:r>
        <w:rPr>
          <w:color w:val="000000"/>
          <w:sz w:val="22"/>
          <w:szCs w:val="22"/>
        </w:rPr>
        <w:t xml:space="preserve">the </w:t>
      </w:r>
      <w:r w:rsidRPr="00AA428D">
        <w:rPr>
          <w:color w:val="000000"/>
          <w:sz w:val="22"/>
          <w:szCs w:val="22"/>
        </w:rPr>
        <w:t xml:space="preserve">known geographic range of </w:t>
      </w:r>
      <w:r>
        <w:rPr>
          <w:color w:val="000000"/>
          <w:sz w:val="22"/>
          <w:szCs w:val="22"/>
        </w:rPr>
        <w:t>each</w:t>
      </w:r>
      <w:r w:rsidRPr="00AA428D">
        <w:rPr>
          <w:color w:val="000000"/>
          <w:sz w:val="22"/>
          <w:szCs w:val="22"/>
        </w:rPr>
        <w:t xml:space="preserve"> species. </w:t>
      </w:r>
    </w:p>
    <w:p w14:paraId="583D71F3" w14:textId="40FD74EF" w:rsidR="00804690" w:rsidRPr="00624C53" w:rsidRDefault="00A67AE8" w:rsidP="00804690">
      <w:pPr>
        <w:spacing w:after="0" w:line="240" w:lineRule="auto"/>
        <w:rPr>
          <w:rFonts w:ascii="Times New Roman" w:eastAsia="Times New Roman" w:hAnsi="Times New Roman" w:cs="Times New Roman"/>
          <w:color w:val="000000"/>
          <w:kern w:val="0"/>
          <w:sz w:val="22"/>
          <w:szCs w:val="22"/>
          <w14:ligatures w14:val="none"/>
        </w:rPr>
      </w:pPr>
      <w:r w:rsidRPr="00A67AE8">
        <w:rPr>
          <w:noProof/>
        </w:rPr>
        <w:drawing>
          <wp:inline distT="0" distB="0" distL="0" distR="0" wp14:anchorId="41CFDA4F" wp14:editId="7E6A970B">
            <wp:extent cx="8229600" cy="1641475"/>
            <wp:effectExtent l="0" t="0" r="0" b="0"/>
            <wp:docPr id="1014236117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229600" cy="1641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CE4A5AF" w14:textId="751E27B6" w:rsidR="00804690" w:rsidRDefault="00804690">
      <w:pPr>
        <w:rPr>
          <w:noProof/>
        </w:rPr>
      </w:pPr>
    </w:p>
    <w:p w14:paraId="6FE26920" w14:textId="64BDA547" w:rsidR="009F483A" w:rsidRDefault="009F483A"/>
    <w:p w14:paraId="0397E02F" w14:textId="77777777" w:rsidR="00804690" w:rsidRDefault="00804690"/>
    <w:sectPr w:rsidR="00804690" w:rsidSect="001918C5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918C5"/>
    <w:rsid w:val="0004180C"/>
    <w:rsid w:val="00084AB6"/>
    <w:rsid w:val="0018552C"/>
    <w:rsid w:val="001918C5"/>
    <w:rsid w:val="002112B9"/>
    <w:rsid w:val="00241BB4"/>
    <w:rsid w:val="002C71AF"/>
    <w:rsid w:val="003622FC"/>
    <w:rsid w:val="00373CC5"/>
    <w:rsid w:val="003862F7"/>
    <w:rsid w:val="003C5344"/>
    <w:rsid w:val="003E09CC"/>
    <w:rsid w:val="00435E04"/>
    <w:rsid w:val="00535631"/>
    <w:rsid w:val="00590BEE"/>
    <w:rsid w:val="00604A64"/>
    <w:rsid w:val="0061751E"/>
    <w:rsid w:val="00622678"/>
    <w:rsid w:val="00624C53"/>
    <w:rsid w:val="00637058"/>
    <w:rsid w:val="006966FB"/>
    <w:rsid w:val="006B71A8"/>
    <w:rsid w:val="006F06A2"/>
    <w:rsid w:val="0071076B"/>
    <w:rsid w:val="007358A6"/>
    <w:rsid w:val="00746AC8"/>
    <w:rsid w:val="00766D60"/>
    <w:rsid w:val="007A2791"/>
    <w:rsid w:val="00804690"/>
    <w:rsid w:val="008E0876"/>
    <w:rsid w:val="0097066D"/>
    <w:rsid w:val="009907F7"/>
    <w:rsid w:val="009A0E18"/>
    <w:rsid w:val="009C20BB"/>
    <w:rsid w:val="009D38F4"/>
    <w:rsid w:val="009E0266"/>
    <w:rsid w:val="009F483A"/>
    <w:rsid w:val="00A208E7"/>
    <w:rsid w:val="00A314B8"/>
    <w:rsid w:val="00A52A3F"/>
    <w:rsid w:val="00A61A15"/>
    <w:rsid w:val="00A67AE8"/>
    <w:rsid w:val="00A77158"/>
    <w:rsid w:val="00A771EA"/>
    <w:rsid w:val="00AA428D"/>
    <w:rsid w:val="00B42E41"/>
    <w:rsid w:val="00B5119B"/>
    <w:rsid w:val="00B80F5C"/>
    <w:rsid w:val="00BB058F"/>
    <w:rsid w:val="00BB0F82"/>
    <w:rsid w:val="00C64C99"/>
    <w:rsid w:val="00CC699B"/>
    <w:rsid w:val="00CD45CE"/>
    <w:rsid w:val="00D36BBE"/>
    <w:rsid w:val="00DF3C9C"/>
    <w:rsid w:val="00E46E98"/>
    <w:rsid w:val="00F94868"/>
    <w:rsid w:val="00FB443E"/>
    <w:rsid w:val="00FD2B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86062E3"/>
  <w15:chartTrackingRefBased/>
  <w15:docId w15:val="{BE8219EF-2281-4CB6-984C-AF5FADF8D1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1918C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918C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918C5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918C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918C5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918C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918C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918C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918C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918C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918C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918C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918C5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918C5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918C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918C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918C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918C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918C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1918C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918C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1918C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918C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1918C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918C5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1918C5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918C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918C5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918C5"/>
    <w:rPr>
      <w:b/>
      <w:bCs/>
      <w:smallCaps/>
      <w:color w:val="0F4761" w:themeColor="accent1" w:themeShade="BF"/>
      <w:spacing w:val="5"/>
    </w:rPr>
  </w:style>
  <w:style w:type="paragraph" w:styleId="NormalWeb">
    <w:name w:val="Normal (Web)"/>
    <w:basedOn w:val="Normal"/>
    <w:uiPriority w:val="99"/>
    <w:unhideWhenUsed/>
    <w:rsid w:val="007A279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14:ligatures w14:val="none"/>
    </w:rPr>
  </w:style>
  <w:style w:type="character" w:styleId="Strong">
    <w:name w:val="Strong"/>
    <w:basedOn w:val="DefaultParagraphFont"/>
    <w:uiPriority w:val="22"/>
    <w:qFormat/>
    <w:rsid w:val="007A2791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93088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976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2593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1381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98</Words>
  <Characters>565</Characters>
  <Application>Microsoft Office Word</Application>
  <DocSecurity>0</DocSecurity>
  <Lines>4</Lines>
  <Paragraphs>1</Paragraphs>
  <ScaleCrop>false</ScaleCrop>
  <Company/>
  <LinksUpToDate>false</LinksUpToDate>
  <CharactersWithSpaces>662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Ragionieri Lapo</dc:creator>
  <cp:keywords/>
  <dc:description/>
  <cp:lastModifiedBy>Ragionieri Lapo</cp:lastModifiedBy>
  <cp:revision>2</cp:revision>
  <dcterms:created xsi:type="dcterms:W3CDTF">2025-09-02T12:11:00Z</dcterms:created>
  <dcterms:modified xsi:type="dcterms:W3CDTF">2025-09-02T12:11:00Z</dcterms:modified>
</cp:coreProperties>
</file>