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312FE" w14:textId="669397BC" w:rsidR="00911DE6" w:rsidRDefault="00911DE6" w:rsidP="00D82120">
      <w:pPr>
        <w:spacing w:after="0" w:line="360" w:lineRule="auto"/>
        <w:rPr>
          <w:b/>
          <w:sz w:val="28"/>
        </w:rPr>
      </w:pPr>
      <w:bookmarkStart w:id="0" w:name="_Toc201247044"/>
      <w:bookmarkStart w:id="1" w:name="_GoBack"/>
      <w:bookmarkEnd w:id="1"/>
      <w:r w:rsidRPr="00911DE6">
        <w:rPr>
          <w:b/>
          <w:sz w:val="28"/>
        </w:rPr>
        <w:t>Cost–Benefit Analysis of Implementing Flower Strips and Hedgerows in Agricultural Landscapes: A Case Study of Conventional and Organic Apple Orchards in Eastern Germany</w:t>
      </w:r>
    </w:p>
    <w:p w14:paraId="557C3D18" w14:textId="77777777" w:rsidR="00911DE6" w:rsidRDefault="00911DE6" w:rsidP="00D82120">
      <w:pPr>
        <w:spacing w:after="0" w:line="360" w:lineRule="auto"/>
        <w:rPr>
          <w:b/>
          <w:sz w:val="28"/>
        </w:rPr>
      </w:pPr>
    </w:p>
    <w:p w14:paraId="1C2D6CE1" w14:textId="552F3043" w:rsidR="00D82120" w:rsidRPr="00911DE6" w:rsidRDefault="00D82120" w:rsidP="00D82120">
      <w:pPr>
        <w:spacing w:after="0" w:line="360" w:lineRule="auto"/>
        <w:rPr>
          <w:b/>
          <w:lang w:val="pt-PT"/>
        </w:rPr>
      </w:pPr>
      <w:r w:rsidRPr="00911DE6">
        <w:rPr>
          <w:b/>
          <w:lang w:val="pt-PT"/>
        </w:rPr>
        <w:t xml:space="preserve">Henrique Manhique </w:t>
      </w:r>
      <w:r w:rsidR="00A356A7">
        <w:rPr>
          <w:vertAlign w:val="superscript"/>
          <w:lang w:val="pt-PT"/>
        </w:rPr>
        <w:t>a</w:t>
      </w:r>
      <w:r w:rsidRPr="00911DE6">
        <w:rPr>
          <w:vertAlign w:val="superscript"/>
          <w:lang w:val="pt-PT"/>
        </w:rPr>
        <w:t xml:space="preserve">, </w:t>
      </w:r>
      <w:r w:rsidRPr="00911DE6">
        <w:rPr>
          <w:lang w:val="pt-PT"/>
        </w:rPr>
        <w:t>*</w:t>
      </w:r>
      <w:r w:rsidRPr="00911DE6">
        <w:rPr>
          <w:b/>
          <w:lang w:val="pt-PT"/>
        </w:rPr>
        <w:t xml:space="preserve"> and Frank Wätzold </w:t>
      </w:r>
      <w:r w:rsidR="00A356A7">
        <w:rPr>
          <w:vertAlign w:val="superscript"/>
          <w:lang w:val="pt-PT"/>
        </w:rPr>
        <w:t>a</w:t>
      </w:r>
    </w:p>
    <w:p w14:paraId="15B6B2E8" w14:textId="5798BAC6" w:rsidR="00D82120" w:rsidRPr="00FE2F60" w:rsidRDefault="00A356A7" w:rsidP="00D82120">
      <w:pPr>
        <w:spacing w:after="0" w:line="276" w:lineRule="auto"/>
        <w:rPr>
          <w:i/>
        </w:rPr>
      </w:pPr>
      <w:r>
        <w:rPr>
          <w:i/>
          <w:vertAlign w:val="superscript"/>
        </w:rPr>
        <w:t>a</w:t>
      </w:r>
      <w:r w:rsidR="00D82120" w:rsidRPr="00FE2F60">
        <w:rPr>
          <w:i/>
        </w:rPr>
        <w:t xml:space="preserve"> Chair of Environmental Economics, Brandenburg University of Technology Cottbus-Senftenberg, Erich-Weinert-Straße 1, Building 10, 03046 Cottbus, Germany</w:t>
      </w:r>
    </w:p>
    <w:p w14:paraId="1CFA267B" w14:textId="77777777" w:rsidR="00D82120" w:rsidRPr="00FE2F60" w:rsidRDefault="00D82120" w:rsidP="00D82120">
      <w:pPr>
        <w:spacing w:line="276" w:lineRule="auto"/>
        <w:rPr>
          <w:i/>
        </w:rPr>
      </w:pPr>
      <w:r w:rsidRPr="00FE2F60">
        <w:rPr>
          <w:i/>
        </w:rPr>
        <w:t xml:space="preserve">* Corresponding author, </w:t>
      </w:r>
      <w:hyperlink r:id="rId8" w:history="1">
        <w:r w:rsidRPr="00FE2F60">
          <w:rPr>
            <w:rStyle w:val="Hyperlink"/>
          </w:rPr>
          <w:t>manhihen@b-tu.de</w:t>
        </w:r>
      </w:hyperlink>
    </w:p>
    <w:p w14:paraId="43A2F900" w14:textId="77777777" w:rsidR="00D82120" w:rsidRDefault="00D82120" w:rsidP="00D82120">
      <w:pPr>
        <w:spacing w:line="360" w:lineRule="auto"/>
      </w:pPr>
    </w:p>
    <w:p w14:paraId="5E37574E" w14:textId="77777777" w:rsidR="00D82120" w:rsidRDefault="00D82120" w:rsidP="00D82120">
      <w:pPr>
        <w:spacing w:line="360" w:lineRule="auto"/>
        <w:jc w:val="center"/>
        <w:rPr>
          <w:b/>
          <w:sz w:val="32"/>
          <w:u w:val="single"/>
        </w:rPr>
      </w:pPr>
      <w:r w:rsidRPr="00FE2F60">
        <w:rPr>
          <w:b/>
          <w:sz w:val="32"/>
          <w:u w:val="single"/>
        </w:rPr>
        <w:t xml:space="preserve">Supplementary </w:t>
      </w:r>
      <w:r>
        <w:rPr>
          <w:b/>
          <w:sz w:val="32"/>
          <w:u w:val="single"/>
        </w:rPr>
        <w:t>Materials</w:t>
      </w:r>
    </w:p>
    <w:p w14:paraId="0C1D312B" w14:textId="77777777" w:rsidR="00D82120" w:rsidRPr="00C45B3E" w:rsidRDefault="00D82120" w:rsidP="00D82120">
      <w:pPr>
        <w:spacing w:line="360" w:lineRule="auto"/>
        <w:jc w:val="center"/>
        <w:rPr>
          <w:b/>
          <w:sz w:val="24"/>
          <w:u w:val="single"/>
        </w:rPr>
      </w:pPr>
    </w:p>
    <w:p w14:paraId="56F3EC54" w14:textId="23AA0448" w:rsidR="00D82120" w:rsidRPr="00BE0F8D" w:rsidRDefault="00063548" w:rsidP="00C855B0">
      <w:pPr>
        <w:pStyle w:val="Caption"/>
        <w:keepNext/>
        <w:spacing w:after="0" w:line="276" w:lineRule="auto"/>
        <w:rPr>
          <w:i w:val="0"/>
          <w:color w:val="auto"/>
          <w:sz w:val="22"/>
        </w:rPr>
      </w:pPr>
      <w:r w:rsidRPr="00BE0F8D">
        <w:rPr>
          <w:b/>
          <w:i w:val="0"/>
          <w:color w:val="auto"/>
          <w:sz w:val="22"/>
        </w:rPr>
        <w:t>Table S</w:t>
      </w:r>
      <w:r w:rsidR="00D82120" w:rsidRPr="00BE0F8D">
        <w:rPr>
          <w:b/>
          <w:i w:val="0"/>
          <w:color w:val="auto"/>
          <w:sz w:val="22"/>
        </w:rPr>
        <w:fldChar w:fldCharType="begin"/>
      </w:r>
      <w:r w:rsidR="00D82120" w:rsidRPr="00BE0F8D">
        <w:rPr>
          <w:b/>
          <w:i w:val="0"/>
          <w:color w:val="auto"/>
          <w:sz w:val="22"/>
        </w:rPr>
        <w:instrText xml:space="preserve"> SEQ Table_C. \* ARABIC </w:instrText>
      </w:r>
      <w:r w:rsidR="00D82120" w:rsidRPr="00BE0F8D">
        <w:rPr>
          <w:b/>
          <w:i w:val="0"/>
          <w:color w:val="auto"/>
          <w:sz w:val="22"/>
        </w:rPr>
        <w:fldChar w:fldCharType="separate"/>
      </w:r>
      <w:r w:rsidR="00D82120" w:rsidRPr="00BE0F8D">
        <w:rPr>
          <w:b/>
          <w:i w:val="0"/>
          <w:noProof/>
          <w:color w:val="auto"/>
          <w:sz w:val="22"/>
        </w:rPr>
        <w:t>1</w:t>
      </w:r>
      <w:r w:rsidR="00D82120" w:rsidRPr="00BE0F8D">
        <w:rPr>
          <w:b/>
          <w:i w:val="0"/>
          <w:color w:val="auto"/>
          <w:sz w:val="22"/>
        </w:rPr>
        <w:fldChar w:fldCharType="end"/>
      </w:r>
      <w:r w:rsidR="00D82120" w:rsidRPr="00BE0F8D">
        <w:rPr>
          <w:b/>
          <w:i w:val="0"/>
          <w:color w:val="auto"/>
          <w:sz w:val="22"/>
        </w:rPr>
        <w:t>.</w:t>
      </w:r>
      <w:r w:rsidR="00D82120" w:rsidRPr="00BE0F8D">
        <w:rPr>
          <w:i w:val="0"/>
          <w:color w:val="auto"/>
          <w:sz w:val="22"/>
        </w:rPr>
        <w:t xml:space="preserve"> List of pesticides and fertilisers (brands) used in the apple orchards under study during the 2021 and 2022 seasons.</w:t>
      </w:r>
      <w:bookmarkEnd w:id="0"/>
    </w:p>
    <w:tbl>
      <w:tblPr>
        <w:tblStyle w:val="PlainTable2"/>
        <w:tblW w:w="0" w:type="auto"/>
        <w:jc w:val="center"/>
        <w:tblLook w:val="04A0" w:firstRow="1" w:lastRow="0" w:firstColumn="1" w:lastColumn="0" w:noHBand="0" w:noVBand="1"/>
      </w:tblPr>
      <w:tblGrid>
        <w:gridCol w:w="1985"/>
        <w:gridCol w:w="3685"/>
        <w:gridCol w:w="3397"/>
      </w:tblGrid>
      <w:tr w:rsidR="00D82120" w:rsidRPr="00B127AB" w14:paraId="6D243CB1" w14:textId="77777777" w:rsidTr="00A81CB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12" w:space="0" w:color="auto"/>
              <w:left w:val="nil"/>
              <w:bottom w:val="single" w:sz="12" w:space="0" w:color="auto"/>
              <w:right w:val="nil"/>
            </w:tcBorders>
          </w:tcPr>
          <w:p w14:paraId="66BE24B6" w14:textId="77777777" w:rsidR="00D82120" w:rsidRPr="00B127AB" w:rsidRDefault="00D82120" w:rsidP="00A81CBC">
            <w:pPr>
              <w:spacing w:line="360" w:lineRule="auto"/>
              <w:jc w:val="center"/>
              <w:rPr>
                <w:b w:val="0"/>
                <w:bCs w:val="0"/>
                <w:sz w:val="24"/>
                <w:szCs w:val="24"/>
              </w:rPr>
            </w:pPr>
          </w:p>
        </w:tc>
        <w:tc>
          <w:tcPr>
            <w:tcW w:w="3685" w:type="dxa"/>
            <w:tcBorders>
              <w:top w:val="single" w:sz="12" w:space="0" w:color="auto"/>
              <w:left w:val="nil"/>
              <w:bottom w:val="single" w:sz="12" w:space="0" w:color="auto"/>
              <w:right w:val="dashSmallGap" w:sz="4" w:space="0" w:color="auto"/>
            </w:tcBorders>
            <w:vAlign w:val="center"/>
          </w:tcPr>
          <w:p w14:paraId="27933DEC" w14:textId="77777777" w:rsidR="00D82120" w:rsidRPr="00B127AB" w:rsidRDefault="00D82120" w:rsidP="00A81CBC">
            <w:pPr>
              <w:spacing w:line="360" w:lineRule="auto"/>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B127AB">
              <w:rPr>
                <w:b w:val="0"/>
                <w:sz w:val="24"/>
                <w:szCs w:val="24"/>
              </w:rPr>
              <w:t>Conventional IPM</w:t>
            </w:r>
          </w:p>
        </w:tc>
        <w:tc>
          <w:tcPr>
            <w:tcW w:w="3397" w:type="dxa"/>
            <w:tcBorders>
              <w:top w:val="single" w:sz="12" w:space="0" w:color="auto"/>
              <w:left w:val="dashSmallGap" w:sz="4" w:space="0" w:color="auto"/>
              <w:bottom w:val="single" w:sz="12" w:space="0" w:color="auto"/>
            </w:tcBorders>
            <w:vAlign w:val="center"/>
          </w:tcPr>
          <w:p w14:paraId="56BB5E79" w14:textId="77777777" w:rsidR="00D82120" w:rsidRPr="00B127AB" w:rsidRDefault="00D82120" w:rsidP="00A81CBC">
            <w:pPr>
              <w:spacing w:line="360" w:lineRule="auto"/>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B127AB">
              <w:rPr>
                <w:b w:val="0"/>
                <w:sz w:val="24"/>
                <w:szCs w:val="24"/>
              </w:rPr>
              <w:t>Organic IPM</w:t>
            </w:r>
          </w:p>
        </w:tc>
      </w:tr>
      <w:tr w:rsidR="00D82120" w:rsidRPr="00B127AB" w14:paraId="3DC1699B" w14:textId="77777777" w:rsidTr="00A81C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12" w:space="0" w:color="auto"/>
              <w:bottom w:val="single" w:sz="12" w:space="0" w:color="auto"/>
              <w:right w:val="dashSmallGap" w:sz="4" w:space="0" w:color="auto"/>
            </w:tcBorders>
            <w:vAlign w:val="center"/>
          </w:tcPr>
          <w:p w14:paraId="2239525B" w14:textId="77777777" w:rsidR="00D82120" w:rsidRPr="00B127AB" w:rsidRDefault="00D82120" w:rsidP="00A81CBC">
            <w:pPr>
              <w:spacing w:line="360" w:lineRule="auto"/>
              <w:rPr>
                <w:b w:val="0"/>
                <w:sz w:val="24"/>
                <w:szCs w:val="24"/>
              </w:rPr>
            </w:pPr>
            <w:r w:rsidRPr="00B127AB">
              <w:rPr>
                <w:b w:val="0"/>
                <w:sz w:val="24"/>
                <w:szCs w:val="24"/>
              </w:rPr>
              <w:t>Pheromone Traps</w:t>
            </w:r>
          </w:p>
        </w:tc>
        <w:tc>
          <w:tcPr>
            <w:tcW w:w="3685" w:type="dxa"/>
            <w:tcBorders>
              <w:top w:val="single" w:sz="12" w:space="0" w:color="auto"/>
              <w:left w:val="dashSmallGap" w:sz="4" w:space="0" w:color="auto"/>
              <w:right w:val="dashSmallGap" w:sz="4" w:space="0" w:color="auto"/>
            </w:tcBorders>
            <w:vAlign w:val="center"/>
          </w:tcPr>
          <w:p w14:paraId="0C1930DF"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i/>
                <w:sz w:val="24"/>
                <w:szCs w:val="24"/>
              </w:rPr>
            </w:pPr>
            <w:r w:rsidRPr="00B127AB">
              <w:rPr>
                <w:i/>
                <w:sz w:val="24"/>
                <w:szCs w:val="24"/>
              </w:rPr>
              <w:t>Biotraps</w:t>
            </w:r>
          </w:p>
        </w:tc>
        <w:tc>
          <w:tcPr>
            <w:tcW w:w="3397" w:type="dxa"/>
            <w:tcBorders>
              <w:top w:val="single" w:sz="12" w:space="0" w:color="auto"/>
              <w:left w:val="dashSmallGap" w:sz="4" w:space="0" w:color="auto"/>
            </w:tcBorders>
            <w:vAlign w:val="center"/>
          </w:tcPr>
          <w:p w14:paraId="3D749D40"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i/>
                <w:sz w:val="24"/>
                <w:szCs w:val="24"/>
              </w:rPr>
            </w:pPr>
            <w:r w:rsidRPr="00B127AB">
              <w:rPr>
                <w:i/>
                <w:sz w:val="24"/>
                <w:szCs w:val="24"/>
              </w:rPr>
              <w:t>Tripheronfalle</w:t>
            </w:r>
          </w:p>
        </w:tc>
      </w:tr>
      <w:tr w:rsidR="00D82120" w:rsidRPr="00B127AB" w14:paraId="278F274C" w14:textId="77777777" w:rsidTr="00A81CBC">
        <w:trPr>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12" w:space="0" w:color="auto"/>
              <w:bottom w:val="single" w:sz="4" w:space="0" w:color="auto"/>
              <w:right w:val="dashSmallGap" w:sz="4" w:space="0" w:color="auto"/>
            </w:tcBorders>
            <w:vAlign w:val="center"/>
          </w:tcPr>
          <w:p w14:paraId="3FFD327B" w14:textId="77777777" w:rsidR="00D82120" w:rsidRPr="00CD6C0B" w:rsidRDefault="00D82120" w:rsidP="00A81CBC">
            <w:pPr>
              <w:spacing w:line="360" w:lineRule="auto"/>
              <w:rPr>
                <w:b w:val="0"/>
                <w:sz w:val="24"/>
                <w:szCs w:val="24"/>
              </w:rPr>
            </w:pPr>
            <w:r w:rsidRPr="00CD6C0B">
              <w:rPr>
                <w:b w:val="0"/>
                <w:sz w:val="24"/>
                <w:szCs w:val="24"/>
              </w:rPr>
              <w:t>Acaricides</w:t>
            </w:r>
          </w:p>
        </w:tc>
        <w:tc>
          <w:tcPr>
            <w:tcW w:w="3685" w:type="dxa"/>
            <w:tcBorders>
              <w:top w:val="single" w:sz="12" w:space="0" w:color="auto"/>
              <w:left w:val="dashSmallGap" w:sz="4" w:space="0" w:color="auto"/>
              <w:right w:val="dashSmallGap" w:sz="4" w:space="0" w:color="auto"/>
            </w:tcBorders>
            <w:vAlign w:val="center"/>
          </w:tcPr>
          <w:p w14:paraId="6F8663FC"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i/>
                <w:sz w:val="24"/>
                <w:szCs w:val="24"/>
              </w:rPr>
            </w:pPr>
            <w:r w:rsidRPr="00CD6C0B">
              <w:rPr>
                <w:i/>
                <w:sz w:val="24"/>
                <w:szCs w:val="24"/>
              </w:rPr>
              <w:t>Milbeknock</w:t>
            </w:r>
          </w:p>
        </w:tc>
        <w:tc>
          <w:tcPr>
            <w:tcW w:w="3397" w:type="dxa"/>
            <w:tcBorders>
              <w:top w:val="single" w:sz="12" w:space="0" w:color="auto"/>
              <w:left w:val="dashSmallGap" w:sz="4" w:space="0" w:color="auto"/>
            </w:tcBorders>
            <w:vAlign w:val="center"/>
          </w:tcPr>
          <w:p w14:paraId="11B6A972"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i/>
                <w:sz w:val="24"/>
                <w:szCs w:val="24"/>
              </w:rPr>
            </w:pPr>
            <w:r>
              <w:rPr>
                <w:i/>
                <w:sz w:val="24"/>
                <w:szCs w:val="24"/>
              </w:rPr>
              <w:t>……</w:t>
            </w:r>
          </w:p>
        </w:tc>
      </w:tr>
      <w:tr w:rsidR="00D82120" w:rsidRPr="00B127AB" w14:paraId="4EE5795E" w14:textId="77777777" w:rsidTr="00A81C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auto"/>
              <w:left w:val="nil"/>
              <w:right w:val="dashSmallGap" w:sz="4" w:space="0" w:color="auto"/>
            </w:tcBorders>
            <w:vAlign w:val="center"/>
          </w:tcPr>
          <w:p w14:paraId="39E360E2" w14:textId="77777777" w:rsidR="00D82120" w:rsidRPr="00B127AB" w:rsidRDefault="00D82120" w:rsidP="00A81CBC">
            <w:pPr>
              <w:spacing w:line="360" w:lineRule="auto"/>
              <w:rPr>
                <w:b w:val="0"/>
                <w:sz w:val="24"/>
                <w:szCs w:val="24"/>
              </w:rPr>
            </w:pPr>
            <w:r w:rsidRPr="00B127AB">
              <w:rPr>
                <w:b w:val="0"/>
                <w:sz w:val="24"/>
                <w:szCs w:val="24"/>
              </w:rPr>
              <w:t>Biological Control</w:t>
            </w:r>
          </w:p>
        </w:tc>
        <w:tc>
          <w:tcPr>
            <w:tcW w:w="3685" w:type="dxa"/>
            <w:tcBorders>
              <w:left w:val="dashSmallGap" w:sz="4" w:space="0" w:color="auto"/>
              <w:right w:val="dashSmallGap" w:sz="4" w:space="0" w:color="auto"/>
            </w:tcBorders>
            <w:vAlign w:val="center"/>
          </w:tcPr>
          <w:p w14:paraId="63088282" w14:textId="77777777" w:rsidR="00D82120" w:rsidRPr="00B127AB" w:rsidRDefault="00D82120" w:rsidP="00A81CBC">
            <w:pPr>
              <w:pStyle w:val="ListParagraph"/>
              <w:spacing w:line="360" w:lineRule="auto"/>
              <w:jc w:val="center"/>
              <w:cnfStyle w:val="000000100000" w:firstRow="0" w:lastRow="0" w:firstColumn="0" w:lastColumn="0" w:oddVBand="0" w:evenVBand="0" w:oddHBand="1" w:evenHBand="0" w:firstRowFirstColumn="0" w:firstRowLastColumn="0" w:lastRowFirstColumn="0" w:lastRowLastColumn="0"/>
              <w:rPr>
                <w:i/>
                <w:sz w:val="24"/>
                <w:szCs w:val="24"/>
              </w:rPr>
            </w:pPr>
            <w:r w:rsidRPr="00B127AB">
              <w:rPr>
                <w:i/>
                <w:sz w:val="24"/>
                <w:szCs w:val="24"/>
              </w:rPr>
              <w:t>…….</w:t>
            </w:r>
          </w:p>
        </w:tc>
        <w:tc>
          <w:tcPr>
            <w:tcW w:w="3397" w:type="dxa"/>
            <w:tcBorders>
              <w:left w:val="dashSmallGap" w:sz="4" w:space="0" w:color="auto"/>
            </w:tcBorders>
            <w:vAlign w:val="center"/>
          </w:tcPr>
          <w:p w14:paraId="5883AF35"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B127AB">
              <w:rPr>
                <w:sz w:val="24"/>
                <w:szCs w:val="24"/>
              </w:rPr>
              <w:t>Nemasys F</w:t>
            </w:r>
          </w:p>
        </w:tc>
      </w:tr>
      <w:tr w:rsidR="00D82120" w:rsidRPr="003B5BFA" w14:paraId="4E24029B" w14:textId="77777777" w:rsidTr="00A81CBC">
        <w:trPr>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546DE151" w14:textId="77777777" w:rsidR="00D82120" w:rsidRPr="00B127AB" w:rsidRDefault="00D82120" w:rsidP="00A81CBC">
            <w:pPr>
              <w:spacing w:line="360" w:lineRule="auto"/>
              <w:rPr>
                <w:b w:val="0"/>
                <w:sz w:val="24"/>
                <w:szCs w:val="24"/>
              </w:rPr>
            </w:pPr>
            <w:r w:rsidRPr="00B127AB">
              <w:rPr>
                <w:b w:val="0"/>
                <w:sz w:val="24"/>
                <w:szCs w:val="24"/>
              </w:rPr>
              <w:t>Fungicides</w:t>
            </w:r>
          </w:p>
        </w:tc>
        <w:tc>
          <w:tcPr>
            <w:tcW w:w="3685" w:type="dxa"/>
            <w:tcBorders>
              <w:left w:val="dashSmallGap" w:sz="4" w:space="0" w:color="auto"/>
              <w:right w:val="dashSmallGap" w:sz="4" w:space="0" w:color="auto"/>
            </w:tcBorders>
            <w:vAlign w:val="center"/>
          </w:tcPr>
          <w:p w14:paraId="1669B5EC"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i/>
                <w:sz w:val="24"/>
                <w:szCs w:val="24"/>
              </w:rPr>
            </w:pPr>
            <w:r w:rsidRPr="00B127AB">
              <w:rPr>
                <w:i/>
                <w:sz w:val="24"/>
                <w:szCs w:val="24"/>
              </w:rPr>
              <w:t xml:space="preserve">Caldera, Consist Plus, Delan  WG, Thiovit Jet, Difcor, Faban, Flint,  Funguran Progress, GEOXE, Malvin WG, Merpan 48 SC, Merpan 80 WDG, Flint, MULAN 700 WG, Netzschwefel Stulln, Luna Experience, Systhane 20 EW, TALIUS, Topas, Vegas, Sercadis, SCORE, SYLLIT, </w:t>
            </w:r>
            <w:r w:rsidRPr="00B127AB">
              <w:rPr>
                <w:rFonts w:ascii="Calibri" w:hAnsi="Calibri" w:cs="Calibri"/>
                <w:bCs/>
                <w:i/>
                <w:color w:val="000000"/>
                <w:sz w:val="24"/>
                <w:szCs w:val="24"/>
              </w:rPr>
              <w:t>Topas, VitiSan</w:t>
            </w:r>
          </w:p>
        </w:tc>
        <w:tc>
          <w:tcPr>
            <w:tcW w:w="3397" w:type="dxa"/>
            <w:tcBorders>
              <w:left w:val="dashSmallGap" w:sz="4" w:space="0" w:color="auto"/>
            </w:tcBorders>
            <w:vAlign w:val="center"/>
          </w:tcPr>
          <w:p w14:paraId="7074DBE0" w14:textId="77777777" w:rsidR="00D82120" w:rsidRPr="00BA4F66"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BA4F66">
              <w:rPr>
                <w:sz w:val="24"/>
                <w:szCs w:val="24"/>
              </w:rPr>
              <w:t>Curatio, Funguran Progress, Kumar, Kumulus, Kumulus WG, Netzschwefel Stulln, Natriumhydrogencarbonat, VitiSan</w:t>
            </w:r>
          </w:p>
        </w:tc>
      </w:tr>
      <w:tr w:rsidR="00D82120" w:rsidRPr="00B127AB" w14:paraId="23666473" w14:textId="77777777" w:rsidTr="00A81C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5684D33E" w14:textId="77777777" w:rsidR="00D82120" w:rsidRPr="00B127AB" w:rsidRDefault="00D82120" w:rsidP="00A81CBC">
            <w:pPr>
              <w:spacing w:line="360" w:lineRule="auto"/>
              <w:rPr>
                <w:b w:val="0"/>
                <w:sz w:val="24"/>
                <w:szCs w:val="24"/>
              </w:rPr>
            </w:pPr>
            <w:r w:rsidRPr="00B127AB">
              <w:rPr>
                <w:b w:val="0"/>
                <w:sz w:val="24"/>
                <w:szCs w:val="24"/>
              </w:rPr>
              <w:t>Herbicides</w:t>
            </w:r>
          </w:p>
        </w:tc>
        <w:tc>
          <w:tcPr>
            <w:tcW w:w="3685" w:type="dxa"/>
            <w:tcBorders>
              <w:left w:val="dashSmallGap" w:sz="4" w:space="0" w:color="auto"/>
              <w:right w:val="dashSmallGap" w:sz="4" w:space="0" w:color="auto"/>
            </w:tcBorders>
            <w:vAlign w:val="center"/>
          </w:tcPr>
          <w:p w14:paraId="40A8D0AF"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i/>
                <w:sz w:val="24"/>
                <w:szCs w:val="24"/>
              </w:rPr>
            </w:pPr>
            <w:r w:rsidRPr="00B127AB">
              <w:rPr>
                <w:i/>
                <w:sz w:val="24"/>
                <w:szCs w:val="24"/>
              </w:rPr>
              <w:t>Kyleo, Chikara Duo, Dicopur M, Durano TF, Roundup REKORD, Roundup PowerFlex, U 46 M-Fluid, Profi 360 TF, Profi M-Fluid MCPA, Spectrum</w:t>
            </w:r>
          </w:p>
        </w:tc>
        <w:tc>
          <w:tcPr>
            <w:tcW w:w="3397" w:type="dxa"/>
            <w:tcBorders>
              <w:left w:val="dashSmallGap" w:sz="4" w:space="0" w:color="auto"/>
            </w:tcBorders>
            <w:vAlign w:val="center"/>
          </w:tcPr>
          <w:p w14:paraId="275A9747" w14:textId="77777777" w:rsidR="003F56E8"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B127AB">
              <w:rPr>
                <w:sz w:val="24"/>
                <w:szCs w:val="24"/>
              </w:rPr>
              <w:t>……..</w:t>
            </w:r>
          </w:p>
          <w:p w14:paraId="596A4021" w14:textId="77777777" w:rsidR="003F56E8" w:rsidRPr="003F56E8" w:rsidRDefault="003F56E8" w:rsidP="003F56E8">
            <w:pPr>
              <w:cnfStyle w:val="000000100000" w:firstRow="0" w:lastRow="0" w:firstColumn="0" w:lastColumn="0" w:oddVBand="0" w:evenVBand="0" w:oddHBand="1" w:evenHBand="0" w:firstRowFirstColumn="0" w:firstRowLastColumn="0" w:lastRowFirstColumn="0" w:lastRowLastColumn="0"/>
              <w:rPr>
                <w:sz w:val="24"/>
                <w:szCs w:val="24"/>
              </w:rPr>
            </w:pPr>
          </w:p>
          <w:p w14:paraId="5C2B1AD0" w14:textId="77777777" w:rsidR="003F56E8" w:rsidRDefault="003F56E8" w:rsidP="003F56E8">
            <w:pPr>
              <w:cnfStyle w:val="000000100000" w:firstRow="0" w:lastRow="0" w:firstColumn="0" w:lastColumn="0" w:oddVBand="0" w:evenVBand="0" w:oddHBand="1" w:evenHBand="0" w:firstRowFirstColumn="0" w:firstRowLastColumn="0" w:lastRowFirstColumn="0" w:lastRowLastColumn="0"/>
              <w:rPr>
                <w:sz w:val="24"/>
                <w:szCs w:val="24"/>
              </w:rPr>
            </w:pPr>
          </w:p>
          <w:p w14:paraId="7CB07BD2" w14:textId="77777777" w:rsidR="003F56E8" w:rsidRDefault="003F56E8" w:rsidP="003F56E8">
            <w:pPr>
              <w:cnfStyle w:val="000000100000" w:firstRow="0" w:lastRow="0" w:firstColumn="0" w:lastColumn="0" w:oddVBand="0" w:evenVBand="0" w:oddHBand="1" w:evenHBand="0" w:firstRowFirstColumn="0" w:firstRowLastColumn="0" w:lastRowFirstColumn="0" w:lastRowLastColumn="0"/>
              <w:rPr>
                <w:sz w:val="24"/>
                <w:szCs w:val="24"/>
              </w:rPr>
            </w:pPr>
          </w:p>
          <w:p w14:paraId="198B1476" w14:textId="77777777" w:rsidR="003F56E8" w:rsidRDefault="003F56E8" w:rsidP="003F56E8">
            <w:pPr>
              <w:cnfStyle w:val="000000100000" w:firstRow="0" w:lastRow="0" w:firstColumn="0" w:lastColumn="0" w:oddVBand="0" w:evenVBand="0" w:oddHBand="1" w:evenHBand="0" w:firstRowFirstColumn="0" w:firstRowLastColumn="0" w:lastRowFirstColumn="0" w:lastRowLastColumn="0"/>
              <w:rPr>
                <w:sz w:val="24"/>
                <w:szCs w:val="24"/>
              </w:rPr>
            </w:pPr>
          </w:p>
          <w:p w14:paraId="079CBF5F" w14:textId="77777777" w:rsidR="00D82120" w:rsidRPr="003F56E8" w:rsidRDefault="00D82120" w:rsidP="003F56E8">
            <w:pPr>
              <w:cnfStyle w:val="000000100000" w:firstRow="0" w:lastRow="0" w:firstColumn="0" w:lastColumn="0" w:oddVBand="0" w:evenVBand="0" w:oddHBand="1" w:evenHBand="0" w:firstRowFirstColumn="0" w:firstRowLastColumn="0" w:lastRowFirstColumn="0" w:lastRowLastColumn="0"/>
              <w:rPr>
                <w:sz w:val="24"/>
                <w:szCs w:val="24"/>
              </w:rPr>
            </w:pPr>
          </w:p>
        </w:tc>
      </w:tr>
      <w:tr w:rsidR="00D82120" w:rsidRPr="00B127AB" w14:paraId="50C5DF39" w14:textId="77777777" w:rsidTr="00A81CBC">
        <w:trPr>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2A284773" w14:textId="77777777" w:rsidR="00D82120" w:rsidRPr="00B127AB" w:rsidRDefault="00D82120" w:rsidP="00A81CBC">
            <w:pPr>
              <w:spacing w:line="360" w:lineRule="auto"/>
              <w:rPr>
                <w:b w:val="0"/>
                <w:sz w:val="24"/>
                <w:szCs w:val="24"/>
              </w:rPr>
            </w:pPr>
            <w:r w:rsidRPr="00B127AB">
              <w:rPr>
                <w:b w:val="0"/>
                <w:sz w:val="24"/>
                <w:szCs w:val="24"/>
              </w:rPr>
              <w:lastRenderedPageBreak/>
              <w:t>Growth regulators</w:t>
            </w:r>
          </w:p>
        </w:tc>
        <w:tc>
          <w:tcPr>
            <w:tcW w:w="3685" w:type="dxa"/>
            <w:tcBorders>
              <w:left w:val="dashSmallGap" w:sz="4" w:space="0" w:color="auto"/>
              <w:right w:val="dashSmallGap" w:sz="4" w:space="0" w:color="auto"/>
            </w:tcBorders>
            <w:vAlign w:val="center"/>
          </w:tcPr>
          <w:p w14:paraId="6649DF0A"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i/>
                <w:sz w:val="24"/>
                <w:szCs w:val="24"/>
                <w:lang w:val="pt-PT"/>
              </w:rPr>
            </w:pPr>
            <w:r w:rsidRPr="00B127AB">
              <w:rPr>
                <w:i/>
                <w:sz w:val="24"/>
                <w:szCs w:val="24"/>
                <w:lang w:val="pt-PT"/>
              </w:rPr>
              <w:t>Exilis 100 XL, Fixor 100 SL, Kudos</w:t>
            </w:r>
          </w:p>
        </w:tc>
        <w:tc>
          <w:tcPr>
            <w:tcW w:w="3397" w:type="dxa"/>
            <w:tcBorders>
              <w:left w:val="dashSmallGap" w:sz="4" w:space="0" w:color="auto"/>
            </w:tcBorders>
            <w:vAlign w:val="center"/>
          </w:tcPr>
          <w:p w14:paraId="3AFE81C9"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szCs w:val="24"/>
                <w:lang w:val="pt-PT"/>
              </w:rPr>
            </w:pPr>
            <w:r w:rsidRPr="00B127AB">
              <w:rPr>
                <w:sz w:val="24"/>
                <w:szCs w:val="24"/>
                <w:lang w:val="pt-PT"/>
              </w:rPr>
              <w:t>..........</w:t>
            </w:r>
          </w:p>
        </w:tc>
      </w:tr>
      <w:tr w:rsidR="00D82120" w:rsidRPr="00B127AB" w14:paraId="30EC946F" w14:textId="77777777" w:rsidTr="00A81C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52117A6D" w14:textId="77777777" w:rsidR="00D82120" w:rsidRPr="00B127AB" w:rsidRDefault="00D82120" w:rsidP="00A81CBC">
            <w:pPr>
              <w:spacing w:line="360" w:lineRule="auto"/>
              <w:rPr>
                <w:b w:val="0"/>
                <w:sz w:val="24"/>
                <w:szCs w:val="24"/>
              </w:rPr>
            </w:pPr>
            <w:r w:rsidRPr="00B127AB">
              <w:rPr>
                <w:b w:val="0"/>
                <w:sz w:val="24"/>
                <w:szCs w:val="24"/>
              </w:rPr>
              <w:t xml:space="preserve">Insecticides </w:t>
            </w:r>
          </w:p>
        </w:tc>
        <w:tc>
          <w:tcPr>
            <w:tcW w:w="3685" w:type="dxa"/>
            <w:tcBorders>
              <w:left w:val="dashSmallGap" w:sz="4" w:space="0" w:color="auto"/>
              <w:right w:val="dashSmallGap" w:sz="4" w:space="0" w:color="auto"/>
            </w:tcBorders>
            <w:vAlign w:val="center"/>
          </w:tcPr>
          <w:p w14:paraId="039296F2"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i/>
                <w:sz w:val="24"/>
                <w:szCs w:val="24"/>
              </w:rPr>
            </w:pPr>
            <w:r w:rsidRPr="00B127AB">
              <w:rPr>
                <w:i/>
                <w:sz w:val="24"/>
                <w:szCs w:val="24"/>
              </w:rPr>
              <w:t>Coragen, Mimic, Minecto One, Movento SC 100, Mospilan SG, Teppeki, Pirimor Granulat</w:t>
            </w:r>
          </w:p>
        </w:tc>
        <w:tc>
          <w:tcPr>
            <w:tcW w:w="3397" w:type="dxa"/>
            <w:tcBorders>
              <w:left w:val="dashSmallGap" w:sz="4" w:space="0" w:color="auto"/>
            </w:tcBorders>
            <w:vAlign w:val="center"/>
          </w:tcPr>
          <w:p w14:paraId="29B5723F"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B127AB">
              <w:rPr>
                <w:sz w:val="24"/>
                <w:szCs w:val="24"/>
              </w:rPr>
              <w:t>BF A1-19, Carpovirusine Evo, Capex 2, Madex Max, Madex TOP, NeemAzal-T/S, Neudosan Neu, Quassiaextrakt MD, Spruzit Neu, XenTari</w:t>
            </w:r>
          </w:p>
        </w:tc>
      </w:tr>
      <w:tr w:rsidR="00D82120" w:rsidRPr="00B127AB" w14:paraId="09C5D842" w14:textId="77777777" w:rsidTr="00A81CBC">
        <w:trPr>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7F072CFA" w14:textId="77777777" w:rsidR="00D82120" w:rsidRPr="00B127AB" w:rsidRDefault="00D82120" w:rsidP="00A81CBC">
            <w:pPr>
              <w:spacing w:line="360" w:lineRule="auto"/>
              <w:rPr>
                <w:b w:val="0"/>
                <w:sz w:val="24"/>
                <w:szCs w:val="24"/>
              </w:rPr>
            </w:pPr>
            <w:r w:rsidRPr="00B127AB">
              <w:rPr>
                <w:b w:val="0"/>
                <w:sz w:val="24"/>
                <w:szCs w:val="24"/>
              </w:rPr>
              <w:t>Mating disruption (pheromones)</w:t>
            </w:r>
          </w:p>
        </w:tc>
        <w:tc>
          <w:tcPr>
            <w:tcW w:w="3685" w:type="dxa"/>
            <w:tcBorders>
              <w:left w:val="dashSmallGap" w:sz="4" w:space="0" w:color="auto"/>
              <w:right w:val="dashSmallGap" w:sz="4" w:space="0" w:color="auto"/>
            </w:tcBorders>
            <w:vAlign w:val="center"/>
          </w:tcPr>
          <w:p w14:paraId="51557E09"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i/>
                <w:sz w:val="24"/>
                <w:szCs w:val="24"/>
              </w:rPr>
            </w:pPr>
            <w:r w:rsidRPr="00B127AB">
              <w:rPr>
                <w:i/>
                <w:sz w:val="24"/>
                <w:szCs w:val="24"/>
              </w:rPr>
              <w:t>CheckMate Puffer CM</w:t>
            </w:r>
          </w:p>
        </w:tc>
        <w:tc>
          <w:tcPr>
            <w:tcW w:w="3397" w:type="dxa"/>
            <w:tcBorders>
              <w:left w:val="dashSmallGap" w:sz="4" w:space="0" w:color="auto"/>
            </w:tcBorders>
            <w:vAlign w:val="center"/>
          </w:tcPr>
          <w:p w14:paraId="57D10BFD"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B127AB">
              <w:rPr>
                <w:sz w:val="24"/>
                <w:szCs w:val="24"/>
              </w:rPr>
              <w:t>CheckMate Puffer CM, Isomate CLR MAX TT</w:t>
            </w:r>
          </w:p>
        </w:tc>
      </w:tr>
      <w:tr w:rsidR="00D82120" w:rsidRPr="00B127AB" w14:paraId="52750059" w14:textId="77777777" w:rsidTr="00A81C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06060C4F" w14:textId="77777777" w:rsidR="00D82120" w:rsidRPr="00B127AB" w:rsidRDefault="00D82120" w:rsidP="00A81CBC">
            <w:pPr>
              <w:spacing w:line="360" w:lineRule="auto"/>
              <w:rPr>
                <w:b w:val="0"/>
                <w:sz w:val="24"/>
                <w:szCs w:val="24"/>
              </w:rPr>
            </w:pPr>
            <w:r w:rsidRPr="00B127AB">
              <w:rPr>
                <w:b w:val="0"/>
                <w:sz w:val="24"/>
                <w:szCs w:val="24"/>
              </w:rPr>
              <w:t>Rodenticides</w:t>
            </w:r>
          </w:p>
        </w:tc>
        <w:tc>
          <w:tcPr>
            <w:tcW w:w="3685" w:type="dxa"/>
            <w:tcBorders>
              <w:left w:val="dashSmallGap" w:sz="4" w:space="0" w:color="auto"/>
              <w:right w:val="dashSmallGap" w:sz="4" w:space="0" w:color="auto"/>
            </w:tcBorders>
            <w:vAlign w:val="center"/>
          </w:tcPr>
          <w:p w14:paraId="3112EC3F"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i/>
                <w:sz w:val="24"/>
                <w:szCs w:val="24"/>
              </w:rPr>
            </w:pPr>
            <w:r w:rsidRPr="00B127AB">
              <w:rPr>
                <w:i/>
                <w:sz w:val="24"/>
                <w:szCs w:val="24"/>
              </w:rPr>
              <w:t>Ratron Giftweizen</w:t>
            </w:r>
          </w:p>
        </w:tc>
        <w:tc>
          <w:tcPr>
            <w:tcW w:w="3397" w:type="dxa"/>
            <w:tcBorders>
              <w:left w:val="dashSmallGap" w:sz="4" w:space="0" w:color="auto"/>
            </w:tcBorders>
            <w:vAlign w:val="center"/>
          </w:tcPr>
          <w:p w14:paraId="3DFDF38B" w14:textId="77777777" w:rsidR="00D82120" w:rsidRPr="00B127AB" w:rsidRDefault="00D82120"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B127AB">
              <w:rPr>
                <w:sz w:val="24"/>
                <w:szCs w:val="24"/>
              </w:rPr>
              <w:t>…….</w:t>
            </w:r>
          </w:p>
        </w:tc>
      </w:tr>
      <w:tr w:rsidR="00D82120" w:rsidRPr="00B127AB" w14:paraId="34A1DF3A" w14:textId="77777777" w:rsidTr="00A81CBC">
        <w:trPr>
          <w:jc w:val="center"/>
        </w:trPr>
        <w:tc>
          <w:tcPr>
            <w:cnfStyle w:val="001000000000" w:firstRow="0" w:lastRow="0" w:firstColumn="1" w:lastColumn="0" w:oddVBand="0" w:evenVBand="0" w:oddHBand="0" w:evenHBand="0" w:firstRowFirstColumn="0" w:firstRowLastColumn="0" w:lastRowFirstColumn="0" w:lastRowLastColumn="0"/>
            <w:tcW w:w="1985" w:type="dxa"/>
            <w:tcBorders>
              <w:left w:val="nil"/>
              <w:right w:val="dashSmallGap" w:sz="4" w:space="0" w:color="auto"/>
            </w:tcBorders>
            <w:vAlign w:val="center"/>
          </w:tcPr>
          <w:p w14:paraId="6D9B42E7" w14:textId="77777777" w:rsidR="00D82120" w:rsidRPr="00B127AB" w:rsidRDefault="00D82120" w:rsidP="00A81CBC">
            <w:pPr>
              <w:spacing w:line="360" w:lineRule="auto"/>
              <w:rPr>
                <w:b w:val="0"/>
                <w:sz w:val="24"/>
                <w:szCs w:val="24"/>
              </w:rPr>
            </w:pPr>
            <w:r w:rsidRPr="00B127AB">
              <w:rPr>
                <w:b w:val="0"/>
                <w:sz w:val="24"/>
                <w:szCs w:val="24"/>
              </w:rPr>
              <w:t>Fertilisers</w:t>
            </w:r>
          </w:p>
        </w:tc>
        <w:tc>
          <w:tcPr>
            <w:tcW w:w="3685" w:type="dxa"/>
            <w:tcBorders>
              <w:left w:val="dashSmallGap" w:sz="4" w:space="0" w:color="auto"/>
              <w:right w:val="dashSmallGap" w:sz="4" w:space="0" w:color="auto"/>
            </w:tcBorders>
            <w:vAlign w:val="center"/>
          </w:tcPr>
          <w:p w14:paraId="78627952"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i/>
                <w:sz w:val="24"/>
                <w:szCs w:val="24"/>
              </w:rPr>
            </w:pPr>
            <w:r w:rsidRPr="00B127AB">
              <w:rPr>
                <w:i/>
                <w:sz w:val="24"/>
                <w:szCs w:val="24"/>
              </w:rPr>
              <w:t xml:space="preserve">Aminosol, Boramin Ca, Bor, Calcinit, Calciumchlorid, Calitech, Cocktail Amber, Delfan Plus, EPSO TOP, Folanx Ca 29, Harnstoff, KAS 27%, MAP, Mangan, </w:t>
            </w:r>
            <w:r w:rsidRPr="00B127AB">
              <w:rPr>
                <w:rFonts w:ascii="Calibri" w:eastAsia="Times New Roman" w:hAnsi="Calibri" w:cs="Calibri"/>
                <w:bCs/>
                <w:i/>
                <w:color w:val="262626"/>
                <w:sz w:val="24"/>
                <w:szCs w:val="24"/>
                <w:lang w:eastAsia="en-GB"/>
              </w:rPr>
              <w:t xml:space="preserve">MC COP, Patentkali, </w:t>
            </w:r>
            <w:r w:rsidRPr="00B127AB">
              <w:rPr>
                <w:i/>
                <w:sz w:val="24"/>
                <w:szCs w:val="24"/>
              </w:rPr>
              <w:t xml:space="preserve">phylgreen  B-Mo, phylgreen atlas, </w:t>
            </w:r>
            <w:r w:rsidRPr="00B127AB">
              <w:rPr>
                <w:rFonts w:ascii="Calibri" w:hAnsi="Calibri" w:cs="Calibri"/>
                <w:bCs/>
                <w:i/>
                <w:color w:val="000000"/>
                <w:sz w:val="24"/>
                <w:szCs w:val="24"/>
              </w:rPr>
              <w:t>Tracer, Zinc</w:t>
            </w:r>
          </w:p>
        </w:tc>
        <w:tc>
          <w:tcPr>
            <w:tcW w:w="3397" w:type="dxa"/>
            <w:tcBorders>
              <w:left w:val="dashSmallGap" w:sz="4" w:space="0" w:color="auto"/>
            </w:tcBorders>
            <w:vAlign w:val="center"/>
          </w:tcPr>
          <w:p w14:paraId="74D54415" w14:textId="77777777" w:rsidR="00D82120" w:rsidRPr="00B127AB" w:rsidRDefault="00D82120"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B127AB">
              <w:rPr>
                <w:sz w:val="24"/>
                <w:szCs w:val="24"/>
              </w:rPr>
              <w:t xml:space="preserve">Alginin Vital Ca12, Bor, Calcium, Cocktail Amber, Dolophos 26, Glibor Ca, </w:t>
            </w:r>
            <w:r w:rsidRPr="00B127AB">
              <w:rPr>
                <w:rFonts w:ascii="Calibri" w:hAnsi="Calibri" w:cs="Calibri"/>
                <w:bCs/>
                <w:color w:val="000000"/>
                <w:sz w:val="24"/>
                <w:szCs w:val="24"/>
              </w:rPr>
              <w:t>Patentkali, Kera-Duo Pellets,</w:t>
            </w:r>
            <w:r w:rsidRPr="00B127AB">
              <w:rPr>
                <w:sz w:val="24"/>
                <w:szCs w:val="24"/>
              </w:rPr>
              <w:t xml:space="preserve"> </w:t>
            </w:r>
            <w:r w:rsidRPr="00B127AB">
              <w:rPr>
                <w:rFonts w:ascii="Calibri" w:hAnsi="Calibri" w:cs="Calibri"/>
                <w:bCs/>
                <w:color w:val="000000"/>
                <w:sz w:val="24"/>
                <w:szCs w:val="24"/>
              </w:rPr>
              <w:t>MgO-Vital Plus, Phytogreen BioBooster, phylgreen B-Mo, phylgreen Mg, OmniCult Schwefel- Linsen, Schweinehaarmehlpellets, Vinasse, vegenergy</w:t>
            </w:r>
          </w:p>
        </w:tc>
      </w:tr>
    </w:tbl>
    <w:p w14:paraId="40FD88D1" w14:textId="77777777" w:rsidR="00D82120" w:rsidRDefault="00D82120" w:rsidP="00D82120">
      <w:pPr>
        <w:spacing w:line="360" w:lineRule="auto"/>
      </w:pPr>
    </w:p>
    <w:p w14:paraId="59767E1C" w14:textId="614CB02E" w:rsidR="00D82120" w:rsidRPr="00C45B3E" w:rsidRDefault="00D82120" w:rsidP="00D82120">
      <w:pPr>
        <w:pStyle w:val="Heading2"/>
        <w:spacing w:after="240" w:line="360" w:lineRule="auto"/>
        <w:rPr>
          <w:rFonts w:asciiTheme="minorHAnsi" w:hAnsiTheme="minorHAnsi" w:cstheme="minorHAnsi"/>
          <w:b/>
          <w:color w:val="auto"/>
          <w:sz w:val="28"/>
        </w:rPr>
      </w:pPr>
      <w:bookmarkStart w:id="2" w:name="_Toc201518483"/>
      <w:r w:rsidRPr="00C45B3E">
        <w:rPr>
          <w:rFonts w:asciiTheme="minorHAnsi" w:hAnsiTheme="minorHAnsi" w:cstheme="minorHAnsi"/>
          <w:b/>
          <w:color w:val="auto"/>
          <w:sz w:val="28"/>
          <w:szCs w:val="28"/>
        </w:rPr>
        <w:t xml:space="preserve">Production </w:t>
      </w:r>
      <w:r w:rsidRPr="00E10C46">
        <w:rPr>
          <w:rFonts w:asciiTheme="minorHAnsi" w:hAnsiTheme="minorHAnsi" w:cstheme="minorHAnsi"/>
          <w:b/>
          <w:color w:val="000000" w:themeColor="text1"/>
          <w:sz w:val="28"/>
          <w:szCs w:val="28"/>
        </w:rPr>
        <w:t>costs</w:t>
      </w:r>
      <w:bookmarkEnd w:id="2"/>
      <w:r w:rsidR="0003039E" w:rsidRPr="00E10C46">
        <w:rPr>
          <w:rFonts w:asciiTheme="minorHAnsi" w:hAnsiTheme="minorHAnsi" w:cstheme="minorHAnsi"/>
          <w:b/>
          <w:color w:val="000000" w:themeColor="text1"/>
          <w:sz w:val="28"/>
          <w:szCs w:val="28"/>
        </w:rPr>
        <w:t xml:space="preserve"> </w:t>
      </w:r>
      <w:r w:rsidR="0003039E" w:rsidRPr="00E10C46">
        <w:rPr>
          <w:b/>
          <w:color w:val="000000" w:themeColor="text1"/>
          <w:sz w:val="28"/>
        </w:rPr>
        <w:t>and revenues (business as usual)</w:t>
      </w:r>
    </w:p>
    <w:p w14:paraId="31D0DD40" w14:textId="1853D781" w:rsidR="00D82120" w:rsidRPr="00D17E9A" w:rsidRDefault="00D82120" w:rsidP="00D82120">
      <w:pPr>
        <w:spacing w:line="360" w:lineRule="auto"/>
        <w:rPr>
          <w:sz w:val="24"/>
          <w:szCs w:val="24"/>
        </w:rPr>
      </w:pPr>
      <w:r w:rsidRPr="00D17E9A">
        <w:rPr>
          <w:sz w:val="24"/>
          <w:szCs w:val="24"/>
        </w:rPr>
        <w:t xml:space="preserve">Production costs </w:t>
      </w:r>
      <w:r w:rsidRPr="00D17E9A">
        <w:rPr>
          <w:rFonts w:eastAsiaTheme="minorEastAsia"/>
          <w:sz w:val="24"/>
          <w:szCs w:val="24"/>
        </w:rPr>
        <w:t xml:space="preserve">represent the sum of all management practices implemented in the orchards (conventional-IPM or organic-IPM) in year </w:t>
      </w:r>
      <w:r w:rsidRPr="00D17E9A">
        <w:rPr>
          <w:rFonts w:eastAsiaTheme="minorEastAsia"/>
          <w:i/>
          <w:sz w:val="24"/>
          <w:szCs w:val="24"/>
        </w:rPr>
        <w:t>t</w:t>
      </w:r>
      <w:r w:rsidRPr="00D17E9A">
        <w:rPr>
          <w:sz w:val="24"/>
          <w:szCs w:val="24"/>
        </w:rPr>
        <w:t xml:space="preserve">. They are calculated based on the field data on management practices for the 2021 and 2022 seasons. </w:t>
      </w:r>
      <w:r w:rsidR="00C45B3E" w:rsidRPr="00D17E9A">
        <w:rPr>
          <w:sz w:val="24"/>
          <w:szCs w:val="24"/>
        </w:rPr>
        <w:t>These include mulching, mechanical weed control, herbicide application, and monitoring using pheromone traps.</w:t>
      </w:r>
    </w:p>
    <w:p w14:paraId="34C4BB5D" w14:textId="77777777" w:rsidR="00D82120" w:rsidRPr="00D17E9A" w:rsidRDefault="00D82120" w:rsidP="00D82120">
      <w:pPr>
        <w:spacing w:line="360" w:lineRule="auto"/>
        <w:rPr>
          <w:rFonts w:eastAsiaTheme="minorEastAsia"/>
          <w:sz w:val="24"/>
          <w:szCs w:val="24"/>
        </w:rPr>
      </w:pPr>
      <w:r w:rsidRPr="00D17E9A">
        <w:rPr>
          <w:sz w:val="24"/>
          <w:szCs w:val="24"/>
        </w:rPr>
        <w:t>Intensive mulching of alleyways took place from April to October of each year, and the yearly costs deriving from mulching were calculated as follows:</w:t>
      </w:r>
    </w:p>
    <w:p w14:paraId="7A54B3D3" w14:textId="5B93EAEB" w:rsidR="00D82120" w:rsidRPr="00D17E9A" w:rsidRDefault="00D82120" w:rsidP="00D82120">
      <w:pPr>
        <w:spacing w:line="360" w:lineRule="auto"/>
        <w:ind w:left="360"/>
        <w:jc w:val="center"/>
        <w:rPr>
          <w:sz w:val="24"/>
          <w:szCs w:val="24"/>
        </w:rPr>
      </w:pPr>
      <w:r w:rsidRPr="00D17E9A">
        <w:rPr>
          <w:rFonts w:eastAsiaTheme="minorEastAsia"/>
          <w:sz w:val="24"/>
          <w:szCs w:val="24"/>
        </w:rPr>
        <w:t xml:space="preserve">                                      </w:t>
      </w:r>
      <m:oMath>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t</m:t>
            </m:r>
          </m:sub>
        </m:sSub>
        <m:r>
          <w:rPr>
            <w:rFonts w:ascii="Cambria Math" w:hAnsi="Cambria Math"/>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φ</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e>
        </m:d>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t</m:t>
            </m:r>
          </m:sub>
        </m:sSub>
        <m:r>
          <m:rPr>
            <m:sty m:val="p"/>
          </m:rPr>
          <w:rPr>
            <w:rFonts w:ascii="Cambria Math" w:eastAsiaTheme="minorEastAsia" w:hAnsi="Cambria Math"/>
            <w:sz w:val="24"/>
            <w:szCs w:val="24"/>
          </w:rPr>
          <m:t xml:space="preserve">        </m:t>
        </m:r>
      </m:oMath>
      <w:r w:rsidRPr="00D17E9A">
        <w:rPr>
          <w:rFonts w:eastAsiaTheme="minorEastAsia"/>
          <w:sz w:val="24"/>
          <w:szCs w:val="24"/>
        </w:rPr>
        <w:t xml:space="preserve">                                                    (</w:t>
      </w:r>
      <w:r w:rsidR="00063548" w:rsidRPr="00D17E9A">
        <w:rPr>
          <w:rFonts w:eastAsiaTheme="minorEastAsia"/>
          <w:sz w:val="24"/>
          <w:szCs w:val="24"/>
        </w:rPr>
        <w:t>S</w:t>
      </w:r>
      <w:r w:rsidRPr="00D17E9A">
        <w:rPr>
          <w:rFonts w:eastAsiaTheme="minorEastAsia"/>
          <w:sz w:val="24"/>
          <w:szCs w:val="24"/>
        </w:rPr>
        <w:t>1)</w:t>
      </w:r>
    </w:p>
    <w:p w14:paraId="1E83AC13" w14:textId="256E889E" w:rsidR="00D82120" w:rsidRPr="00D17E9A" w:rsidRDefault="00D82120" w:rsidP="00D82120">
      <w:pPr>
        <w:spacing w:line="360" w:lineRule="auto"/>
        <w:rPr>
          <w:rFonts w:eastAsiaTheme="minorEastAsia"/>
          <w:sz w:val="24"/>
          <w:szCs w:val="24"/>
        </w:rPr>
      </w:pPr>
      <w:r w:rsidRPr="00D17E9A">
        <w:rPr>
          <w:rFonts w:eastAsiaTheme="minorEastAsia"/>
          <w:sz w:val="24"/>
          <w:szCs w:val="24"/>
        </w:rPr>
        <w:t xml:space="preserve">Where </w:t>
      </w:r>
      <m:oMath>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t</m:t>
            </m:r>
          </m:sub>
        </m:sSub>
      </m:oMath>
      <w:r w:rsidRPr="00D17E9A">
        <w:rPr>
          <w:rFonts w:eastAsiaTheme="minorEastAsia"/>
          <w:sz w:val="24"/>
          <w:szCs w:val="24"/>
        </w:rPr>
        <w:t xml:space="preserve"> are the total costs of mulching in year </w:t>
      </w:r>
      <w:r w:rsidRPr="00D17E9A">
        <w:rPr>
          <w:rFonts w:eastAsiaTheme="minorEastAsia"/>
          <w:i/>
          <w:sz w:val="24"/>
          <w:szCs w:val="24"/>
        </w:rPr>
        <w:t>t</w:t>
      </w:r>
      <w:r w:rsidRPr="00D17E9A">
        <w:rPr>
          <w:rFonts w:eastAsiaTheme="minorEastAsia"/>
          <w:sz w:val="24"/>
          <w:szCs w:val="24"/>
        </w:rPr>
        <w:t xml:space="preserve">. </w:t>
      </w:r>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t</m:t>
            </m:r>
          </m:sub>
        </m:sSub>
      </m:oMath>
      <w:r w:rsidRPr="00D17E9A">
        <w:rPr>
          <w:rFonts w:eastAsiaTheme="minorEastAsia"/>
          <w:sz w:val="24"/>
          <w:szCs w:val="24"/>
        </w:rPr>
        <w:t xml:space="preserve"> are the labour costs which are calculated as </w:t>
      </w:r>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hr</m:t>
            </m:r>
          </m:e>
          <m:sub>
            <m:r>
              <w:rPr>
                <w:rFonts w:ascii="Cambria Math" w:hAnsi="Cambria Math"/>
                <w:sz w:val="24"/>
                <w:szCs w:val="24"/>
              </w:rPr>
              <m:t>t</m:t>
            </m:r>
          </m:sub>
        </m:sSub>
        <m:r>
          <w:rPr>
            <w:rFonts w:ascii="Cambria Math" w:hAnsi="Cambria Math"/>
            <w:sz w:val="24"/>
            <w:szCs w:val="24"/>
          </w:rPr>
          <m:t>*wg</m:t>
        </m:r>
      </m:oMath>
      <w:r w:rsidRPr="00D17E9A">
        <w:rPr>
          <w:rFonts w:eastAsiaTheme="minorEastAsia"/>
          <w:sz w:val="24"/>
          <w:szCs w:val="24"/>
        </w:rPr>
        <w:t xml:space="preserve">, with </w:t>
      </w:r>
      <m:oMath>
        <m:sSub>
          <m:sSubPr>
            <m:ctrlPr>
              <w:rPr>
                <w:rFonts w:ascii="Cambria Math" w:hAnsi="Cambria Math"/>
                <w:i/>
                <w:sz w:val="24"/>
                <w:szCs w:val="24"/>
              </w:rPr>
            </m:ctrlPr>
          </m:sSubPr>
          <m:e>
            <m:r>
              <w:rPr>
                <w:rFonts w:ascii="Cambria Math" w:hAnsi="Cambria Math"/>
                <w:sz w:val="24"/>
                <w:szCs w:val="24"/>
              </w:rPr>
              <m:t>hr</m:t>
            </m:r>
          </m:e>
          <m:sub>
            <m:r>
              <w:rPr>
                <w:rFonts w:ascii="Cambria Math" w:hAnsi="Cambria Math"/>
                <w:sz w:val="24"/>
                <w:szCs w:val="24"/>
              </w:rPr>
              <m:t>xt</m:t>
            </m:r>
          </m:sub>
        </m:sSub>
      </m:oMath>
      <w:r w:rsidRPr="00D17E9A">
        <w:rPr>
          <w:rFonts w:eastAsiaTheme="minorEastAsia"/>
          <w:sz w:val="24"/>
          <w:szCs w:val="24"/>
        </w:rPr>
        <w:t xml:space="preserve"> describing the amount of hours required for mulching </w:t>
      </w:r>
      <w:r w:rsidRPr="00D17E9A">
        <w:rPr>
          <w:rFonts w:eastAsiaTheme="minorEastAsia"/>
          <w:sz w:val="24"/>
          <w:szCs w:val="24"/>
        </w:rPr>
        <w:lastRenderedPageBreak/>
        <w:t xml:space="preserve">an area of one-ha and </w:t>
      </w:r>
      <m:oMath>
        <m:r>
          <w:rPr>
            <w:rFonts w:ascii="Cambria Math" w:hAnsi="Cambria Math"/>
            <w:sz w:val="24"/>
            <w:szCs w:val="24"/>
          </w:rPr>
          <m:t>wg</m:t>
        </m:r>
      </m:oMath>
      <w:r w:rsidRPr="00D17E9A">
        <w:rPr>
          <w:rFonts w:eastAsiaTheme="minorEastAsia"/>
          <w:sz w:val="24"/>
          <w:szCs w:val="24"/>
        </w:rPr>
        <w:t xml:space="preserve"> the hourly wage. </w:t>
      </w:r>
      <m:oMath>
        <m:sSub>
          <m:sSubPr>
            <m:ctrlPr>
              <w:rPr>
                <w:rFonts w:ascii="Cambria Math" w:hAnsi="Cambria Math"/>
                <w:i/>
                <w:sz w:val="24"/>
                <w:szCs w:val="24"/>
              </w:rPr>
            </m:ctrlPr>
          </m:sSubPr>
          <m:e>
            <m:r>
              <w:rPr>
                <w:rFonts w:ascii="Cambria Math" w:hAnsi="Cambria Math"/>
                <w:sz w:val="24"/>
                <w:szCs w:val="24"/>
              </w:rPr>
              <m:t>φ</m:t>
            </m:r>
          </m:e>
          <m:sub>
            <m:r>
              <w:rPr>
                <w:rFonts w:ascii="Cambria Math" w:hAnsi="Cambria Math"/>
                <w:sz w:val="24"/>
                <w:szCs w:val="24"/>
              </w:rPr>
              <m:t>t</m:t>
            </m:r>
          </m:sub>
        </m:sSub>
      </m:oMath>
      <w:r w:rsidRPr="00D17E9A">
        <w:rPr>
          <w:rFonts w:eastAsiaTheme="minorEastAsia"/>
          <w:sz w:val="24"/>
          <w:szCs w:val="24"/>
        </w:rPr>
        <w:t xml:space="preserve"> are the variable costs of the machinery used for mulching.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oMath>
      <w:r w:rsidRPr="00D17E9A">
        <w:rPr>
          <w:rFonts w:eastAsiaTheme="minorEastAsia"/>
          <w:sz w:val="24"/>
          <w:szCs w:val="24"/>
        </w:rPr>
        <w:t xml:space="preserve"> are the vehicle (tractor) costs which are estimated as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r>
          <w:rPr>
            <w:rFonts w:ascii="Cambria Math" w:hAnsi="Cambria Math"/>
            <w:sz w:val="24"/>
            <w:szCs w:val="24"/>
          </w:rPr>
          <m:t>=td*</m:t>
        </m:r>
        <m:sSub>
          <m:sSubPr>
            <m:ctrlPr>
              <w:rPr>
                <w:rFonts w:ascii="Cambria Math" w:hAnsi="Cambria Math"/>
                <w:i/>
                <w:sz w:val="24"/>
                <w:szCs w:val="24"/>
              </w:rPr>
            </m:ctrlPr>
          </m:sSubPr>
          <m:e>
            <m:r>
              <w:rPr>
                <w:rFonts w:ascii="Cambria Math" w:hAnsi="Cambria Math"/>
                <w:sz w:val="24"/>
                <w:szCs w:val="24"/>
              </w:rPr>
              <m:t>pd</m:t>
            </m:r>
          </m:e>
          <m:sub>
            <m:r>
              <w:rPr>
                <w:rFonts w:ascii="Cambria Math" w:hAnsi="Cambria Math"/>
                <w:sz w:val="24"/>
                <w:szCs w:val="24"/>
              </w:rPr>
              <m:t>t</m:t>
            </m:r>
          </m:sub>
        </m:sSub>
      </m:oMath>
      <w:r w:rsidRPr="00D17E9A">
        <w:rPr>
          <w:rFonts w:eastAsiaTheme="minorEastAsia"/>
          <w:sz w:val="24"/>
          <w:szCs w:val="24"/>
        </w:rPr>
        <w:t xml:space="preserve">, with </w:t>
      </w:r>
      <m:oMath>
        <m:r>
          <w:rPr>
            <w:rFonts w:ascii="Cambria Math" w:hAnsi="Cambria Math"/>
            <w:sz w:val="24"/>
            <w:szCs w:val="24"/>
          </w:rPr>
          <m:t>td</m:t>
        </m:r>
      </m:oMath>
      <w:r w:rsidRPr="00D17E9A">
        <w:rPr>
          <w:rFonts w:eastAsiaTheme="minorEastAsia"/>
          <w:sz w:val="24"/>
          <w:szCs w:val="24"/>
        </w:rPr>
        <w:t xml:space="preserve"> representing the amount of tractor diesel per litre required for mulching one-ha and </w:t>
      </w:r>
      <m:oMath>
        <m:sSub>
          <m:sSubPr>
            <m:ctrlPr>
              <w:rPr>
                <w:rFonts w:ascii="Cambria Math" w:hAnsi="Cambria Math"/>
                <w:i/>
                <w:sz w:val="24"/>
                <w:szCs w:val="24"/>
              </w:rPr>
            </m:ctrlPr>
          </m:sSubPr>
          <m:e>
            <m:r>
              <w:rPr>
                <w:rFonts w:ascii="Cambria Math" w:hAnsi="Cambria Math"/>
                <w:sz w:val="24"/>
                <w:szCs w:val="24"/>
              </w:rPr>
              <m:t>pd</m:t>
            </m:r>
          </m:e>
          <m:sub>
            <m:r>
              <w:rPr>
                <w:rFonts w:ascii="Cambria Math" w:hAnsi="Cambria Math"/>
                <w:sz w:val="24"/>
                <w:szCs w:val="24"/>
              </w:rPr>
              <m:t>t</m:t>
            </m:r>
          </m:sub>
        </m:sSub>
      </m:oMath>
      <w:r w:rsidRPr="00D17E9A">
        <w:rPr>
          <w:rFonts w:eastAsiaTheme="minorEastAsia"/>
          <w:sz w:val="24"/>
          <w:szCs w:val="24"/>
        </w:rPr>
        <w:t xml:space="preserve"> the price of diesel. Finally, </w:t>
      </w:r>
      <m:oMath>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t</m:t>
            </m:r>
          </m:sub>
        </m:sSub>
      </m:oMath>
      <w:r w:rsidRPr="00D17E9A">
        <w:rPr>
          <w:rFonts w:eastAsiaTheme="minorEastAsia"/>
          <w:sz w:val="24"/>
          <w:szCs w:val="24"/>
        </w:rPr>
        <w:t xml:space="preserve"> is the frequency of mulching in a year </w:t>
      </w:r>
      <w:r w:rsidRPr="00D17E9A">
        <w:rPr>
          <w:rFonts w:eastAsiaTheme="minorEastAsia"/>
          <w:i/>
          <w:sz w:val="24"/>
          <w:szCs w:val="24"/>
        </w:rPr>
        <w:t>t</w:t>
      </w:r>
      <w:r w:rsidRPr="00D17E9A">
        <w:rPr>
          <w:rFonts w:eastAsiaTheme="minorEastAsia"/>
          <w:sz w:val="24"/>
          <w:szCs w:val="24"/>
        </w:rPr>
        <w:t xml:space="preserve">, which varied among the studied orchards from six to seven times a year. The data on hourly wage for workers involved in mulching, the variable costs for machinery, and the amount of diesel required for mulching one-ha and the price of diesel was sourced from </w:t>
      </w:r>
      <w:r w:rsidRPr="00D17E9A">
        <w:rPr>
          <w:rFonts w:ascii="Calibri" w:hAnsi="Calibri"/>
          <w:sz w:val="24"/>
          <w:szCs w:val="24"/>
        </w:rPr>
        <w:t>KTBL (2022), see Table</w:t>
      </w:r>
      <w:r w:rsidR="00DC1023">
        <w:rPr>
          <w:rFonts w:ascii="Calibri" w:hAnsi="Calibri"/>
          <w:sz w:val="24"/>
          <w:szCs w:val="24"/>
        </w:rPr>
        <w:t xml:space="preserve"> S2</w:t>
      </w:r>
      <w:r w:rsidRPr="00D17E9A">
        <w:rPr>
          <w:rFonts w:ascii="Calibri" w:hAnsi="Calibri"/>
          <w:sz w:val="24"/>
          <w:szCs w:val="24"/>
        </w:rPr>
        <w:t xml:space="preserve"> </w:t>
      </w:r>
      <w:r w:rsidR="00C45B3E" w:rsidRPr="00D17E9A">
        <w:rPr>
          <w:rFonts w:ascii="Calibri" w:hAnsi="Calibri"/>
          <w:sz w:val="24"/>
          <w:szCs w:val="24"/>
        </w:rPr>
        <w:t>below</w:t>
      </w:r>
      <w:r w:rsidRPr="00D17E9A">
        <w:rPr>
          <w:rFonts w:eastAsiaTheme="minorEastAsia"/>
          <w:sz w:val="24"/>
          <w:szCs w:val="24"/>
        </w:rPr>
        <w:t>.</w:t>
      </w:r>
    </w:p>
    <w:p w14:paraId="3C6D29A6" w14:textId="1F39A363" w:rsidR="00D82120" w:rsidRPr="00D17E9A" w:rsidRDefault="00D82120" w:rsidP="00D82120">
      <w:pPr>
        <w:spacing w:line="360" w:lineRule="auto"/>
        <w:rPr>
          <w:rFonts w:eastAsiaTheme="minorEastAsia"/>
          <w:sz w:val="24"/>
          <w:szCs w:val="24"/>
        </w:rPr>
      </w:pPr>
      <w:r w:rsidRPr="00D17E9A">
        <w:rPr>
          <w:rFonts w:eastAsiaTheme="minorEastAsia"/>
          <w:sz w:val="24"/>
          <w:szCs w:val="24"/>
        </w:rPr>
        <w:t xml:space="preserve">The costs for mechanical weed control in organic orchards were also estimated using Equation </w:t>
      </w:r>
      <w:r w:rsidR="00C45B3E" w:rsidRPr="00D17E9A">
        <w:rPr>
          <w:rFonts w:eastAsiaTheme="minorEastAsia"/>
          <w:sz w:val="24"/>
          <w:szCs w:val="24"/>
        </w:rPr>
        <w:t>S</w:t>
      </w:r>
      <w:r w:rsidRPr="00D17E9A">
        <w:rPr>
          <w:rFonts w:eastAsiaTheme="minorEastAsia"/>
          <w:sz w:val="24"/>
          <w:szCs w:val="24"/>
        </w:rPr>
        <w:t xml:space="preserve">1. Mechanical weeding occurred between March and October of each season and the monthly frequency of weeding varied from 1-2 depending on the growing rate of weed, which is weather-related. The total application costs of herbicides </w:t>
      </w:r>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t</m:t>
            </m:r>
          </m:sub>
        </m:sSub>
      </m:oMath>
      <w:r w:rsidRPr="00D17E9A">
        <w:rPr>
          <w:rFonts w:eastAsiaTheme="minorEastAsia"/>
          <w:sz w:val="24"/>
          <w:szCs w:val="24"/>
        </w:rPr>
        <w:t xml:space="preserve"> for weed control in conventional orchards can be expressed as follows:</w:t>
      </w:r>
    </w:p>
    <w:p w14:paraId="42E3897D" w14:textId="26D5C7F8" w:rsidR="00D82120" w:rsidRPr="00D17E9A" w:rsidRDefault="00BB671E" w:rsidP="00D82120">
      <w:pPr>
        <w:jc w:val="center"/>
        <w:rPr>
          <w:rFonts w:eastAsiaTheme="minorEastAsia"/>
          <w:sz w:val="24"/>
          <w:szCs w:val="24"/>
        </w:rPr>
      </w:pPr>
      <m:oMathPara>
        <m:oMathParaPr>
          <m:jc m:val="center"/>
        </m:oMathParaPr>
        <m:oMath>
          <m:sSub>
            <m:sSubPr>
              <m:ctrlPr>
                <w:rPr>
                  <w:rFonts w:ascii="Cambria Math" w:hAnsi="Cambria Math"/>
                  <w:i/>
                  <w:sz w:val="24"/>
                  <w:szCs w:val="24"/>
                </w:rPr>
              </m:ctrlPr>
            </m:sSubPr>
            <m:e>
              <m:r>
                <w:rPr>
                  <w:rFonts w:ascii="Cambria Math" w:hAnsi="Cambria Math"/>
                  <w:sz w:val="24"/>
                  <w:szCs w:val="24"/>
                </w:rPr>
                <m:t xml:space="preserve">                                      H</m:t>
              </m:r>
            </m:e>
            <m:sub>
              <m:r>
                <w:rPr>
                  <w:rFonts w:ascii="Cambria Math" w:hAnsi="Cambria Math"/>
                  <w:sz w:val="24"/>
                  <w:szCs w:val="24"/>
                </w:rPr>
                <m:t>t</m:t>
              </m:r>
            </m:sub>
          </m:sSub>
          <m:r>
            <w:rPr>
              <w:rFonts w:ascii="Cambria Math"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n</m:t>
              </m:r>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φ</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e>
              </m:d>
            </m:e>
          </m:nary>
          <m:sSub>
            <m:sSubPr>
              <m:ctrlPr>
                <w:rPr>
                  <w:rFonts w:ascii="Cambria Math" w:eastAsiaTheme="minorEastAsia" w:hAnsi="Cambria Math"/>
                  <w:sz w:val="24"/>
                  <w:szCs w:val="24"/>
                </w:rPr>
              </m:ctrlPr>
            </m:sSubPr>
            <m:e>
              <m:r>
                <w:rPr>
                  <w:rFonts w:ascii="Cambria Math" w:eastAsiaTheme="minorEastAsia" w:hAnsi="Cambria Math"/>
                  <w:sz w:val="24"/>
                  <w:szCs w:val="24"/>
                </w:rPr>
                <m:t>f</m:t>
              </m:r>
              <m:ctrlPr>
                <w:rPr>
                  <w:rFonts w:ascii="Cambria Math" w:eastAsiaTheme="minorEastAsia" w:hAnsi="Cambria Math"/>
                  <w:i/>
                  <w:sz w:val="24"/>
                  <w:szCs w:val="24"/>
                </w:rPr>
              </m:ctrlPr>
            </m:e>
            <m:sub>
              <m:r>
                <w:rPr>
                  <w:rFonts w:ascii="Cambria Math" w:eastAsiaTheme="minorEastAsia" w:hAnsi="Cambria Math"/>
                  <w:sz w:val="24"/>
                  <w:szCs w:val="24"/>
                </w:rPr>
                <m:t>it</m:t>
              </m:r>
            </m:sub>
          </m:sSub>
          <m:r>
            <m:rPr>
              <m:sty m:val="p"/>
            </m:rPr>
            <w:rPr>
              <w:rFonts w:ascii="Cambria Math" w:eastAsiaTheme="minorEastAsia" w:hAnsi="Cambria Math"/>
              <w:sz w:val="24"/>
              <w:szCs w:val="24"/>
            </w:rPr>
            <m:t xml:space="preserve">                                                           (S2)</m:t>
          </m:r>
        </m:oMath>
      </m:oMathPara>
    </w:p>
    <w:p w14:paraId="2E1E657D" w14:textId="47878637" w:rsidR="00D82120" w:rsidRPr="00D17E9A" w:rsidRDefault="00D82120" w:rsidP="00D82120">
      <w:pPr>
        <w:spacing w:line="360" w:lineRule="auto"/>
        <w:rPr>
          <w:rFonts w:eastAsiaTheme="minorEastAsia"/>
          <w:sz w:val="24"/>
          <w:szCs w:val="24"/>
        </w:rPr>
      </w:pPr>
      <w:r w:rsidRPr="00D17E9A">
        <w:rPr>
          <w:rFonts w:eastAsiaTheme="minorEastAsia"/>
          <w:sz w:val="24"/>
          <w:szCs w:val="24"/>
        </w:rPr>
        <w:t xml:space="preserve">Where </w:t>
      </w:r>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it</m:t>
            </m:r>
          </m:sub>
        </m:sSub>
      </m:oMath>
      <w:r w:rsidRPr="00D17E9A">
        <w:rPr>
          <w:rFonts w:eastAsiaTheme="minorEastAsia"/>
          <w:sz w:val="24"/>
          <w:szCs w:val="24"/>
        </w:rPr>
        <w:t xml:space="preserve"> depicts the treatment costs (i.e., purchasing costs of herbicide</w:t>
      </w:r>
      <m:oMath>
        <m:r>
          <w:rPr>
            <w:rFonts w:ascii="Cambria Math" w:hAnsi="Cambria Math"/>
            <w:sz w:val="24"/>
            <w:szCs w:val="24"/>
          </w:rPr>
          <m:t xml:space="preserve"> i</m:t>
        </m:r>
      </m:oMath>
      <w:r w:rsidRPr="00D17E9A">
        <w:rPr>
          <w:rFonts w:eastAsiaTheme="minorEastAsia"/>
          <w:sz w:val="24"/>
          <w:szCs w:val="24"/>
        </w:rPr>
        <w:t xml:space="preserve"> required to treat one-ha in year</w:t>
      </w:r>
      <m:oMath>
        <m:r>
          <w:rPr>
            <w:rFonts w:ascii="Cambria Math" w:hAnsi="Cambria Math"/>
            <w:sz w:val="24"/>
            <w:szCs w:val="24"/>
          </w:rPr>
          <m:t xml:space="preserve"> t</m:t>
        </m:r>
      </m:oMath>
      <w:r w:rsidRPr="00D17E9A">
        <w:rPr>
          <w:rFonts w:eastAsiaTheme="minorEastAsia"/>
          <w:sz w:val="24"/>
          <w:szCs w:val="24"/>
        </w:rPr>
        <w:t xml:space="preserve">). The labour costs </w:t>
      </w:r>
      <m:oMath>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t</m:t>
            </m:r>
          </m:sub>
        </m:sSub>
        <m:r>
          <w:rPr>
            <w:rFonts w:ascii="Cambria Math" w:hAnsi="Cambria Math"/>
            <w:sz w:val="24"/>
            <w:szCs w:val="24"/>
          </w:rPr>
          <m:t>,</m:t>
        </m:r>
      </m:oMath>
      <w:r w:rsidRPr="00D17E9A">
        <w:rPr>
          <w:rFonts w:eastAsiaTheme="minorEastAsia"/>
          <w:sz w:val="24"/>
          <w:szCs w:val="24"/>
        </w:rPr>
        <w:t xml:space="preserve"> machinery variable costs </w:t>
      </w:r>
      <m:oMath>
        <m:sSub>
          <m:sSubPr>
            <m:ctrlPr>
              <w:rPr>
                <w:rFonts w:ascii="Cambria Math" w:hAnsi="Cambria Math"/>
                <w:i/>
                <w:sz w:val="24"/>
                <w:szCs w:val="24"/>
              </w:rPr>
            </m:ctrlPr>
          </m:sSubPr>
          <m:e>
            <m:r>
              <w:rPr>
                <w:rFonts w:ascii="Cambria Math" w:hAnsi="Cambria Math"/>
                <w:sz w:val="24"/>
                <w:szCs w:val="24"/>
              </w:rPr>
              <m:t>φ</m:t>
            </m:r>
          </m:e>
          <m:sub>
            <m:r>
              <w:rPr>
                <w:rFonts w:ascii="Cambria Math" w:hAnsi="Cambria Math"/>
                <w:sz w:val="24"/>
                <w:szCs w:val="24"/>
              </w:rPr>
              <m:t>t</m:t>
            </m:r>
          </m:sub>
        </m:sSub>
      </m:oMath>
      <w:r w:rsidRPr="00D17E9A">
        <w:rPr>
          <w:rFonts w:eastAsiaTheme="minorEastAsia"/>
          <w:sz w:val="24"/>
          <w:szCs w:val="24"/>
        </w:rPr>
        <w:t xml:space="preserve">, and the costs for the vehicle (tractor)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r>
          <w:rPr>
            <w:rFonts w:ascii="Cambria Math" w:hAnsi="Cambria Math"/>
            <w:sz w:val="24"/>
            <w:szCs w:val="24"/>
          </w:rPr>
          <m:t>,</m:t>
        </m:r>
      </m:oMath>
      <w:r w:rsidRPr="00D17E9A">
        <w:rPr>
          <w:rFonts w:eastAsiaTheme="minorEastAsia"/>
          <w:sz w:val="24"/>
          <w:szCs w:val="24"/>
        </w:rPr>
        <w:t xml:space="preserve"> were calculated using the same approach as provided above. </w:t>
      </w:r>
      <m:oMath>
        <m:sSub>
          <m:sSubPr>
            <m:ctrlPr>
              <w:rPr>
                <w:rFonts w:ascii="Cambria Math" w:eastAsiaTheme="minorEastAsia" w:hAnsi="Cambria Math"/>
                <w:sz w:val="24"/>
                <w:szCs w:val="24"/>
              </w:rPr>
            </m:ctrlPr>
          </m:sSubPr>
          <m:e>
            <m:r>
              <w:rPr>
                <w:rFonts w:ascii="Cambria Math" w:eastAsiaTheme="minorEastAsia" w:hAnsi="Cambria Math"/>
                <w:sz w:val="24"/>
                <w:szCs w:val="24"/>
              </w:rPr>
              <m:t>f</m:t>
            </m:r>
            <m:ctrlPr>
              <w:rPr>
                <w:rFonts w:ascii="Cambria Math" w:eastAsiaTheme="minorEastAsia" w:hAnsi="Cambria Math"/>
                <w:i/>
                <w:sz w:val="24"/>
                <w:szCs w:val="24"/>
              </w:rPr>
            </m:ctrlPr>
          </m:e>
          <m:sub>
            <m:r>
              <w:rPr>
                <w:rFonts w:ascii="Cambria Math" w:eastAsiaTheme="minorEastAsia" w:hAnsi="Cambria Math"/>
                <w:sz w:val="24"/>
                <w:szCs w:val="24"/>
              </w:rPr>
              <m:t>it</m:t>
            </m:r>
          </m:sub>
        </m:sSub>
      </m:oMath>
      <w:r w:rsidRPr="00D17E9A">
        <w:rPr>
          <w:rFonts w:eastAsiaTheme="minorEastAsia"/>
          <w:sz w:val="24"/>
          <w:szCs w:val="24"/>
        </w:rPr>
        <w:t xml:space="preserve"> is the frequency of herbicide application. Where treatment costs were not available (or could not be disclosed by farmers), they were estimated as</w:t>
      </w:r>
      <m:oMath>
        <m:r>
          <w:rPr>
            <w:rFonts w:ascii="Cambria Math" w:eastAsiaTheme="minorEastAsia"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hu</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ph</m:t>
            </m:r>
          </m:e>
          <m:sub>
            <m:r>
              <w:rPr>
                <w:rFonts w:ascii="Cambria Math" w:hAnsi="Cambria Math"/>
                <w:sz w:val="24"/>
                <w:szCs w:val="24"/>
              </w:rPr>
              <m:t>it</m:t>
            </m:r>
          </m:sub>
        </m:sSub>
      </m:oMath>
      <w:r w:rsidRPr="00D17E9A">
        <w:rPr>
          <w:rFonts w:eastAsiaTheme="minorEastAsia"/>
          <w:sz w:val="24"/>
          <w:szCs w:val="24"/>
        </w:rPr>
        <w:t xml:space="preserve">, with </w:t>
      </w:r>
      <m:oMath>
        <m:sSub>
          <m:sSubPr>
            <m:ctrlPr>
              <w:rPr>
                <w:rFonts w:ascii="Cambria Math" w:hAnsi="Cambria Math"/>
                <w:i/>
                <w:sz w:val="24"/>
                <w:szCs w:val="24"/>
              </w:rPr>
            </m:ctrlPr>
          </m:sSubPr>
          <m:e>
            <m:r>
              <w:rPr>
                <w:rFonts w:ascii="Cambria Math" w:hAnsi="Cambria Math"/>
                <w:sz w:val="24"/>
                <w:szCs w:val="24"/>
              </w:rPr>
              <m:t>hu</m:t>
            </m:r>
          </m:e>
          <m:sub>
            <m:r>
              <w:rPr>
                <w:rFonts w:ascii="Cambria Math" w:hAnsi="Cambria Math"/>
                <w:sz w:val="24"/>
                <w:szCs w:val="24"/>
              </w:rPr>
              <m:t>it</m:t>
            </m:r>
          </m:sub>
        </m:sSub>
      </m:oMath>
      <w:r w:rsidRPr="00D17E9A">
        <w:rPr>
          <w:rFonts w:eastAsiaTheme="minorEastAsia"/>
          <w:sz w:val="24"/>
          <w:szCs w:val="24"/>
        </w:rPr>
        <w:t xml:space="preserve"> denoting the amount of applied herbicide </w:t>
      </w:r>
      <m:oMath>
        <m:r>
          <w:rPr>
            <w:rFonts w:ascii="Cambria Math" w:hAnsi="Cambria Math"/>
            <w:sz w:val="24"/>
            <w:szCs w:val="24"/>
          </w:rPr>
          <m:t>i</m:t>
        </m:r>
      </m:oMath>
      <w:r w:rsidRPr="00D17E9A">
        <w:rPr>
          <w:rFonts w:eastAsiaTheme="minorEastAsia"/>
          <w:sz w:val="24"/>
          <w:szCs w:val="24"/>
        </w:rPr>
        <w:t xml:space="preserve"> and </w:t>
      </w:r>
      <m:oMath>
        <m:sSub>
          <m:sSubPr>
            <m:ctrlPr>
              <w:rPr>
                <w:rFonts w:ascii="Cambria Math" w:hAnsi="Cambria Math"/>
                <w:i/>
                <w:sz w:val="24"/>
                <w:szCs w:val="24"/>
              </w:rPr>
            </m:ctrlPr>
          </m:sSubPr>
          <m:e>
            <m:r>
              <w:rPr>
                <w:rFonts w:ascii="Cambria Math" w:hAnsi="Cambria Math"/>
                <w:sz w:val="24"/>
                <w:szCs w:val="24"/>
              </w:rPr>
              <m:t>ph</m:t>
            </m:r>
          </m:e>
          <m:sub>
            <m:r>
              <w:rPr>
                <w:rFonts w:ascii="Cambria Math" w:hAnsi="Cambria Math"/>
                <w:sz w:val="24"/>
                <w:szCs w:val="24"/>
              </w:rPr>
              <m:t>it</m:t>
            </m:r>
          </m:sub>
        </m:sSub>
      </m:oMath>
      <w:r w:rsidRPr="00D17E9A">
        <w:rPr>
          <w:rFonts w:eastAsiaTheme="minorEastAsia"/>
          <w:sz w:val="24"/>
          <w:szCs w:val="24"/>
        </w:rPr>
        <w:t xml:space="preserve"> the gross price for herbicide </w:t>
      </w:r>
      <m:oMath>
        <m:r>
          <w:rPr>
            <w:rFonts w:ascii="Cambria Math" w:hAnsi="Cambria Math"/>
            <w:sz w:val="24"/>
            <w:szCs w:val="24"/>
          </w:rPr>
          <m:t>i</m:t>
        </m:r>
      </m:oMath>
      <w:r w:rsidRPr="00D17E9A">
        <w:rPr>
          <w:rFonts w:eastAsiaTheme="minorEastAsia"/>
          <w:sz w:val="24"/>
          <w:szCs w:val="24"/>
        </w:rPr>
        <w:t xml:space="preserve"> in a year </w:t>
      </w:r>
      <m:oMath>
        <m:r>
          <w:rPr>
            <w:rFonts w:ascii="Cambria Math" w:hAnsi="Cambria Math"/>
            <w:sz w:val="24"/>
            <w:szCs w:val="24"/>
          </w:rPr>
          <m:t xml:space="preserve">t </m:t>
        </m:r>
      </m:oMath>
      <w:r w:rsidRPr="00D17E9A">
        <w:rPr>
          <w:rFonts w:eastAsiaTheme="minorEastAsia"/>
          <w:sz w:val="24"/>
          <w:szCs w:val="24"/>
        </w:rPr>
        <w:t xml:space="preserve">in the German market </w:t>
      </w:r>
      <w:r w:rsidR="00EB4E9B">
        <w:rPr>
          <w:rFonts w:ascii="Calibri" w:hAnsi="Calibri" w:cs="Calibri"/>
          <w:sz w:val="24"/>
          <w:szCs w:val="24"/>
        </w:rPr>
        <w:fldChar w:fldCharType="begin"/>
      </w:r>
      <w:r w:rsidR="00EB4E9B">
        <w:rPr>
          <w:rFonts w:ascii="Calibri" w:hAnsi="Calibri" w:cs="Calibri"/>
          <w:sz w:val="24"/>
          <w:szCs w:val="24"/>
        </w:rPr>
        <w:instrText xml:space="preserve"> ADDIN ZOTERO_ITEM CSL_CITATION {"citationID":"cdKLMJff","properties":{"formattedCitation":"(KTBL, 2022)","plainCitation":"(KTBL, 2022)","noteIndex":0},"citationItems":[{"id":284,"uris":["http://zotero.org/users/13178736/items/7NDGLJEA"],"itemData":{"id":284,"type":"book","edition":"5","event-place":"Darmstadt","publisher":"Kuratorium für Technik und Bauwesen in der Landwirtschaft e.V. (KTBL)","publisher-place":"Darmstadt","title":"Obstbau. Produktionsverfahren planen und kalkulieren","author":[{"family":"KTBL","given":""}],"issued":{"date-parts":[["2022"]]}}}],"schema":"https://github.com/citation-style-language/schema/raw/master/csl-citation.json"} </w:instrText>
      </w:r>
      <w:r w:rsidR="00EB4E9B">
        <w:rPr>
          <w:rFonts w:ascii="Calibri" w:hAnsi="Calibri" w:cs="Calibri"/>
          <w:sz w:val="24"/>
          <w:szCs w:val="24"/>
        </w:rPr>
        <w:fldChar w:fldCharType="separate"/>
      </w:r>
      <w:r w:rsidR="00EB4E9B" w:rsidRPr="00EB4E9B">
        <w:rPr>
          <w:rFonts w:ascii="Calibri" w:hAnsi="Calibri" w:cs="Calibri"/>
          <w:sz w:val="24"/>
        </w:rPr>
        <w:t>(KTBL, 2022)</w:t>
      </w:r>
      <w:r w:rsidR="00EB4E9B">
        <w:rPr>
          <w:rFonts w:ascii="Calibri" w:hAnsi="Calibri" w:cs="Calibri"/>
          <w:sz w:val="24"/>
          <w:szCs w:val="24"/>
        </w:rPr>
        <w:fldChar w:fldCharType="end"/>
      </w:r>
      <w:r w:rsidRPr="00D17E9A">
        <w:rPr>
          <w:rFonts w:eastAsiaTheme="minorEastAsia"/>
          <w:sz w:val="24"/>
          <w:szCs w:val="24"/>
        </w:rPr>
        <w:t xml:space="preserve">. The costs for acaricides, insecticides, fungicides, fertilisers, biological control (with nematodes), and </w:t>
      </w:r>
      <w:r w:rsidRPr="00D17E9A">
        <w:rPr>
          <w:sz w:val="24"/>
          <w:szCs w:val="24"/>
        </w:rPr>
        <w:t>growth regulators</w:t>
      </w:r>
      <w:r w:rsidRPr="00D17E9A">
        <w:rPr>
          <w:rFonts w:eastAsiaTheme="minorEastAsia"/>
          <w:sz w:val="24"/>
          <w:szCs w:val="24"/>
        </w:rPr>
        <w:t xml:space="preserve"> were also estimated using Equation </w:t>
      </w:r>
      <w:r w:rsidR="00C45B3E" w:rsidRPr="00D17E9A">
        <w:rPr>
          <w:rFonts w:eastAsiaTheme="minorEastAsia"/>
          <w:sz w:val="24"/>
          <w:szCs w:val="24"/>
        </w:rPr>
        <w:t>S</w:t>
      </w:r>
      <w:r w:rsidRPr="00D17E9A">
        <w:rPr>
          <w:rFonts w:eastAsiaTheme="minorEastAsia"/>
          <w:sz w:val="24"/>
          <w:szCs w:val="24"/>
        </w:rPr>
        <w:t>2.</w:t>
      </w:r>
    </w:p>
    <w:p w14:paraId="5F284785" w14:textId="77777777" w:rsidR="00D82120" w:rsidRPr="00D17E9A" w:rsidRDefault="00D82120" w:rsidP="00D82120">
      <w:pPr>
        <w:spacing w:line="360" w:lineRule="auto"/>
        <w:rPr>
          <w:sz w:val="24"/>
          <w:szCs w:val="24"/>
        </w:rPr>
      </w:pPr>
      <w:r w:rsidRPr="00D17E9A">
        <w:rPr>
          <w:rFonts w:eastAsiaTheme="minorEastAsia"/>
          <w:sz w:val="24"/>
          <w:szCs w:val="24"/>
        </w:rPr>
        <w:t xml:space="preserve">The costs of monitoring using pheromone traps </w:t>
      </w:r>
      <w:r w:rsidRPr="00D17E9A">
        <w:rPr>
          <w:sz w:val="24"/>
          <w:szCs w:val="24"/>
        </w:rPr>
        <w:t>were estimated as the sum of trap-lure purchasing costs and labour costs. Their yearly development is largely dependent on the attractants</w:t>
      </w:r>
      <w:r w:rsidRPr="00D17E9A">
        <w:rPr>
          <w:rFonts w:cstheme="minorHAnsi"/>
          <w:sz w:val="24"/>
          <w:szCs w:val="24"/>
        </w:rPr>
        <w:t>'</w:t>
      </w:r>
      <w:r w:rsidRPr="00D17E9A">
        <w:rPr>
          <w:sz w:val="24"/>
          <w:szCs w:val="24"/>
        </w:rPr>
        <w:t xml:space="preserve"> rebait interval. The yearly costs of trapping </w:t>
      </w:r>
      <m:oMath>
        <m:sSub>
          <m:sSubPr>
            <m:ctrlPr>
              <w:rPr>
                <w:rFonts w:ascii="Cambria Math" w:eastAsiaTheme="minorEastAsia" w:hAnsi="Cambria Math"/>
                <w:i/>
                <w:sz w:val="24"/>
                <w:szCs w:val="24"/>
              </w:rPr>
            </m:ctrlPr>
          </m:sSubPr>
          <m:e>
            <m:r>
              <w:rPr>
                <w:rFonts w:ascii="Cambria Math" w:eastAsiaTheme="minorEastAsia" w:hAnsi="Cambria Math"/>
                <w:sz w:val="24"/>
                <w:szCs w:val="24"/>
              </w:rPr>
              <m:t>K</m:t>
            </m:r>
          </m:e>
          <m:sub>
            <m:r>
              <w:rPr>
                <w:rFonts w:ascii="Cambria Math" w:eastAsiaTheme="minorEastAsia" w:hAnsi="Cambria Math"/>
                <w:sz w:val="24"/>
                <w:szCs w:val="24"/>
              </w:rPr>
              <m:t>xt</m:t>
            </m:r>
          </m:sub>
        </m:sSub>
      </m:oMath>
      <w:r w:rsidRPr="00D17E9A">
        <w:rPr>
          <w:sz w:val="24"/>
          <w:szCs w:val="24"/>
        </w:rPr>
        <w:t xml:space="preserve"> can be calculated as follows:</w:t>
      </w:r>
    </w:p>
    <w:p w14:paraId="274CB4BA" w14:textId="05324491" w:rsidR="00D82120" w:rsidRPr="00D17E9A" w:rsidRDefault="00D82120" w:rsidP="00D82120">
      <w:pPr>
        <w:spacing w:line="360" w:lineRule="auto"/>
        <w:rPr>
          <w:sz w:val="24"/>
          <w:szCs w:val="24"/>
        </w:rPr>
      </w:pPr>
      <m:oMathPara>
        <m:oMath>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K</m:t>
              </m:r>
            </m:e>
            <m:sub>
              <m:r>
                <w:rPr>
                  <w:rFonts w:ascii="Cambria Math" w:eastAsiaTheme="minorEastAsia" w:hAnsi="Cambria Math"/>
                  <w:sz w:val="24"/>
                  <w:szCs w:val="24"/>
                </w:rPr>
                <m:t>t</m:t>
              </m:r>
            </m:sub>
          </m:sSub>
          <m:r>
            <w:rPr>
              <w:rFonts w:ascii="Cambria Math" w:eastAsiaTheme="minorEastAsia" w:hAnsi="Cambria Math"/>
              <w:sz w:val="24"/>
              <w:szCs w:val="24"/>
            </w:rPr>
            <m:t>=</m:t>
          </m:r>
          <m:nary>
            <m:naryPr>
              <m:chr m:val="∑"/>
              <m:limLoc m:val="undOvr"/>
              <m:ctrlPr>
                <w:rPr>
                  <w:rFonts w:ascii="Cambria Math" w:eastAsiaTheme="minorEastAsia" w:hAnsi="Cambria Math"/>
                  <w:i/>
                  <w:sz w:val="24"/>
                  <w:szCs w:val="24"/>
                </w:rPr>
              </m:ctrlPr>
            </m:naryPr>
            <m:sub>
              <m:r>
                <w:rPr>
                  <w:rFonts w:ascii="Cambria Math" w:eastAsiaTheme="minorEastAsia" w:hAnsi="Cambria Math"/>
                  <w:sz w:val="24"/>
                  <w:szCs w:val="24"/>
                </w:rPr>
                <m:t>i=1</m:t>
              </m:r>
            </m:sub>
            <m:sup>
              <m:r>
                <w:rPr>
                  <w:rFonts w:ascii="Cambria Math" w:eastAsiaTheme="minorEastAsia" w:hAnsi="Cambria Math"/>
                  <w:sz w:val="24"/>
                  <w:szCs w:val="24"/>
                </w:rPr>
                <m:t>n</m:t>
              </m:r>
            </m:sup>
            <m:e>
              <m:d>
                <m:dPr>
                  <m:begChr m:val="["/>
                  <m:endChr m:val="]"/>
                  <m:ctrlPr>
                    <w:rPr>
                      <w:rFonts w:ascii="Cambria Math" w:eastAsiaTheme="minorEastAsia" w:hAnsi="Cambria Math"/>
                      <w:sz w:val="24"/>
                      <w:szCs w:val="24"/>
                    </w:rPr>
                  </m:ctrlPr>
                </m:d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k</m:t>
                          </m:r>
                        </m:e>
                        <m:sub>
                          <m:r>
                            <w:rPr>
                              <w:rFonts w:ascii="Cambria Math" w:eastAsiaTheme="minorEastAsia" w:hAnsi="Cambria Math"/>
                              <w:sz w:val="24"/>
                              <w:szCs w:val="24"/>
                            </w:rPr>
                            <m:t>t</m:t>
                          </m:r>
                        </m:sub>
                      </m:sSub>
                      <m:r>
                        <m:rPr>
                          <m:sty m:val="p"/>
                        </m:rPr>
                        <w:rPr>
                          <w:rFonts w:ascii="Cambria Math" w:eastAsiaTheme="minorEastAsia" w:hAnsi="Cambria Math"/>
                          <w:sz w:val="24"/>
                          <w:szCs w:val="24"/>
                        </w:rPr>
                        <m:t>+</m:t>
                      </m:r>
                      <m:sSub>
                        <m:sSubPr>
                          <m:ctrlPr>
                            <w:rPr>
                              <w:rFonts w:ascii="Cambria Math" w:eastAsiaTheme="minorEastAsia" w:hAnsi="Cambria Math"/>
                              <w:sz w:val="24"/>
                              <w:szCs w:val="24"/>
                            </w:rPr>
                          </m:ctrlPr>
                        </m:sSubPr>
                        <m:e>
                          <m:r>
                            <w:rPr>
                              <w:rFonts w:ascii="Cambria Math" w:eastAsiaTheme="minorEastAsia" w:hAnsi="Cambria Math"/>
                              <w:sz w:val="24"/>
                              <w:szCs w:val="24"/>
                            </w:rPr>
                            <m:t>l</m:t>
                          </m:r>
                        </m:e>
                        <m:sub>
                          <m:r>
                            <w:rPr>
                              <w:rFonts w:ascii="Cambria Math" w:eastAsiaTheme="minorEastAsia" w:hAnsi="Cambria Math"/>
                              <w:sz w:val="24"/>
                              <w:szCs w:val="24"/>
                            </w:rPr>
                            <m:t>t</m:t>
                          </m:r>
                        </m:sub>
                      </m:sSub>
                      <m:ctrlPr>
                        <w:rPr>
                          <w:rFonts w:ascii="Cambria Math" w:eastAsiaTheme="minorEastAsia" w:hAnsi="Cambria Math"/>
                          <w:sz w:val="24"/>
                          <w:szCs w:val="24"/>
                        </w:rPr>
                      </m:ctrlPr>
                    </m:e>
                  </m:d>
                  <m:r>
                    <m:rPr>
                      <m:sty m:val="p"/>
                    </m:rPr>
                    <w:rPr>
                      <w:rFonts w:ascii="Cambria Math" w:eastAsiaTheme="minorEastAsia" w:hAnsi="Cambria Math"/>
                      <w:sz w:val="24"/>
                      <w:szCs w:val="24"/>
                    </w:rPr>
                    <m:t>ϑ+</m:t>
                  </m:r>
                  <m:sSub>
                    <m:sSubPr>
                      <m:ctrlPr>
                        <w:rPr>
                          <w:rFonts w:ascii="Cambria Math" w:eastAsiaTheme="minorEastAsia" w:hAnsi="Cambria Math"/>
                          <w:sz w:val="24"/>
                          <w:szCs w:val="24"/>
                        </w:rPr>
                      </m:ctrlPr>
                    </m:sSubPr>
                    <m:e>
                      <m:r>
                        <w:rPr>
                          <w:rFonts w:ascii="Cambria Math" w:eastAsiaTheme="minorEastAsia" w:hAnsi="Cambria Math"/>
                          <w:sz w:val="24"/>
                          <w:szCs w:val="24"/>
                        </w:rPr>
                        <m:t>w</m:t>
                      </m:r>
                    </m:e>
                    <m:sub>
                      <m:r>
                        <w:rPr>
                          <w:rFonts w:ascii="Cambria Math" w:eastAsiaTheme="minorEastAsia" w:hAnsi="Cambria Math"/>
                          <w:sz w:val="24"/>
                          <w:szCs w:val="24"/>
                        </w:rPr>
                        <m:t>t</m:t>
                      </m:r>
                    </m:sub>
                  </m:sSub>
                </m:e>
              </m:d>
              <m:sSub>
                <m:sSubPr>
                  <m:ctrlPr>
                    <w:rPr>
                      <w:rFonts w:ascii="Cambria Math" w:eastAsiaTheme="minorEastAsia" w:hAnsi="Cambria Math"/>
                      <w:sz w:val="24"/>
                      <w:szCs w:val="24"/>
                    </w:rPr>
                  </m:ctrlPr>
                </m:sSubPr>
                <m:e>
                  <m:r>
                    <w:rPr>
                      <w:rFonts w:ascii="Cambria Math" w:eastAsiaTheme="minorEastAsia" w:hAnsi="Cambria Math"/>
                      <w:sz w:val="24"/>
                      <w:szCs w:val="24"/>
                    </w:rPr>
                    <m:t>f</m:t>
                  </m:r>
                  <m:ctrlPr>
                    <w:rPr>
                      <w:rFonts w:ascii="Cambria Math" w:eastAsiaTheme="minorEastAsia" w:hAnsi="Cambria Math"/>
                      <w:i/>
                      <w:sz w:val="24"/>
                      <w:szCs w:val="24"/>
                    </w:rPr>
                  </m:ctrlPr>
                </m:e>
                <m:sub>
                  <m:r>
                    <w:rPr>
                      <w:rFonts w:ascii="Cambria Math" w:eastAsiaTheme="minorEastAsia" w:hAnsi="Cambria Math"/>
                      <w:sz w:val="24"/>
                      <w:szCs w:val="24"/>
                    </w:rPr>
                    <m:t>it</m:t>
                  </m:r>
                </m:sub>
              </m:sSub>
            </m:e>
          </m:nary>
          <m:r>
            <w:rPr>
              <w:rFonts w:ascii="Cambria Math" w:eastAsiaTheme="minorEastAsia" w:hAnsi="Cambria Math"/>
              <w:sz w:val="24"/>
              <w:szCs w:val="24"/>
            </w:rPr>
            <m:t xml:space="preserve">                                                     (</m:t>
          </m:r>
          <m:r>
            <m:rPr>
              <m:sty m:val="p"/>
            </m:rPr>
            <w:rPr>
              <w:rFonts w:ascii="Cambria Math" w:eastAsiaTheme="minorEastAsia" w:hAnsi="Cambria Math"/>
              <w:sz w:val="24"/>
              <w:szCs w:val="24"/>
            </w:rPr>
            <m:t>S3</m:t>
          </m:r>
          <m:r>
            <w:rPr>
              <w:rFonts w:ascii="Cambria Math" w:eastAsiaTheme="minorEastAsia" w:hAnsi="Cambria Math"/>
              <w:sz w:val="24"/>
              <w:szCs w:val="24"/>
            </w:rPr>
            <m:t>)</m:t>
          </m:r>
        </m:oMath>
      </m:oMathPara>
    </w:p>
    <w:p w14:paraId="44BDFD44" w14:textId="61621534" w:rsidR="00D82120" w:rsidRPr="00D17E9A" w:rsidRDefault="00D82120" w:rsidP="00D82120">
      <w:pPr>
        <w:spacing w:line="360" w:lineRule="auto"/>
        <w:rPr>
          <w:rFonts w:eastAsiaTheme="minorEastAsia"/>
          <w:sz w:val="24"/>
          <w:szCs w:val="24"/>
        </w:rPr>
      </w:pPr>
      <w:r w:rsidRPr="00D17E9A">
        <w:rPr>
          <w:sz w:val="24"/>
          <w:szCs w:val="24"/>
        </w:rPr>
        <w:t xml:space="preserve">where </w:t>
      </w:r>
      <m:oMath>
        <m:sSub>
          <m:sSubPr>
            <m:ctrlPr>
              <w:rPr>
                <w:rFonts w:ascii="Cambria Math" w:eastAsiaTheme="minorEastAsia" w:hAnsi="Cambria Math"/>
                <w:i/>
                <w:sz w:val="24"/>
                <w:szCs w:val="24"/>
              </w:rPr>
            </m:ctrlPr>
          </m:sSubPr>
          <m:e>
            <m:r>
              <w:rPr>
                <w:rFonts w:ascii="Cambria Math" w:eastAsiaTheme="minorEastAsia" w:hAnsi="Cambria Math"/>
                <w:sz w:val="24"/>
                <w:szCs w:val="24"/>
              </w:rPr>
              <m:t>k</m:t>
            </m:r>
          </m:e>
          <m:sub>
            <m:r>
              <w:rPr>
                <w:rFonts w:ascii="Cambria Math" w:eastAsiaTheme="minorEastAsia" w:hAnsi="Cambria Math"/>
                <w:sz w:val="24"/>
                <w:szCs w:val="24"/>
              </w:rPr>
              <m:t>t</m:t>
            </m:r>
          </m:sub>
        </m:sSub>
      </m:oMath>
      <w:r w:rsidRPr="00D17E9A">
        <w:rPr>
          <w:rFonts w:eastAsiaTheme="minorEastAsia"/>
          <w:sz w:val="24"/>
          <w:szCs w:val="24"/>
        </w:rPr>
        <w:t xml:space="preserve"> stands for purchasing costs of traps,</w:t>
      </w:r>
      <m:oMath>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l</m:t>
            </m:r>
          </m:e>
          <m:sub>
            <m:r>
              <w:rPr>
                <w:rFonts w:ascii="Cambria Math" w:eastAsiaTheme="minorEastAsia" w:hAnsi="Cambria Math"/>
                <w:sz w:val="24"/>
                <w:szCs w:val="24"/>
              </w:rPr>
              <m:t>t</m:t>
            </m:r>
          </m:sub>
        </m:sSub>
      </m:oMath>
      <w:r w:rsidRPr="00D17E9A">
        <w:rPr>
          <w:rFonts w:eastAsiaTheme="minorEastAsia"/>
          <w:sz w:val="24"/>
          <w:szCs w:val="24"/>
        </w:rPr>
        <w:t xml:space="preserve"> for purchasing costs of attractants, and </w:t>
      </w:r>
      <m:oMath>
        <m:r>
          <w:rPr>
            <w:rFonts w:ascii="Cambria Math" w:eastAsiaTheme="minorEastAsia" w:hAnsi="Cambria Math"/>
            <w:sz w:val="24"/>
            <w:szCs w:val="24"/>
          </w:rPr>
          <m:t>ϑ</m:t>
        </m:r>
      </m:oMath>
      <w:r w:rsidRPr="00D17E9A">
        <w:rPr>
          <w:rFonts w:eastAsiaTheme="minorEastAsia" w:cstheme="minorHAnsi"/>
          <w:sz w:val="24"/>
          <w:szCs w:val="24"/>
        </w:rPr>
        <w:t xml:space="preserve"> the number of trap - attractant combinations required for monitoring one-ha</w:t>
      </w:r>
      <w:r w:rsidRPr="00D17E9A">
        <w:rPr>
          <w:rFonts w:eastAsiaTheme="minorEastAsia"/>
          <w:sz w:val="24"/>
          <w:szCs w:val="24"/>
        </w:rPr>
        <w:t xml:space="preserve"> in year </w:t>
      </w:r>
      <m:oMath>
        <m:r>
          <w:rPr>
            <w:rFonts w:ascii="Cambria Math" w:eastAsiaTheme="minorEastAsia" w:hAnsi="Cambria Math"/>
            <w:sz w:val="24"/>
            <w:szCs w:val="24"/>
          </w:rPr>
          <m:t>t</m:t>
        </m:r>
      </m:oMath>
      <w:r w:rsidRPr="00D17E9A">
        <w:rPr>
          <w:rFonts w:eastAsiaTheme="minorEastAsia" w:cstheme="minorHAnsi"/>
          <w:sz w:val="24"/>
          <w:szCs w:val="24"/>
        </w:rPr>
        <w:t xml:space="preserve">. In </w:t>
      </w:r>
      <w:r w:rsidRPr="00D17E9A">
        <w:rPr>
          <w:rFonts w:eastAsiaTheme="minorEastAsia" w:cstheme="minorHAnsi"/>
          <w:sz w:val="24"/>
          <w:szCs w:val="24"/>
        </w:rPr>
        <w:lastRenderedPageBreak/>
        <w:t xml:space="preserve">addition to costs for pheromone traps, the total costs for monitoring also comprised the costs for plant-protection inspection trips throughout the year </w:t>
      </w:r>
      <w:r w:rsidR="004B1214">
        <w:rPr>
          <w:rFonts w:eastAsiaTheme="minorEastAsia" w:cstheme="minorHAnsi"/>
          <w:sz w:val="24"/>
          <w:szCs w:val="24"/>
        </w:rPr>
        <w:fldChar w:fldCharType="begin"/>
      </w:r>
      <w:r w:rsidR="005D57A8">
        <w:rPr>
          <w:rFonts w:eastAsiaTheme="minorEastAsia" w:cstheme="minorHAnsi"/>
          <w:sz w:val="24"/>
          <w:szCs w:val="24"/>
        </w:rPr>
        <w:instrText xml:space="preserve"> ADDIN ZOTERO_ITEM CSL_CITATION {"citationID":"j8wTlFw0","properties":{"formattedCitation":"(KTBL, 2022)","plainCitation":"(KTBL, 2022)","noteIndex":0},"citationItems":[{"id":284,"uris":["http://zotero.org/users/13178736/items/7NDGLJEA"],"itemData":{"id":284,"type":"book","edition":"5","event-place":"Darmstadt","publisher":"Kuratorium für Technik und Bauwesen in der Landwirtschaft e.V. (KTBL)","publisher-place":"Darmstadt","title":"Obstbau. Produktionsverfahren planen und kalkulieren","author":[{"family":"KTBL","given":""}],"issued":{"date-parts":[["2022"]]}}}],"schema":"https://github.com/citation-style-language/schema/raw/master/csl-citation.json"} </w:instrText>
      </w:r>
      <w:r w:rsidR="004B1214">
        <w:rPr>
          <w:rFonts w:eastAsiaTheme="minorEastAsia" w:cstheme="minorHAnsi"/>
          <w:sz w:val="24"/>
          <w:szCs w:val="24"/>
        </w:rPr>
        <w:fldChar w:fldCharType="separate"/>
      </w:r>
      <w:r w:rsidR="005D57A8" w:rsidRPr="005D57A8">
        <w:rPr>
          <w:rFonts w:ascii="Calibri" w:hAnsi="Calibri" w:cs="Calibri"/>
          <w:sz w:val="24"/>
        </w:rPr>
        <w:t>(KTBL, 2022)</w:t>
      </w:r>
      <w:r w:rsidR="004B1214">
        <w:rPr>
          <w:rFonts w:eastAsiaTheme="minorEastAsia" w:cstheme="minorHAnsi"/>
          <w:sz w:val="24"/>
          <w:szCs w:val="24"/>
        </w:rPr>
        <w:fldChar w:fldCharType="end"/>
      </w:r>
      <w:r w:rsidRPr="00D17E9A">
        <w:rPr>
          <w:rFonts w:eastAsiaTheme="minorEastAsia" w:cstheme="minorHAnsi"/>
          <w:sz w:val="24"/>
          <w:szCs w:val="24"/>
        </w:rPr>
        <w:t xml:space="preserve">. Given the farmers’ difficulties to keep track on the yearly frequency of these inspections, the costs for inspections were sourced from </w:t>
      </w:r>
      <w:r w:rsidRPr="00D17E9A">
        <w:rPr>
          <w:rFonts w:ascii="Calibri" w:hAnsi="Calibri" w:cs="Calibri"/>
          <w:sz w:val="24"/>
          <w:szCs w:val="24"/>
        </w:rPr>
        <w:t>KTBL (2022)</w:t>
      </w:r>
      <w:r w:rsidRPr="00D17E9A">
        <w:rPr>
          <w:rFonts w:eastAsiaTheme="minorEastAsia" w:cstheme="minorHAnsi"/>
          <w:sz w:val="24"/>
          <w:szCs w:val="24"/>
        </w:rPr>
        <w:t xml:space="preserve">, see Table </w:t>
      </w:r>
      <w:r w:rsidR="00B13F4D" w:rsidRPr="00D17E9A">
        <w:rPr>
          <w:rFonts w:eastAsiaTheme="minorEastAsia" w:cstheme="minorHAnsi"/>
          <w:sz w:val="24"/>
          <w:szCs w:val="24"/>
        </w:rPr>
        <w:t>S</w:t>
      </w:r>
      <w:r w:rsidRPr="00D17E9A">
        <w:rPr>
          <w:rFonts w:eastAsiaTheme="minorEastAsia" w:cstheme="minorHAnsi"/>
          <w:sz w:val="24"/>
          <w:szCs w:val="24"/>
        </w:rPr>
        <w:t>2</w:t>
      </w:r>
      <w:r w:rsidRPr="00D17E9A">
        <w:rPr>
          <w:rFonts w:eastAsiaTheme="minorEastAsia"/>
          <w:sz w:val="24"/>
          <w:szCs w:val="24"/>
        </w:rPr>
        <w:t>.</w:t>
      </w:r>
    </w:p>
    <w:p w14:paraId="47A9EE4C" w14:textId="09BBE113" w:rsidR="00D82120" w:rsidRPr="00D17E9A" w:rsidRDefault="002154DE" w:rsidP="00D82120">
      <w:pPr>
        <w:spacing w:line="360" w:lineRule="auto"/>
        <w:rPr>
          <w:rFonts w:eastAsiaTheme="minorEastAsia"/>
          <w:sz w:val="24"/>
          <w:szCs w:val="24"/>
        </w:rPr>
      </w:pPr>
      <w:r w:rsidRPr="00D17E9A">
        <w:rPr>
          <w:rFonts w:cstheme="minorHAnsi"/>
          <w:sz w:val="24"/>
          <w:szCs w:val="24"/>
        </w:rPr>
        <w:t xml:space="preserve">The revenues generated from conventional and organic-IPM productions were calculated using the average marketable crop yield from the 2021 and 2022 seasons in the surveyed orchards, as well as the </w:t>
      </w:r>
      <w:r w:rsidR="00C66455" w:rsidRPr="00C66455">
        <w:rPr>
          <w:rFonts w:cstheme="minorHAnsi"/>
          <w:sz w:val="24"/>
          <w:szCs w:val="24"/>
        </w:rPr>
        <w:t xml:space="preserve">producer </w:t>
      </w:r>
      <w:r w:rsidR="00C66455">
        <w:rPr>
          <w:rFonts w:cstheme="minorHAnsi"/>
          <w:sz w:val="24"/>
          <w:szCs w:val="24"/>
        </w:rPr>
        <w:t>(</w:t>
      </w:r>
      <w:r w:rsidRPr="00D17E9A">
        <w:rPr>
          <w:rFonts w:cstheme="minorHAnsi"/>
          <w:sz w:val="24"/>
          <w:szCs w:val="24"/>
        </w:rPr>
        <w:t>gross market</w:t>
      </w:r>
      <w:r w:rsidR="00C66455">
        <w:rPr>
          <w:rFonts w:cstheme="minorHAnsi"/>
          <w:sz w:val="24"/>
          <w:szCs w:val="24"/>
        </w:rPr>
        <w:t>)</w:t>
      </w:r>
      <w:r w:rsidRPr="00D17E9A">
        <w:rPr>
          <w:rFonts w:cstheme="minorHAnsi"/>
          <w:sz w:val="24"/>
          <w:szCs w:val="24"/>
        </w:rPr>
        <w:t xml:space="preserve"> prices for conventional and organic apples in 2021 </w:t>
      </w:r>
      <w:r w:rsidRPr="00D17E9A">
        <w:rPr>
          <w:rFonts w:cstheme="minorHAnsi"/>
          <w:sz w:val="24"/>
          <w:szCs w:val="24"/>
        </w:rPr>
        <w:fldChar w:fldCharType="begin"/>
      </w:r>
      <w:r w:rsidR="005D57A8">
        <w:rPr>
          <w:rFonts w:cstheme="minorHAnsi"/>
          <w:sz w:val="24"/>
          <w:szCs w:val="24"/>
        </w:rPr>
        <w:instrText xml:space="preserve"> ADDIN ZOTERO_ITEM CSL_CITATION {"citationID":"ab7tm5psfr","properties":{"formattedCitation":"(BLE, 2024; CBI, 2021)","plainCitation":"(BLE, 2024; CBI, 2021)","noteIndex":0},"citationItems":[{"id":336,"uris":["http://zotero.org/users/13178736/items/T7Z7JUFS"],"itemData":{"id":336,"type":"report","publisher":"Ministry of Foreign Affairs","title":"Entering the European market for apples","URL":"https://www.cbi.eu/market-information/fresh-fruit-vegetables/apples/market-entry","author":[{"family":"CBI","given":"Centre for the Promotion of Imports","dropping-particle":"from developing countries"}],"accessed":{"date-parts":[["2024",2,4]]},"issued":{"date-parts":[["2021"]]}}},{"id":302,"uris":["http://zotero.org/users/13178736/items/LYMUEILY"],"itemData":{"id":302,"type":"report","archive":"Archiv der Markt- und Preisberichte \"Obst und Gemüse\" Jahr 2021","publisher":"Bundesanstalt für Landwirtschaft und Ernährung","title":"Preise - Marktbeobachtung von Obst und Gemüse","URL":"https://www.bmel-statistik.de/preise/obst-und-gemuese","author":[{"family":"BLE","given":""}],"accessed":{"date-parts":[["2024",10,17]]},"issued":{"date-parts":[["2024"]]}}}],"schema":"https://github.com/citation-style-language/schema/raw/master/csl-citation.json"} </w:instrText>
      </w:r>
      <w:r w:rsidRPr="00D17E9A">
        <w:rPr>
          <w:rFonts w:cstheme="minorHAnsi"/>
          <w:sz w:val="24"/>
          <w:szCs w:val="24"/>
        </w:rPr>
        <w:fldChar w:fldCharType="separate"/>
      </w:r>
      <w:r w:rsidR="005D57A8" w:rsidRPr="005D57A8">
        <w:rPr>
          <w:rFonts w:ascii="Calibri" w:hAnsi="Calibri" w:cs="Calibri"/>
          <w:sz w:val="24"/>
        </w:rPr>
        <w:t>(BLE, 2024; CBI, 2021)</w:t>
      </w:r>
      <w:r w:rsidRPr="00D17E9A">
        <w:rPr>
          <w:rFonts w:cstheme="minorHAnsi"/>
          <w:sz w:val="24"/>
          <w:szCs w:val="24"/>
        </w:rPr>
        <w:fldChar w:fldCharType="end"/>
      </w:r>
      <w:r w:rsidRPr="00D17E9A">
        <w:rPr>
          <w:rFonts w:cstheme="minorHAnsi"/>
          <w:sz w:val="24"/>
          <w:szCs w:val="24"/>
        </w:rPr>
        <w:t xml:space="preserve">. Based on the field data, the annual average apple yield was estimated to be 55 tonnes/ha in conventional orchards and 35 tonnes/ha in organic orchards. The average </w:t>
      </w:r>
      <w:r w:rsidR="00C66455">
        <w:rPr>
          <w:rFonts w:cstheme="minorHAnsi"/>
          <w:sz w:val="24"/>
          <w:szCs w:val="24"/>
        </w:rPr>
        <w:t>producer</w:t>
      </w:r>
      <w:r w:rsidR="00C66455" w:rsidRPr="00D17E9A">
        <w:rPr>
          <w:rFonts w:cstheme="minorHAnsi"/>
          <w:sz w:val="24"/>
          <w:szCs w:val="24"/>
        </w:rPr>
        <w:t xml:space="preserve"> </w:t>
      </w:r>
      <w:r w:rsidRPr="00D17E9A">
        <w:rPr>
          <w:rFonts w:cstheme="minorHAnsi"/>
          <w:sz w:val="24"/>
          <w:szCs w:val="24"/>
        </w:rPr>
        <w:t xml:space="preserve">prices in 2021 were estimated to be €1.18/kg for conventional apples </w:t>
      </w:r>
      <w:r w:rsidRPr="00D17E9A">
        <w:rPr>
          <w:rFonts w:cstheme="minorHAnsi"/>
          <w:sz w:val="24"/>
          <w:szCs w:val="24"/>
        </w:rPr>
        <w:fldChar w:fldCharType="begin"/>
      </w:r>
      <w:r w:rsidR="005D57A8">
        <w:rPr>
          <w:rFonts w:cstheme="minorHAnsi"/>
          <w:sz w:val="24"/>
          <w:szCs w:val="24"/>
        </w:rPr>
        <w:instrText xml:space="preserve"> ADDIN ZOTERO_ITEM CSL_CITATION {"citationID":"ai55rte6mb","properties":{"formattedCitation":"(BLE, 2024)","plainCitation":"(BLE, 2024)","noteIndex":0},"citationItems":[{"id":302,"uris":["http://zotero.org/users/13178736/items/LYMUEILY"],"itemData":{"id":302,"type":"report","archive":"Archiv der Markt- und Preisberichte \"Obst und Gemüse\" Jahr 2021","publisher":"Bundesanstalt für Landwirtschaft und Ernährung","title":"Preise - Marktbeobachtung von Obst und Gemüse","URL":"https://www.bmel-statistik.de/preise/obst-und-gemuese","author":[{"family":"BLE","given":""}],"accessed":{"date-parts":[["2024",10,17]]},"issued":{"date-parts":[["2024"]]}}}],"schema":"https://github.com/citation-style-language/schema/raw/master/csl-citation.json"} </w:instrText>
      </w:r>
      <w:r w:rsidRPr="00D17E9A">
        <w:rPr>
          <w:rFonts w:cstheme="minorHAnsi"/>
          <w:sz w:val="24"/>
          <w:szCs w:val="24"/>
        </w:rPr>
        <w:fldChar w:fldCharType="separate"/>
      </w:r>
      <w:r w:rsidR="005D57A8" w:rsidRPr="005D57A8">
        <w:rPr>
          <w:rFonts w:ascii="Calibri" w:hAnsi="Calibri" w:cs="Calibri"/>
          <w:sz w:val="24"/>
        </w:rPr>
        <w:t>(BLE, 2024)</w:t>
      </w:r>
      <w:r w:rsidRPr="00D17E9A">
        <w:rPr>
          <w:rFonts w:cstheme="minorHAnsi"/>
          <w:sz w:val="24"/>
          <w:szCs w:val="24"/>
        </w:rPr>
        <w:fldChar w:fldCharType="end"/>
      </w:r>
      <w:r w:rsidRPr="00D17E9A">
        <w:rPr>
          <w:rFonts w:cstheme="minorHAnsi"/>
          <w:sz w:val="24"/>
          <w:szCs w:val="24"/>
        </w:rPr>
        <w:t xml:space="preserve"> and €2.25/ha for organic apples </w:t>
      </w:r>
      <w:r w:rsidRPr="00D17E9A">
        <w:rPr>
          <w:rFonts w:cstheme="minorHAnsi"/>
          <w:sz w:val="24"/>
          <w:szCs w:val="24"/>
        </w:rPr>
        <w:fldChar w:fldCharType="begin"/>
      </w:r>
      <w:r w:rsidR="005D57A8">
        <w:rPr>
          <w:rFonts w:cstheme="minorHAnsi"/>
          <w:sz w:val="24"/>
          <w:szCs w:val="24"/>
        </w:rPr>
        <w:instrText xml:space="preserve"> ADDIN ZOTERO_ITEM CSL_CITATION {"citationID":"a1a0toitkse","properties":{"formattedCitation":"(CBI, 2021)","plainCitation":"(CBI, 2021)","noteIndex":0},"citationItems":[{"id":336,"uris":["http://zotero.org/users/13178736/items/T7Z7JUFS"],"itemData":{"id":336,"type":"report","publisher":"Ministry of Foreign Affairs","title":"Entering the European market for apples","URL":"https://www.cbi.eu/market-information/fresh-fruit-vegetables/apples/market-entry","author":[{"family":"CBI","given":"Centre for the Promotion of Imports","dropping-particle":"from developing countries"}],"accessed":{"date-parts":[["2024",2,4]]},"issued":{"date-parts":[["2021"]]}}}],"schema":"https://github.com/citation-style-language/schema/raw/master/csl-citation.json"} </w:instrText>
      </w:r>
      <w:r w:rsidRPr="00D17E9A">
        <w:rPr>
          <w:rFonts w:cstheme="minorHAnsi"/>
          <w:sz w:val="24"/>
          <w:szCs w:val="24"/>
        </w:rPr>
        <w:fldChar w:fldCharType="separate"/>
      </w:r>
      <w:r w:rsidR="005D57A8" w:rsidRPr="005D57A8">
        <w:rPr>
          <w:rFonts w:ascii="Calibri" w:hAnsi="Calibri" w:cs="Calibri"/>
          <w:sz w:val="24"/>
        </w:rPr>
        <w:t>(CBI, 2021)</w:t>
      </w:r>
      <w:r w:rsidRPr="00D17E9A">
        <w:rPr>
          <w:rFonts w:cstheme="minorHAnsi"/>
          <w:sz w:val="24"/>
          <w:szCs w:val="24"/>
        </w:rPr>
        <w:fldChar w:fldCharType="end"/>
      </w:r>
      <w:r w:rsidRPr="00D17E9A">
        <w:rPr>
          <w:rFonts w:cstheme="minorHAnsi"/>
          <w:sz w:val="24"/>
          <w:szCs w:val="24"/>
        </w:rPr>
        <w:t>. The gross revenues were computed as</w:t>
      </w:r>
      <w:r w:rsidRPr="00D17E9A">
        <w:rPr>
          <w:sz w:val="24"/>
          <w:szCs w:val="24"/>
        </w:rPr>
        <w:t xml:space="preserve">: </w:t>
      </w:r>
      <m:oMath>
        <m:sSub>
          <m:sSubPr>
            <m:ctrlPr>
              <w:rPr>
                <w:rFonts w:ascii="Cambria Math" w:hAnsi="Cambria Math" w:cstheme="minorHAnsi"/>
                <w:i/>
                <w:sz w:val="24"/>
                <w:szCs w:val="24"/>
              </w:rPr>
            </m:ctrlPr>
          </m:sSubPr>
          <m:e>
            <m:r>
              <w:rPr>
                <w:rFonts w:ascii="Cambria Math" w:hAnsi="Cambria Math" w:cstheme="minorHAnsi"/>
                <w:sz w:val="24"/>
                <w:szCs w:val="24"/>
              </w:rPr>
              <m:t>B</m:t>
            </m:r>
          </m:e>
          <m:sub>
            <m:r>
              <w:rPr>
                <w:rFonts w:ascii="Cambria Math" w:hAnsi="Cambria Math" w:cstheme="minorHAnsi"/>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oMath>
      <w:r w:rsidRPr="00D17E9A">
        <w:rPr>
          <w:rFonts w:eastAsiaTheme="minorEastAsia"/>
          <w:sz w:val="24"/>
          <w:szCs w:val="24"/>
        </w:rPr>
        <w:t xml:space="preserve">, with </w:t>
      </w:r>
      <m:oMath>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0</m:t>
            </m:r>
          </m:sub>
        </m:sSub>
      </m:oMath>
      <w:r w:rsidRPr="00D17E9A">
        <w:rPr>
          <w:rFonts w:eastAsiaTheme="minorEastAsia"/>
          <w:sz w:val="24"/>
          <w:szCs w:val="24"/>
        </w:rPr>
        <w:t xml:space="preserve"> denoting the average yield and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oMath>
      <w:r w:rsidRPr="00D17E9A">
        <w:rPr>
          <w:rFonts w:eastAsiaTheme="minorEastAsia"/>
          <w:sz w:val="24"/>
          <w:szCs w:val="24"/>
        </w:rPr>
        <w:t xml:space="preserve"> the market price.</w:t>
      </w:r>
    </w:p>
    <w:p w14:paraId="759DC9DA" w14:textId="77777777" w:rsidR="002154DE" w:rsidRPr="00795267" w:rsidRDefault="002154DE" w:rsidP="002154DE">
      <w:pPr>
        <w:spacing w:after="0" w:line="360" w:lineRule="auto"/>
        <w:rPr>
          <w:rFonts w:eastAsiaTheme="minorEastAsia"/>
          <w:sz w:val="24"/>
          <w:szCs w:val="24"/>
        </w:rPr>
      </w:pPr>
    </w:p>
    <w:p w14:paraId="5D27B638" w14:textId="70B7AF93" w:rsidR="00D82120" w:rsidRPr="00393EE3" w:rsidRDefault="00D82120" w:rsidP="00BE0F8D">
      <w:pPr>
        <w:pStyle w:val="Caption"/>
        <w:keepNext/>
        <w:spacing w:after="0" w:line="276" w:lineRule="auto"/>
        <w:rPr>
          <w:i w:val="0"/>
          <w:color w:val="auto"/>
          <w:sz w:val="22"/>
          <w:szCs w:val="24"/>
        </w:rPr>
      </w:pPr>
      <w:bookmarkStart w:id="3" w:name="_Toc201247045"/>
      <w:r w:rsidRPr="00393EE3">
        <w:rPr>
          <w:b/>
          <w:i w:val="0"/>
          <w:color w:val="auto"/>
          <w:sz w:val="22"/>
          <w:szCs w:val="24"/>
        </w:rPr>
        <w:t xml:space="preserve">Table </w:t>
      </w:r>
      <w:r w:rsidR="00B13F4D" w:rsidRPr="00393EE3">
        <w:rPr>
          <w:b/>
          <w:i w:val="0"/>
          <w:color w:val="auto"/>
          <w:sz w:val="22"/>
          <w:szCs w:val="24"/>
        </w:rPr>
        <w:t>S</w:t>
      </w:r>
      <w:r w:rsidRPr="00393EE3">
        <w:rPr>
          <w:b/>
          <w:i w:val="0"/>
          <w:color w:val="auto"/>
          <w:sz w:val="22"/>
          <w:szCs w:val="24"/>
        </w:rPr>
        <w:fldChar w:fldCharType="begin"/>
      </w:r>
      <w:r w:rsidRPr="00393EE3">
        <w:rPr>
          <w:b/>
          <w:i w:val="0"/>
          <w:color w:val="auto"/>
          <w:sz w:val="22"/>
          <w:szCs w:val="24"/>
        </w:rPr>
        <w:instrText xml:space="preserve"> SEQ Table_C. \* ARABIC </w:instrText>
      </w:r>
      <w:r w:rsidRPr="00393EE3">
        <w:rPr>
          <w:b/>
          <w:i w:val="0"/>
          <w:color w:val="auto"/>
          <w:sz w:val="22"/>
          <w:szCs w:val="24"/>
        </w:rPr>
        <w:fldChar w:fldCharType="separate"/>
      </w:r>
      <w:r w:rsidRPr="00393EE3">
        <w:rPr>
          <w:b/>
          <w:i w:val="0"/>
          <w:noProof/>
          <w:color w:val="auto"/>
          <w:sz w:val="22"/>
          <w:szCs w:val="24"/>
        </w:rPr>
        <w:t>2</w:t>
      </w:r>
      <w:r w:rsidRPr="00393EE3">
        <w:rPr>
          <w:b/>
          <w:i w:val="0"/>
          <w:color w:val="auto"/>
          <w:sz w:val="22"/>
          <w:szCs w:val="24"/>
        </w:rPr>
        <w:fldChar w:fldCharType="end"/>
      </w:r>
      <w:r w:rsidRPr="00393EE3">
        <w:rPr>
          <w:b/>
          <w:i w:val="0"/>
          <w:color w:val="auto"/>
          <w:sz w:val="22"/>
          <w:szCs w:val="24"/>
        </w:rPr>
        <w:t>.</w:t>
      </w:r>
      <w:r w:rsidRPr="00393EE3">
        <w:rPr>
          <w:i w:val="0"/>
          <w:color w:val="auto"/>
          <w:sz w:val="22"/>
          <w:szCs w:val="24"/>
        </w:rPr>
        <w:t xml:space="preserve"> Overview of parameters used for calculating production costs.</w:t>
      </w:r>
      <w:bookmarkEnd w:id="3"/>
    </w:p>
    <w:tbl>
      <w:tblPr>
        <w:tblStyle w:val="PlainTable2"/>
        <w:tblW w:w="0" w:type="auto"/>
        <w:tblLook w:val="01A0" w:firstRow="1" w:lastRow="0" w:firstColumn="1" w:lastColumn="1" w:noHBand="0" w:noVBand="0"/>
      </w:tblPr>
      <w:tblGrid>
        <w:gridCol w:w="3261"/>
        <w:gridCol w:w="3260"/>
        <w:gridCol w:w="2541"/>
      </w:tblGrid>
      <w:tr w:rsidR="00D82120" w:rsidRPr="00D17E9A" w14:paraId="0C10353E" w14:textId="77777777" w:rsidTr="00A81C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12" w:space="0" w:color="auto"/>
              <w:bottom w:val="single" w:sz="12" w:space="0" w:color="auto"/>
            </w:tcBorders>
          </w:tcPr>
          <w:p w14:paraId="57866FAA" w14:textId="77777777" w:rsidR="00D82120" w:rsidRPr="00D17E9A" w:rsidRDefault="00D82120" w:rsidP="00A81CBC">
            <w:pPr>
              <w:spacing w:line="360" w:lineRule="auto"/>
              <w:rPr>
                <w:sz w:val="24"/>
                <w:szCs w:val="24"/>
              </w:rPr>
            </w:pPr>
            <w:r w:rsidRPr="00D17E9A">
              <w:rPr>
                <w:sz w:val="24"/>
                <w:szCs w:val="24"/>
              </w:rPr>
              <w:t>Parameter</w:t>
            </w:r>
          </w:p>
        </w:tc>
        <w:tc>
          <w:tcPr>
            <w:cnfStyle w:val="000010000000" w:firstRow="0" w:lastRow="0" w:firstColumn="0" w:lastColumn="0" w:oddVBand="1" w:evenVBand="0" w:oddHBand="0" w:evenHBand="0" w:firstRowFirstColumn="0" w:firstRowLastColumn="0" w:lastRowFirstColumn="0" w:lastRowLastColumn="0"/>
            <w:tcW w:w="3260" w:type="dxa"/>
            <w:tcBorders>
              <w:top w:val="single" w:sz="12" w:space="0" w:color="auto"/>
              <w:bottom w:val="single" w:sz="12" w:space="0" w:color="auto"/>
            </w:tcBorders>
          </w:tcPr>
          <w:p w14:paraId="5B76A71F" w14:textId="77777777" w:rsidR="00D82120" w:rsidRPr="00D17E9A" w:rsidRDefault="00D82120" w:rsidP="00A81CBC">
            <w:pPr>
              <w:spacing w:line="360" w:lineRule="auto"/>
              <w:rPr>
                <w:sz w:val="24"/>
                <w:szCs w:val="24"/>
                <w:vertAlign w:val="superscript"/>
              </w:rPr>
            </w:pPr>
            <w:r w:rsidRPr="00D17E9A">
              <w:rPr>
                <w:sz w:val="24"/>
                <w:szCs w:val="24"/>
              </w:rPr>
              <w:t xml:space="preserve">Values </w:t>
            </w:r>
            <w:r w:rsidRPr="00D17E9A">
              <w:rPr>
                <w:sz w:val="24"/>
                <w:szCs w:val="24"/>
                <w:vertAlign w:val="superscript"/>
              </w:rPr>
              <w:t>a</w:t>
            </w:r>
          </w:p>
        </w:tc>
        <w:tc>
          <w:tcPr>
            <w:cnfStyle w:val="000100000000" w:firstRow="0" w:lastRow="0" w:firstColumn="0" w:lastColumn="1" w:oddVBand="0" w:evenVBand="0" w:oddHBand="0" w:evenHBand="0" w:firstRowFirstColumn="0" w:firstRowLastColumn="0" w:lastRowFirstColumn="0" w:lastRowLastColumn="0"/>
            <w:tcW w:w="2541" w:type="dxa"/>
            <w:tcBorders>
              <w:top w:val="single" w:sz="12" w:space="0" w:color="auto"/>
              <w:bottom w:val="single" w:sz="12" w:space="0" w:color="auto"/>
            </w:tcBorders>
          </w:tcPr>
          <w:p w14:paraId="71F62C59" w14:textId="77777777" w:rsidR="00D82120" w:rsidRPr="00D17E9A" w:rsidRDefault="00D82120" w:rsidP="00A81CBC">
            <w:pPr>
              <w:spacing w:line="360" w:lineRule="auto"/>
              <w:rPr>
                <w:sz w:val="24"/>
                <w:szCs w:val="24"/>
              </w:rPr>
            </w:pPr>
            <w:r w:rsidRPr="00D17E9A">
              <w:rPr>
                <w:sz w:val="24"/>
                <w:szCs w:val="24"/>
              </w:rPr>
              <w:t>Supporting data</w:t>
            </w:r>
          </w:p>
        </w:tc>
      </w:tr>
      <w:tr w:rsidR="00D82120" w:rsidRPr="00D17E9A" w14:paraId="58D3DE44"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12" w:space="0" w:color="auto"/>
            </w:tcBorders>
          </w:tcPr>
          <w:p w14:paraId="64D73602" w14:textId="77777777" w:rsidR="00D82120" w:rsidRPr="00D17E9A" w:rsidRDefault="00D82120" w:rsidP="00A81CBC">
            <w:pPr>
              <w:spacing w:line="360" w:lineRule="auto"/>
              <w:rPr>
                <w:b w:val="0"/>
                <w:sz w:val="24"/>
                <w:szCs w:val="24"/>
              </w:rPr>
            </w:pPr>
            <w:r w:rsidRPr="00D17E9A">
              <w:rPr>
                <w:rFonts w:eastAsiaTheme="minorEastAsia"/>
                <w:b w:val="0"/>
                <w:sz w:val="24"/>
                <w:szCs w:val="24"/>
              </w:rPr>
              <w:t xml:space="preserve"> Machinery variable costs (</w:t>
            </w:r>
            <m:oMath>
              <m:sSub>
                <m:sSubPr>
                  <m:ctrlPr>
                    <w:rPr>
                      <w:rFonts w:ascii="Cambria Math" w:hAnsi="Cambria Math"/>
                      <w:b w:val="0"/>
                      <w:i/>
                      <w:sz w:val="24"/>
                      <w:szCs w:val="24"/>
                    </w:rPr>
                  </m:ctrlPr>
                </m:sSubPr>
                <m:e>
                  <m:r>
                    <m:rPr>
                      <m:sty m:val="bi"/>
                    </m:rPr>
                    <w:rPr>
                      <w:rFonts w:ascii="Cambria Math" w:hAnsi="Cambria Math"/>
                      <w:sz w:val="24"/>
                      <w:szCs w:val="24"/>
                    </w:rPr>
                    <m:t>φ</m:t>
                  </m:r>
                </m:e>
                <m:sub>
                  <m:r>
                    <m:rPr>
                      <m:sty m:val="bi"/>
                    </m:rPr>
                    <w:rPr>
                      <w:rFonts w:ascii="Cambria Math" w:hAnsi="Cambria Math"/>
                      <w:sz w:val="24"/>
                      <w:szCs w:val="24"/>
                    </w:rPr>
                    <m:t>t</m:t>
                  </m:r>
                </m:sub>
              </m:sSub>
            </m:oMath>
            <w:r w:rsidRPr="00D17E9A">
              <w:rPr>
                <w:rFonts w:eastAsiaTheme="minorEastAsia"/>
                <w:b w:val="0"/>
                <w:sz w:val="24"/>
                <w:szCs w:val="24"/>
              </w:rPr>
              <w:t>)</w:t>
            </w:r>
          </w:p>
        </w:tc>
        <w:tc>
          <w:tcPr>
            <w:cnfStyle w:val="000010000000" w:firstRow="0" w:lastRow="0" w:firstColumn="0" w:lastColumn="0" w:oddVBand="1" w:evenVBand="0" w:oddHBand="0" w:evenHBand="0" w:firstRowFirstColumn="0" w:firstRowLastColumn="0" w:lastRowFirstColumn="0" w:lastRowLastColumn="0"/>
            <w:tcW w:w="3260" w:type="dxa"/>
            <w:tcBorders>
              <w:top w:val="single" w:sz="12" w:space="0" w:color="auto"/>
            </w:tcBorders>
          </w:tcPr>
          <w:p w14:paraId="2F3FC431" w14:textId="77777777" w:rsidR="00D82120" w:rsidRPr="00D17E9A" w:rsidRDefault="00D82120" w:rsidP="00A81CBC">
            <w:pPr>
              <w:spacing w:line="360" w:lineRule="auto"/>
              <w:rPr>
                <w:sz w:val="24"/>
                <w:szCs w:val="24"/>
              </w:rPr>
            </w:pPr>
            <w:r w:rsidRPr="00D17E9A">
              <w:rPr>
                <w:sz w:val="24"/>
                <w:szCs w:val="24"/>
              </w:rPr>
              <w:t>€(0.25, 0.90, 2.0, 2.40, 2.90, 5.20)</w:t>
            </w:r>
          </w:p>
        </w:tc>
        <w:tc>
          <w:tcPr>
            <w:cnfStyle w:val="000100000000" w:firstRow="0" w:lastRow="0" w:firstColumn="0" w:lastColumn="1" w:oddVBand="0" w:evenVBand="0" w:oddHBand="0" w:evenHBand="0" w:firstRowFirstColumn="0" w:firstRowLastColumn="0" w:lastRowFirstColumn="0" w:lastRowLastColumn="0"/>
            <w:tcW w:w="2541" w:type="dxa"/>
            <w:tcBorders>
              <w:top w:val="single" w:sz="12" w:space="0" w:color="auto"/>
            </w:tcBorders>
          </w:tcPr>
          <w:p w14:paraId="3C5660FF" w14:textId="1DDFDB45" w:rsidR="00D82120" w:rsidRPr="00D17E9A" w:rsidRDefault="00D82120" w:rsidP="00A81CBC">
            <w:pPr>
              <w:spacing w:line="360" w:lineRule="auto"/>
              <w:rPr>
                <w:b w:val="0"/>
                <w:sz w:val="24"/>
                <w:szCs w:val="24"/>
              </w:rPr>
            </w:pPr>
            <w:r w:rsidRPr="00D17E9A">
              <w:rPr>
                <w:rFonts w:ascii="Calibri" w:hAnsi="Calibri" w:cs="Calibri"/>
                <w:b w:val="0"/>
                <w:sz w:val="24"/>
                <w:szCs w:val="24"/>
              </w:rPr>
              <w:t>(KTBL</w:t>
            </w:r>
            <w:r w:rsidR="00EB4E9B">
              <w:rPr>
                <w:rFonts w:ascii="Calibri" w:hAnsi="Calibri" w:cs="Calibri"/>
                <w:b w:val="0"/>
                <w:sz w:val="24"/>
                <w:szCs w:val="24"/>
              </w:rPr>
              <w:t>,</w:t>
            </w:r>
            <w:r w:rsidRPr="00D17E9A">
              <w:rPr>
                <w:rFonts w:ascii="Calibri" w:hAnsi="Calibri" w:cs="Calibri"/>
                <w:b w:val="0"/>
                <w:sz w:val="24"/>
                <w:szCs w:val="24"/>
              </w:rPr>
              <w:t xml:space="preserve"> 2022)</w:t>
            </w:r>
          </w:p>
        </w:tc>
      </w:tr>
      <w:tr w:rsidR="00D82120" w:rsidRPr="00D17E9A" w14:paraId="5CB049A2" w14:textId="77777777" w:rsidTr="00A81CBC">
        <w:tc>
          <w:tcPr>
            <w:cnfStyle w:val="001000000000" w:firstRow="0" w:lastRow="0" w:firstColumn="1" w:lastColumn="0" w:oddVBand="0" w:evenVBand="0" w:oddHBand="0" w:evenHBand="0" w:firstRowFirstColumn="0" w:firstRowLastColumn="0" w:lastRowFirstColumn="0" w:lastRowLastColumn="0"/>
            <w:tcW w:w="3261" w:type="dxa"/>
          </w:tcPr>
          <w:p w14:paraId="5302C96B" w14:textId="77777777" w:rsidR="00D82120" w:rsidRPr="00D17E9A" w:rsidRDefault="00D82120" w:rsidP="00A81CBC">
            <w:pPr>
              <w:spacing w:line="360" w:lineRule="auto"/>
              <w:rPr>
                <w:b w:val="0"/>
                <w:sz w:val="24"/>
                <w:szCs w:val="24"/>
              </w:rPr>
            </w:pPr>
            <w:r w:rsidRPr="00D17E9A">
              <w:rPr>
                <w:b w:val="0"/>
                <w:sz w:val="24"/>
                <w:szCs w:val="24"/>
              </w:rPr>
              <w:t>Labour hours (</w:t>
            </w:r>
            <m:oMath>
              <m:sSub>
                <m:sSubPr>
                  <m:ctrlPr>
                    <w:rPr>
                      <w:rFonts w:ascii="Cambria Math" w:hAnsi="Cambria Math"/>
                      <w:b w:val="0"/>
                      <w:i/>
                      <w:sz w:val="24"/>
                      <w:szCs w:val="24"/>
                    </w:rPr>
                  </m:ctrlPr>
                </m:sSubPr>
                <m:e>
                  <m:r>
                    <m:rPr>
                      <m:sty m:val="bi"/>
                    </m:rPr>
                    <w:rPr>
                      <w:rFonts w:ascii="Cambria Math" w:hAnsi="Cambria Math"/>
                      <w:sz w:val="24"/>
                      <w:szCs w:val="24"/>
                    </w:rPr>
                    <m:t>hr</m:t>
                  </m:r>
                </m:e>
                <m:sub>
                  <m:r>
                    <m:rPr>
                      <m:sty m:val="bi"/>
                    </m:rPr>
                    <w:rPr>
                      <w:rFonts w:ascii="Cambria Math" w:hAnsi="Cambria Math"/>
                      <w:sz w:val="24"/>
                      <w:szCs w:val="24"/>
                    </w:rPr>
                    <m:t>xt</m:t>
                  </m:r>
                </m:sub>
              </m:sSub>
              <m:r>
                <m:rPr>
                  <m:sty m:val="bi"/>
                </m:rPr>
                <w:rPr>
                  <w:rFonts w:ascii="Cambria Math" w:hAnsi="Cambria Math"/>
                  <w:sz w:val="24"/>
                  <w:szCs w:val="24"/>
                </w:rPr>
                <m:t>)</m:t>
              </m:r>
            </m:oMath>
          </w:p>
        </w:tc>
        <w:tc>
          <w:tcPr>
            <w:cnfStyle w:val="000010000000" w:firstRow="0" w:lastRow="0" w:firstColumn="0" w:lastColumn="0" w:oddVBand="1" w:evenVBand="0" w:oddHBand="0" w:evenHBand="0" w:firstRowFirstColumn="0" w:firstRowLastColumn="0" w:lastRowFirstColumn="0" w:lastRowLastColumn="0"/>
            <w:tcW w:w="3260" w:type="dxa"/>
          </w:tcPr>
          <w:p w14:paraId="2CF5EB3C" w14:textId="77777777" w:rsidR="00D82120" w:rsidRPr="00D17E9A" w:rsidRDefault="00D82120" w:rsidP="00A81CBC">
            <w:pPr>
              <w:spacing w:line="360" w:lineRule="auto"/>
              <w:rPr>
                <w:sz w:val="24"/>
                <w:szCs w:val="24"/>
              </w:rPr>
            </w:pPr>
            <w:r w:rsidRPr="00D17E9A">
              <w:rPr>
                <w:sz w:val="24"/>
                <w:szCs w:val="24"/>
              </w:rPr>
              <w:t>0.35, 0.42, 0.80, 2.0, 2.10, 2.50</w:t>
            </w:r>
          </w:p>
        </w:tc>
        <w:tc>
          <w:tcPr>
            <w:cnfStyle w:val="000100000000" w:firstRow="0" w:lastRow="0" w:firstColumn="0" w:lastColumn="1" w:oddVBand="0" w:evenVBand="0" w:oddHBand="0" w:evenHBand="0" w:firstRowFirstColumn="0" w:firstRowLastColumn="0" w:lastRowFirstColumn="0" w:lastRowLastColumn="0"/>
            <w:tcW w:w="2541" w:type="dxa"/>
          </w:tcPr>
          <w:p w14:paraId="714E1CB5" w14:textId="538F676E" w:rsidR="00D82120" w:rsidRPr="00D17E9A" w:rsidRDefault="00D82120" w:rsidP="00A81CBC">
            <w:pPr>
              <w:spacing w:line="360" w:lineRule="auto"/>
              <w:rPr>
                <w:b w:val="0"/>
                <w:sz w:val="24"/>
                <w:szCs w:val="24"/>
              </w:rPr>
            </w:pPr>
            <w:r w:rsidRPr="00D17E9A">
              <w:rPr>
                <w:b w:val="0"/>
                <w:sz w:val="24"/>
                <w:szCs w:val="24"/>
              </w:rPr>
              <w:t xml:space="preserve">Field data, </w:t>
            </w:r>
            <w:r w:rsidRPr="00D17E9A">
              <w:rPr>
                <w:rFonts w:ascii="Calibri" w:hAnsi="Calibri" w:cs="Calibri"/>
                <w:b w:val="0"/>
                <w:sz w:val="24"/>
                <w:szCs w:val="24"/>
              </w:rPr>
              <w:t>(KTBL</w:t>
            </w:r>
            <w:r w:rsidR="00EB4E9B">
              <w:rPr>
                <w:rFonts w:ascii="Calibri" w:hAnsi="Calibri" w:cs="Calibri"/>
                <w:b w:val="0"/>
                <w:sz w:val="24"/>
                <w:szCs w:val="24"/>
              </w:rPr>
              <w:t>,</w:t>
            </w:r>
            <w:r w:rsidRPr="00D17E9A">
              <w:rPr>
                <w:rFonts w:ascii="Calibri" w:hAnsi="Calibri" w:cs="Calibri"/>
                <w:b w:val="0"/>
                <w:sz w:val="24"/>
                <w:szCs w:val="24"/>
              </w:rPr>
              <w:t xml:space="preserve"> 2022)</w:t>
            </w:r>
          </w:p>
        </w:tc>
      </w:tr>
      <w:tr w:rsidR="00D82120" w:rsidRPr="00D17E9A" w14:paraId="5E7D9005"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14:paraId="7205ABAF" w14:textId="77777777" w:rsidR="00D82120" w:rsidRPr="00D17E9A" w:rsidRDefault="00D82120" w:rsidP="00A81CBC">
            <w:pPr>
              <w:spacing w:line="360" w:lineRule="auto"/>
              <w:rPr>
                <w:b w:val="0"/>
                <w:sz w:val="24"/>
                <w:szCs w:val="24"/>
                <w:vertAlign w:val="superscript"/>
              </w:rPr>
            </w:pPr>
            <w:r w:rsidRPr="00D17E9A">
              <w:rPr>
                <w:rFonts w:eastAsiaTheme="minorEastAsia"/>
                <w:b w:val="0"/>
                <w:sz w:val="24"/>
                <w:szCs w:val="24"/>
              </w:rPr>
              <w:t xml:space="preserve">Price of diesel/litre </w:t>
            </w:r>
            <m:oMath>
              <m:r>
                <m:rPr>
                  <m:sty m:val="bi"/>
                </m:rPr>
                <w:rPr>
                  <w:rFonts w:ascii="Cambria Math" w:hAnsi="Cambria Math"/>
                  <w:sz w:val="24"/>
                  <w:szCs w:val="24"/>
                </w:rPr>
                <m:t>(</m:t>
              </m:r>
              <m:sSub>
                <m:sSubPr>
                  <m:ctrlPr>
                    <w:rPr>
                      <w:rFonts w:ascii="Cambria Math" w:hAnsi="Cambria Math"/>
                      <w:b w:val="0"/>
                      <w:i/>
                      <w:sz w:val="24"/>
                      <w:szCs w:val="24"/>
                    </w:rPr>
                  </m:ctrlPr>
                </m:sSubPr>
                <m:e>
                  <m:r>
                    <m:rPr>
                      <m:sty m:val="bi"/>
                    </m:rPr>
                    <w:rPr>
                      <w:rFonts w:ascii="Cambria Math" w:hAnsi="Cambria Math"/>
                      <w:sz w:val="24"/>
                      <w:szCs w:val="24"/>
                    </w:rPr>
                    <m:t>pd</m:t>
                  </m:r>
                </m:e>
                <m:sub>
                  <m:r>
                    <m:rPr>
                      <m:sty m:val="bi"/>
                    </m:rPr>
                    <w:rPr>
                      <w:rFonts w:ascii="Cambria Math" w:hAnsi="Cambria Math"/>
                      <w:sz w:val="24"/>
                      <w:szCs w:val="24"/>
                    </w:rPr>
                    <m:t>t</m:t>
                  </m:r>
                </m:sub>
              </m:sSub>
            </m:oMath>
            <w:r w:rsidRPr="00D17E9A">
              <w:rPr>
                <w:rFonts w:eastAsiaTheme="minorEastAsia"/>
                <w:b w:val="0"/>
                <w:sz w:val="24"/>
                <w:szCs w:val="24"/>
              </w:rPr>
              <w:t xml:space="preserve">) </w:t>
            </w:r>
            <w:r w:rsidRPr="00D17E9A">
              <w:rPr>
                <w:rFonts w:eastAsiaTheme="minorEastAsia"/>
                <w:b w:val="0"/>
                <w:sz w:val="24"/>
                <w:szCs w:val="24"/>
                <w:vertAlign w:val="superscript"/>
              </w:rPr>
              <w:t>b</w:t>
            </w:r>
          </w:p>
        </w:tc>
        <w:tc>
          <w:tcPr>
            <w:cnfStyle w:val="000010000000" w:firstRow="0" w:lastRow="0" w:firstColumn="0" w:lastColumn="0" w:oddVBand="1" w:evenVBand="0" w:oddHBand="0" w:evenHBand="0" w:firstRowFirstColumn="0" w:firstRowLastColumn="0" w:lastRowFirstColumn="0" w:lastRowLastColumn="0"/>
            <w:tcW w:w="3260" w:type="dxa"/>
          </w:tcPr>
          <w:p w14:paraId="5E983EA0" w14:textId="77777777" w:rsidR="00D82120" w:rsidRPr="00D17E9A" w:rsidRDefault="00D82120" w:rsidP="00A81CBC">
            <w:pPr>
              <w:spacing w:line="360" w:lineRule="auto"/>
              <w:rPr>
                <w:sz w:val="24"/>
                <w:szCs w:val="24"/>
              </w:rPr>
            </w:pPr>
            <w:r w:rsidRPr="00D17E9A">
              <w:rPr>
                <w:sz w:val="24"/>
                <w:szCs w:val="24"/>
              </w:rPr>
              <w:t>€0.80</w:t>
            </w:r>
          </w:p>
        </w:tc>
        <w:tc>
          <w:tcPr>
            <w:cnfStyle w:val="000100000000" w:firstRow="0" w:lastRow="0" w:firstColumn="0" w:lastColumn="1" w:oddVBand="0" w:evenVBand="0" w:oddHBand="0" w:evenHBand="0" w:firstRowFirstColumn="0" w:firstRowLastColumn="0" w:lastRowFirstColumn="0" w:lastRowLastColumn="0"/>
            <w:tcW w:w="2541" w:type="dxa"/>
          </w:tcPr>
          <w:p w14:paraId="11A76941" w14:textId="6A559B27" w:rsidR="00D82120" w:rsidRPr="00D17E9A" w:rsidRDefault="00D82120" w:rsidP="00A81CBC">
            <w:pPr>
              <w:spacing w:line="360" w:lineRule="auto"/>
              <w:rPr>
                <w:b w:val="0"/>
                <w:sz w:val="24"/>
                <w:szCs w:val="24"/>
              </w:rPr>
            </w:pPr>
            <w:r w:rsidRPr="00D17E9A">
              <w:rPr>
                <w:rFonts w:ascii="Calibri" w:hAnsi="Calibri" w:cs="Calibri"/>
                <w:b w:val="0"/>
                <w:sz w:val="24"/>
                <w:szCs w:val="24"/>
              </w:rPr>
              <w:t>(KTBL</w:t>
            </w:r>
            <w:r w:rsidR="00EB4E9B">
              <w:rPr>
                <w:rFonts w:ascii="Calibri" w:hAnsi="Calibri" w:cs="Calibri"/>
                <w:b w:val="0"/>
                <w:sz w:val="24"/>
                <w:szCs w:val="24"/>
              </w:rPr>
              <w:t>,</w:t>
            </w:r>
            <w:r w:rsidRPr="00D17E9A">
              <w:rPr>
                <w:rFonts w:ascii="Calibri" w:hAnsi="Calibri" w:cs="Calibri"/>
                <w:b w:val="0"/>
                <w:sz w:val="24"/>
                <w:szCs w:val="24"/>
              </w:rPr>
              <w:t xml:space="preserve"> 2022)</w:t>
            </w:r>
          </w:p>
        </w:tc>
      </w:tr>
      <w:tr w:rsidR="00D82120" w:rsidRPr="00D17E9A" w14:paraId="29BAF397" w14:textId="77777777" w:rsidTr="00A81CBC">
        <w:tc>
          <w:tcPr>
            <w:cnfStyle w:val="001000000000" w:firstRow="0" w:lastRow="0" w:firstColumn="1" w:lastColumn="0" w:oddVBand="0" w:evenVBand="0" w:oddHBand="0" w:evenHBand="0" w:firstRowFirstColumn="0" w:firstRowLastColumn="0" w:lastRowFirstColumn="0" w:lastRowLastColumn="0"/>
            <w:tcW w:w="3261" w:type="dxa"/>
          </w:tcPr>
          <w:p w14:paraId="120AEC81" w14:textId="77777777" w:rsidR="00D82120" w:rsidRPr="00D17E9A" w:rsidRDefault="00D82120" w:rsidP="00A81CBC">
            <w:pPr>
              <w:spacing w:line="360" w:lineRule="auto"/>
              <w:rPr>
                <w:b w:val="0"/>
                <w:sz w:val="24"/>
                <w:szCs w:val="24"/>
              </w:rPr>
            </w:pPr>
            <w:r w:rsidRPr="00D17E9A">
              <w:rPr>
                <w:b w:val="0"/>
                <w:sz w:val="24"/>
                <w:szCs w:val="24"/>
              </w:rPr>
              <w:t>Tractor diesel/litre (</w:t>
            </w:r>
            <m:oMath>
              <m:r>
                <m:rPr>
                  <m:sty m:val="bi"/>
                </m:rPr>
                <w:rPr>
                  <w:rFonts w:ascii="Cambria Math" w:hAnsi="Cambria Math"/>
                  <w:sz w:val="24"/>
                  <w:szCs w:val="24"/>
                </w:rPr>
                <m:t>td)</m:t>
              </m:r>
            </m:oMath>
          </w:p>
        </w:tc>
        <w:tc>
          <w:tcPr>
            <w:cnfStyle w:val="000010000000" w:firstRow="0" w:lastRow="0" w:firstColumn="0" w:lastColumn="0" w:oddVBand="1" w:evenVBand="0" w:oddHBand="0" w:evenHBand="0" w:firstRowFirstColumn="0" w:firstRowLastColumn="0" w:lastRowFirstColumn="0" w:lastRowLastColumn="0"/>
            <w:tcW w:w="3260" w:type="dxa"/>
          </w:tcPr>
          <w:p w14:paraId="481FDECA" w14:textId="77777777" w:rsidR="00D82120" w:rsidRPr="00D17E9A" w:rsidRDefault="00D82120" w:rsidP="00A81CBC">
            <w:pPr>
              <w:spacing w:line="360" w:lineRule="auto"/>
              <w:rPr>
                <w:sz w:val="24"/>
                <w:szCs w:val="24"/>
              </w:rPr>
            </w:pPr>
            <w:r w:rsidRPr="00D17E9A">
              <w:rPr>
                <w:sz w:val="24"/>
                <w:szCs w:val="24"/>
              </w:rPr>
              <w:t>6.30</w:t>
            </w:r>
          </w:p>
        </w:tc>
        <w:tc>
          <w:tcPr>
            <w:cnfStyle w:val="000100000000" w:firstRow="0" w:lastRow="0" w:firstColumn="0" w:lastColumn="1" w:oddVBand="0" w:evenVBand="0" w:oddHBand="0" w:evenHBand="0" w:firstRowFirstColumn="0" w:firstRowLastColumn="0" w:lastRowFirstColumn="0" w:lastRowLastColumn="0"/>
            <w:tcW w:w="2541" w:type="dxa"/>
          </w:tcPr>
          <w:p w14:paraId="09B2C1A1" w14:textId="1B35F7A1" w:rsidR="00D82120" w:rsidRPr="00D17E9A" w:rsidRDefault="00D82120" w:rsidP="00A81CBC">
            <w:pPr>
              <w:spacing w:line="360" w:lineRule="auto"/>
              <w:rPr>
                <w:b w:val="0"/>
                <w:sz w:val="24"/>
                <w:szCs w:val="24"/>
              </w:rPr>
            </w:pPr>
            <w:r w:rsidRPr="00D17E9A">
              <w:rPr>
                <w:rFonts w:ascii="Calibri" w:hAnsi="Calibri" w:cs="Calibri"/>
                <w:b w:val="0"/>
                <w:sz w:val="24"/>
                <w:szCs w:val="24"/>
              </w:rPr>
              <w:t>(KTBL</w:t>
            </w:r>
            <w:r w:rsidR="00EB4E9B">
              <w:rPr>
                <w:rFonts w:ascii="Calibri" w:hAnsi="Calibri" w:cs="Calibri"/>
                <w:b w:val="0"/>
                <w:sz w:val="24"/>
                <w:szCs w:val="24"/>
              </w:rPr>
              <w:t>,</w:t>
            </w:r>
            <w:r w:rsidRPr="00D17E9A">
              <w:rPr>
                <w:rFonts w:ascii="Calibri" w:hAnsi="Calibri" w:cs="Calibri"/>
                <w:b w:val="0"/>
                <w:sz w:val="24"/>
                <w:szCs w:val="24"/>
              </w:rPr>
              <w:t xml:space="preserve"> 2022)</w:t>
            </w:r>
          </w:p>
        </w:tc>
      </w:tr>
      <w:tr w:rsidR="00D82120" w:rsidRPr="00D17E9A" w14:paraId="1343DB45"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14:paraId="041FA0E1" w14:textId="77777777" w:rsidR="00D82120" w:rsidRPr="00D17E9A" w:rsidRDefault="00D82120" w:rsidP="00A81CBC">
            <w:pPr>
              <w:spacing w:line="360" w:lineRule="auto"/>
              <w:rPr>
                <w:b w:val="0"/>
                <w:sz w:val="24"/>
                <w:szCs w:val="24"/>
              </w:rPr>
            </w:pPr>
            <w:r w:rsidRPr="00D17E9A">
              <w:rPr>
                <w:b w:val="0"/>
                <w:sz w:val="24"/>
                <w:szCs w:val="24"/>
              </w:rPr>
              <w:t>Wage per hour (</w:t>
            </w:r>
            <m:oMath>
              <m:r>
                <m:rPr>
                  <m:sty m:val="bi"/>
                </m:rPr>
                <w:rPr>
                  <w:rFonts w:ascii="Cambria Math" w:hAnsi="Cambria Math"/>
                  <w:sz w:val="24"/>
                  <w:szCs w:val="24"/>
                </w:rPr>
                <m:t>wg)</m:t>
              </m:r>
            </m:oMath>
          </w:p>
        </w:tc>
        <w:tc>
          <w:tcPr>
            <w:cnfStyle w:val="000010000000" w:firstRow="0" w:lastRow="0" w:firstColumn="0" w:lastColumn="0" w:oddVBand="1" w:evenVBand="0" w:oddHBand="0" w:evenHBand="0" w:firstRowFirstColumn="0" w:firstRowLastColumn="0" w:lastRowFirstColumn="0" w:lastRowLastColumn="0"/>
            <w:tcW w:w="3260" w:type="dxa"/>
          </w:tcPr>
          <w:p w14:paraId="4C6B93FB" w14:textId="77777777" w:rsidR="00D82120" w:rsidRPr="00D17E9A" w:rsidRDefault="00D82120" w:rsidP="00A81CBC">
            <w:pPr>
              <w:spacing w:line="360" w:lineRule="auto"/>
              <w:rPr>
                <w:sz w:val="24"/>
                <w:szCs w:val="24"/>
              </w:rPr>
            </w:pPr>
            <w:r w:rsidRPr="00D17E9A">
              <w:rPr>
                <w:sz w:val="24"/>
                <w:szCs w:val="24"/>
              </w:rPr>
              <w:t>€13.28</w:t>
            </w:r>
          </w:p>
        </w:tc>
        <w:tc>
          <w:tcPr>
            <w:cnfStyle w:val="000100000000" w:firstRow="0" w:lastRow="0" w:firstColumn="0" w:lastColumn="1" w:oddVBand="0" w:evenVBand="0" w:oddHBand="0" w:evenHBand="0" w:firstRowFirstColumn="0" w:firstRowLastColumn="0" w:lastRowFirstColumn="0" w:lastRowLastColumn="0"/>
            <w:tcW w:w="2541" w:type="dxa"/>
          </w:tcPr>
          <w:p w14:paraId="5618DF85" w14:textId="7BA01E1E" w:rsidR="00D82120" w:rsidRPr="00D17E9A" w:rsidRDefault="00D82120" w:rsidP="00A81CBC">
            <w:pPr>
              <w:spacing w:line="360" w:lineRule="auto"/>
              <w:rPr>
                <w:b w:val="0"/>
                <w:sz w:val="24"/>
                <w:szCs w:val="24"/>
              </w:rPr>
            </w:pPr>
            <w:r w:rsidRPr="00D17E9A">
              <w:rPr>
                <w:rFonts w:ascii="Calibri" w:hAnsi="Calibri" w:cs="Calibri"/>
                <w:b w:val="0"/>
                <w:sz w:val="24"/>
                <w:szCs w:val="24"/>
              </w:rPr>
              <w:t>(KTBL</w:t>
            </w:r>
            <w:r w:rsidR="00EB4E9B">
              <w:rPr>
                <w:rFonts w:ascii="Calibri" w:hAnsi="Calibri" w:cs="Calibri"/>
                <w:b w:val="0"/>
                <w:sz w:val="24"/>
                <w:szCs w:val="24"/>
              </w:rPr>
              <w:t>,</w:t>
            </w:r>
            <w:r w:rsidRPr="00D17E9A">
              <w:rPr>
                <w:rFonts w:ascii="Calibri" w:hAnsi="Calibri" w:cs="Calibri"/>
                <w:b w:val="0"/>
                <w:sz w:val="24"/>
                <w:szCs w:val="24"/>
              </w:rPr>
              <w:t xml:space="preserve"> 2022)</w:t>
            </w:r>
          </w:p>
        </w:tc>
      </w:tr>
      <w:tr w:rsidR="00D82120" w:rsidRPr="00D17E9A" w14:paraId="6B7F22C3" w14:textId="77777777" w:rsidTr="00A81CBC">
        <w:tc>
          <w:tcPr>
            <w:cnfStyle w:val="001000000000" w:firstRow="0" w:lastRow="0" w:firstColumn="1" w:lastColumn="0" w:oddVBand="0" w:evenVBand="0" w:oddHBand="0" w:evenHBand="0" w:firstRowFirstColumn="0" w:firstRowLastColumn="0" w:lastRowFirstColumn="0" w:lastRowLastColumn="0"/>
            <w:tcW w:w="3261" w:type="dxa"/>
            <w:tcBorders>
              <w:bottom w:val="single" w:sz="12" w:space="0" w:color="auto"/>
            </w:tcBorders>
          </w:tcPr>
          <w:p w14:paraId="2D3F9366" w14:textId="77777777" w:rsidR="00D82120" w:rsidRPr="00D17E9A" w:rsidRDefault="00D82120" w:rsidP="00A81CBC">
            <w:pPr>
              <w:spacing w:line="360" w:lineRule="auto"/>
              <w:rPr>
                <w:b w:val="0"/>
                <w:sz w:val="24"/>
                <w:szCs w:val="24"/>
              </w:rPr>
            </w:pPr>
            <w:r w:rsidRPr="00D17E9A">
              <w:rPr>
                <w:b w:val="0"/>
                <w:sz w:val="24"/>
                <w:szCs w:val="24"/>
              </w:rPr>
              <w:t>Vehicle variable costs (for inspection)</w:t>
            </w:r>
          </w:p>
        </w:tc>
        <w:tc>
          <w:tcPr>
            <w:cnfStyle w:val="000010000000" w:firstRow="0" w:lastRow="0" w:firstColumn="0" w:lastColumn="0" w:oddVBand="1" w:evenVBand="0" w:oddHBand="0" w:evenHBand="0" w:firstRowFirstColumn="0" w:firstRowLastColumn="0" w:lastRowFirstColumn="0" w:lastRowLastColumn="0"/>
            <w:tcW w:w="3260" w:type="dxa"/>
            <w:tcBorders>
              <w:bottom w:val="single" w:sz="12" w:space="0" w:color="auto"/>
            </w:tcBorders>
          </w:tcPr>
          <w:p w14:paraId="7B0685C5" w14:textId="77777777" w:rsidR="00D82120" w:rsidRPr="00D17E9A" w:rsidRDefault="00D82120" w:rsidP="00A81CBC">
            <w:pPr>
              <w:spacing w:line="360" w:lineRule="auto"/>
              <w:rPr>
                <w:sz w:val="24"/>
                <w:szCs w:val="24"/>
              </w:rPr>
            </w:pPr>
            <w:r w:rsidRPr="00D17E9A">
              <w:rPr>
                <w:sz w:val="24"/>
                <w:szCs w:val="24"/>
              </w:rPr>
              <w:t>€3.45</w:t>
            </w:r>
          </w:p>
        </w:tc>
        <w:tc>
          <w:tcPr>
            <w:cnfStyle w:val="000100000000" w:firstRow="0" w:lastRow="0" w:firstColumn="0" w:lastColumn="1" w:oddVBand="0" w:evenVBand="0" w:oddHBand="0" w:evenHBand="0" w:firstRowFirstColumn="0" w:firstRowLastColumn="0" w:lastRowFirstColumn="0" w:lastRowLastColumn="0"/>
            <w:tcW w:w="2541" w:type="dxa"/>
            <w:tcBorders>
              <w:bottom w:val="single" w:sz="12" w:space="0" w:color="auto"/>
            </w:tcBorders>
          </w:tcPr>
          <w:p w14:paraId="4446CEFA" w14:textId="239B3213" w:rsidR="00D82120" w:rsidRPr="00D17E9A" w:rsidRDefault="00D82120" w:rsidP="00A81CBC">
            <w:pPr>
              <w:spacing w:line="360" w:lineRule="auto"/>
              <w:rPr>
                <w:b w:val="0"/>
                <w:sz w:val="24"/>
                <w:szCs w:val="24"/>
              </w:rPr>
            </w:pPr>
            <w:r w:rsidRPr="00D17E9A">
              <w:rPr>
                <w:rFonts w:ascii="Calibri" w:hAnsi="Calibri" w:cs="Calibri"/>
                <w:b w:val="0"/>
                <w:sz w:val="24"/>
                <w:szCs w:val="24"/>
              </w:rPr>
              <w:t>(KTBL</w:t>
            </w:r>
            <w:r w:rsidR="00EB4E9B">
              <w:rPr>
                <w:rFonts w:ascii="Calibri" w:hAnsi="Calibri" w:cs="Calibri"/>
                <w:b w:val="0"/>
                <w:sz w:val="24"/>
                <w:szCs w:val="24"/>
              </w:rPr>
              <w:t>,</w:t>
            </w:r>
            <w:r w:rsidRPr="00D17E9A">
              <w:rPr>
                <w:rFonts w:ascii="Calibri" w:hAnsi="Calibri" w:cs="Calibri"/>
                <w:b w:val="0"/>
                <w:sz w:val="24"/>
                <w:szCs w:val="24"/>
              </w:rPr>
              <w:t xml:space="preserve"> 2022)</w:t>
            </w:r>
          </w:p>
        </w:tc>
      </w:tr>
      <w:tr w:rsidR="00D82120" w:rsidRPr="00D17E9A" w14:paraId="63AD7A19"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3"/>
            <w:tcBorders>
              <w:top w:val="single" w:sz="12" w:space="0" w:color="auto"/>
              <w:bottom w:val="nil"/>
            </w:tcBorders>
          </w:tcPr>
          <w:p w14:paraId="076579CC" w14:textId="77777777" w:rsidR="00D82120" w:rsidRPr="0030083A" w:rsidRDefault="00D82120" w:rsidP="00C45B3E">
            <w:pPr>
              <w:spacing w:line="276" w:lineRule="auto"/>
              <w:rPr>
                <w:rFonts w:eastAsiaTheme="minorEastAsia"/>
                <w:b w:val="0"/>
                <w:szCs w:val="24"/>
              </w:rPr>
            </w:pPr>
            <w:r w:rsidRPr="0030083A">
              <w:rPr>
                <w:b w:val="0"/>
                <w:szCs w:val="24"/>
                <w:vertAlign w:val="superscript"/>
              </w:rPr>
              <w:t>a</w:t>
            </w:r>
            <w:r w:rsidRPr="0030083A">
              <w:rPr>
                <w:b w:val="0"/>
                <w:szCs w:val="24"/>
              </w:rPr>
              <w:t xml:space="preserve"> amounts correspond to one ha orchard. Values provided in intervals. Values for</w:t>
            </w:r>
            <w:r w:rsidRPr="0030083A">
              <w:rPr>
                <w:rFonts w:eastAsiaTheme="minorEastAsia"/>
                <w:b w:val="0"/>
                <w:szCs w:val="24"/>
              </w:rPr>
              <w:t xml:space="preserve"> </w:t>
            </w:r>
            <m:oMath>
              <m:sSub>
                <m:sSubPr>
                  <m:ctrlPr>
                    <w:rPr>
                      <w:rFonts w:ascii="Cambria Math" w:hAnsi="Cambria Math"/>
                      <w:b w:val="0"/>
                      <w:i/>
                      <w:szCs w:val="24"/>
                    </w:rPr>
                  </m:ctrlPr>
                </m:sSubPr>
                <m:e>
                  <m:r>
                    <m:rPr>
                      <m:sty m:val="bi"/>
                    </m:rPr>
                    <w:rPr>
                      <w:rFonts w:ascii="Cambria Math" w:hAnsi="Cambria Math"/>
                      <w:szCs w:val="24"/>
                    </w:rPr>
                    <m:t>φ</m:t>
                  </m:r>
                </m:e>
                <m:sub>
                  <m:r>
                    <m:rPr>
                      <m:sty m:val="bi"/>
                    </m:rPr>
                    <w:rPr>
                      <w:rFonts w:ascii="Cambria Math" w:hAnsi="Cambria Math"/>
                      <w:szCs w:val="24"/>
                    </w:rPr>
                    <m:t>t</m:t>
                  </m:r>
                </m:sub>
              </m:sSub>
            </m:oMath>
            <w:r w:rsidRPr="0030083A">
              <w:rPr>
                <w:rFonts w:eastAsiaTheme="minorEastAsia"/>
                <w:b w:val="0"/>
                <w:szCs w:val="24"/>
              </w:rPr>
              <w:t xml:space="preserve"> and </w:t>
            </w:r>
            <m:oMath>
              <m:sSub>
                <m:sSubPr>
                  <m:ctrlPr>
                    <w:rPr>
                      <w:rFonts w:ascii="Cambria Math" w:hAnsi="Cambria Math"/>
                      <w:b w:val="0"/>
                      <w:i/>
                      <w:szCs w:val="24"/>
                    </w:rPr>
                  </m:ctrlPr>
                </m:sSubPr>
                <m:e>
                  <m:r>
                    <m:rPr>
                      <m:sty m:val="bi"/>
                    </m:rPr>
                    <w:rPr>
                      <w:rFonts w:ascii="Cambria Math" w:hAnsi="Cambria Math"/>
                      <w:szCs w:val="24"/>
                    </w:rPr>
                    <m:t>hr</m:t>
                  </m:r>
                </m:e>
                <m:sub>
                  <m:r>
                    <m:rPr>
                      <m:sty m:val="bi"/>
                    </m:rPr>
                    <w:rPr>
                      <w:rFonts w:ascii="Cambria Math" w:hAnsi="Cambria Math"/>
                      <w:szCs w:val="24"/>
                    </w:rPr>
                    <m:t>xt</m:t>
                  </m:r>
                </m:sub>
              </m:sSub>
              <m:r>
                <m:rPr>
                  <m:sty m:val="bi"/>
                </m:rPr>
                <w:rPr>
                  <w:rFonts w:ascii="Cambria Math" w:hAnsi="Cambria Math"/>
                  <w:szCs w:val="24"/>
                </w:rPr>
                <m:t>,</m:t>
              </m:r>
            </m:oMath>
            <w:r w:rsidRPr="0030083A">
              <w:rPr>
                <w:rFonts w:eastAsiaTheme="minorEastAsia"/>
                <w:b w:val="0"/>
                <w:szCs w:val="24"/>
              </w:rPr>
              <w:t xml:space="preserve"> vary depending on the machinery used and activity performed, respectively.</w:t>
            </w:r>
          </w:p>
          <w:p w14:paraId="5AFE2A66" w14:textId="77777777" w:rsidR="00D82120" w:rsidRPr="00D17E9A" w:rsidRDefault="00D82120" w:rsidP="00C45B3E">
            <w:pPr>
              <w:spacing w:line="276" w:lineRule="auto"/>
              <w:rPr>
                <w:b w:val="0"/>
                <w:sz w:val="24"/>
                <w:szCs w:val="24"/>
              </w:rPr>
            </w:pPr>
            <w:r w:rsidRPr="0030083A">
              <w:rPr>
                <w:rFonts w:eastAsiaTheme="minorEastAsia"/>
                <w:b w:val="0"/>
                <w:szCs w:val="24"/>
                <w:vertAlign w:val="superscript"/>
              </w:rPr>
              <w:t>b</w:t>
            </w:r>
            <w:r w:rsidRPr="0030083A">
              <w:rPr>
                <w:rFonts w:eastAsiaTheme="minorEastAsia"/>
                <w:b w:val="0"/>
                <w:szCs w:val="24"/>
              </w:rPr>
              <w:t xml:space="preserve"> </w:t>
            </w:r>
            <w:r w:rsidRPr="0030083A">
              <w:rPr>
                <w:b w:val="0"/>
                <w:szCs w:val="24"/>
              </w:rPr>
              <w:t>subsidised price for diesel used for agriculture in Germany – “</w:t>
            </w:r>
            <w:r w:rsidRPr="0030083A">
              <w:rPr>
                <w:b w:val="0"/>
                <w:i/>
                <w:szCs w:val="24"/>
              </w:rPr>
              <w:t>Agrardiesel</w:t>
            </w:r>
            <w:r w:rsidRPr="0030083A">
              <w:rPr>
                <w:b w:val="0"/>
                <w:szCs w:val="24"/>
              </w:rPr>
              <w:t>”.</w:t>
            </w:r>
          </w:p>
        </w:tc>
      </w:tr>
    </w:tbl>
    <w:p w14:paraId="41DDD419" w14:textId="5A252226" w:rsidR="005A3E09" w:rsidRDefault="005A3E09" w:rsidP="00F13CC8">
      <w:pPr>
        <w:spacing w:line="360" w:lineRule="auto"/>
        <w:rPr>
          <w:b/>
          <w:sz w:val="24"/>
        </w:rPr>
      </w:pPr>
    </w:p>
    <w:p w14:paraId="761E87CA" w14:textId="77777777" w:rsidR="00F13CC8" w:rsidRPr="00934EE5" w:rsidRDefault="005A3E09" w:rsidP="00F13CC8">
      <w:pPr>
        <w:spacing w:line="360" w:lineRule="auto"/>
        <w:rPr>
          <w:b/>
          <w:sz w:val="28"/>
        </w:rPr>
      </w:pPr>
      <w:r w:rsidRPr="00934EE5">
        <w:rPr>
          <w:b/>
          <w:sz w:val="28"/>
        </w:rPr>
        <w:t>Results: p</w:t>
      </w:r>
      <w:r w:rsidR="00F13CC8" w:rsidRPr="00934EE5">
        <w:rPr>
          <w:b/>
          <w:sz w:val="28"/>
        </w:rPr>
        <w:t>roduction costs and revenues</w:t>
      </w:r>
      <w:r w:rsidRPr="00934EE5">
        <w:rPr>
          <w:b/>
          <w:sz w:val="28"/>
        </w:rPr>
        <w:t xml:space="preserve"> (business as usual)</w:t>
      </w:r>
    </w:p>
    <w:p w14:paraId="0C4C3FE1" w14:textId="15E00FA3" w:rsidR="00F13CC8" w:rsidRDefault="00F13CC8" w:rsidP="00F13CC8">
      <w:pPr>
        <w:spacing w:after="0" w:line="360" w:lineRule="auto"/>
        <w:rPr>
          <w:sz w:val="24"/>
        </w:rPr>
      </w:pPr>
      <w:r w:rsidRPr="002545BB">
        <w:rPr>
          <w:sz w:val="24"/>
        </w:rPr>
        <w:t xml:space="preserve">Table </w:t>
      </w:r>
      <w:r w:rsidR="004C0A67" w:rsidRPr="0003039E">
        <w:rPr>
          <w:sz w:val="24"/>
        </w:rPr>
        <w:t>S</w:t>
      </w:r>
      <w:r w:rsidR="0003039E" w:rsidRPr="0003039E">
        <w:rPr>
          <w:sz w:val="24"/>
        </w:rPr>
        <w:t>3</w:t>
      </w:r>
      <w:r w:rsidRPr="002545BB">
        <w:rPr>
          <w:sz w:val="24"/>
        </w:rPr>
        <w:t xml:space="preserve"> presents</w:t>
      </w:r>
      <w:r w:rsidRPr="00720EEA">
        <w:rPr>
          <w:sz w:val="24"/>
        </w:rPr>
        <w:t xml:space="preserve"> the average production costs for conventional and </w:t>
      </w:r>
      <w:r>
        <w:rPr>
          <w:sz w:val="24"/>
        </w:rPr>
        <w:t>organic-IPM</w:t>
      </w:r>
      <w:r w:rsidRPr="00720EEA">
        <w:rPr>
          <w:sz w:val="24"/>
        </w:rPr>
        <w:t xml:space="preserve"> orchards during the 2021 and 2022 seasons. Among the various management components, the </w:t>
      </w:r>
      <w:r w:rsidRPr="00720EEA">
        <w:rPr>
          <w:sz w:val="24"/>
        </w:rPr>
        <w:lastRenderedPageBreak/>
        <w:t xml:space="preserve">application of fungicides is observed to be the most costly for conventional orchards, while insecticide application represents the most expensive component for </w:t>
      </w:r>
      <w:r>
        <w:rPr>
          <w:sz w:val="24"/>
        </w:rPr>
        <w:t>organic-IPM</w:t>
      </w:r>
      <w:r w:rsidRPr="00720EEA">
        <w:rPr>
          <w:sz w:val="24"/>
        </w:rPr>
        <w:t xml:space="preserve">. Furthermore, the costs associated with mulching and weed control are relatively higher for </w:t>
      </w:r>
      <w:r>
        <w:rPr>
          <w:sz w:val="24"/>
        </w:rPr>
        <w:t>organic-IPM</w:t>
      </w:r>
      <w:r w:rsidRPr="00720EEA">
        <w:rPr>
          <w:sz w:val="24"/>
        </w:rPr>
        <w:t xml:space="preserve"> compared to </w:t>
      </w:r>
      <w:r>
        <w:rPr>
          <w:sz w:val="24"/>
        </w:rPr>
        <w:t>conventional-IPM</w:t>
      </w:r>
      <w:r w:rsidRPr="00720EEA">
        <w:rPr>
          <w:sz w:val="24"/>
        </w:rPr>
        <w:t>. The higher costs for mechanical weeding can be attributed to the higher frequency of weeding in organic orchards in comparison to the frequency of herbicides spraying in conventional orchards. Additionally, organically managed orchards appear to incur higher treatment costs for fertilisers compared to conventional orchards.</w:t>
      </w:r>
    </w:p>
    <w:p w14:paraId="643B5900" w14:textId="77777777" w:rsidR="00F13CC8" w:rsidRDefault="00F13CC8" w:rsidP="00F13CC8">
      <w:pPr>
        <w:spacing w:after="0" w:line="360" w:lineRule="auto"/>
        <w:rPr>
          <w:rFonts w:eastAsiaTheme="minorEastAsia"/>
          <w:sz w:val="24"/>
          <w:szCs w:val="24"/>
        </w:rPr>
      </w:pPr>
    </w:p>
    <w:tbl>
      <w:tblPr>
        <w:tblStyle w:val="PlainTable2"/>
        <w:tblW w:w="0" w:type="auto"/>
        <w:tblLook w:val="04A0" w:firstRow="1" w:lastRow="0" w:firstColumn="1" w:lastColumn="0" w:noHBand="0" w:noVBand="1"/>
      </w:tblPr>
      <w:tblGrid>
        <w:gridCol w:w="3020"/>
        <w:gridCol w:w="1510"/>
        <w:gridCol w:w="1511"/>
        <w:gridCol w:w="1510"/>
        <w:gridCol w:w="1511"/>
      </w:tblGrid>
      <w:tr w:rsidR="00F13CC8" w14:paraId="46C82150" w14:textId="77777777" w:rsidTr="00A81C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tcBorders>
              <w:top w:val="nil"/>
              <w:bottom w:val="single" w:sz="12" w:space="0" w:color="auto"/>
            </w:tcBorders>
          </w:tcPr>
          <w:p w14:paraId="53D25307" w14:textId="1816FE65" w:rsidR="00F13CC8" w:rsidRDefault="00F13CC8" w:rsidP="00465647">
            <w:pPr>
              <w:spacing w:line="276" w:lineRule="auto"/>
              <w:rPr>
                <w:sz w:val="24"/>
              </w:rPr>
            </w:pPr>
            <w:r w:rsidRPr="00393EE3">
              <w:t xml:space="preserve">Table </w:t>
            </w:r>
            <w:r w:rsidR="00043C2A" w:rsidRPr="00393EE3">
              <w:t>S</w:t>
            </w:r>
            <w:r w:rsidR="0003039E" w:rsidRPr="00393EE3">
              <w:t>3</w:t>
            </w:r>
            <w:r w:rsidRPr="00393EE3">
              <w:t>.</w:t>
            </w:r>
            <w:r w:rsidRPr="00393EE3">
              <w:rPr>
                <w:b w:val="0"/>
              </w:rPr>
              <w:t xml:space="preserve"> Production costs for conventional-IPM and organic-IPM orchards during the 2021 and 2022 seasons.</w:t>
            </w:r>
          </w:p>
        </w:tc>
      </w:tr>
      <w:tr w:rsidR="00F13CC8" w14:paraId="576971DB"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val="restart"/>
            <w:tcBorders>
              <w:top w:val="single" w:sz="12" w:space="0" w:color="auto"/>
            </w:tcBorders>
            <w:vAlign w:val="center"/>
          </w:tcPr>
          <w:p w14:paraId="06B2D7E0" w14:textId="77777777" w:rsidR="00F13CC8" w:rsidRDefault="00F13CC8" w:rsidP="00A81CBC">
            <w:pPr>
              <w:spacing w:line="360" w:lineRule="auto"/>
              <w:rPr>
                <w:sz w:val="24"/>
              </w:rPr>
            </w:pPr>
            <w:r>
              <w:rPr>
                <w:sz w:val="24"/>
              </w:rPr>
              <w:t>Management component</w:t>
            </w:r>
          </w:p>
        </w:tc>
        <w:tc>
          <w:tcPr>
            <w:tcW w:w="3021" w:type="dxa"/>
            <w:gridSpan w:val="2"/>
            <w:tcBorders>
              <w:top w:val="single" w:sz="12" w:space="0" w:color="auto"/>
              <w:bottom w:val="single" w:sz="4" w:space="0" w:color="auto"/>
              <w:right w:val="dotted" w:sz="4" w:space="0" w:color="auto"/>
            </w:tcBorders>
            <w:vAlign w:val="center"/>
          </w:tcPr>
          <w:p w14:paraId="16106FBD" w14:textId="77777777" w:rsidR="00F13CC8" w:rsidRPr="00AA7C72"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b/>
                <w:sz w:val="24"/>
              </w:rPr>
            </w:pPr>
            <w:r>
              <w:rPr>
                <w:b/>
                <w:sz w:val="24"/>
              </w:rPr>
              <w:t>Conventional-IPM</w:t>
            </w:r>
          </w:p>
        </w:tc>
        <w:tc>
          <w:tcPr>
            <w:tcW w:w="3021" w:type="dxa"/>
            <w:gridSpan w:val="2"/>
            <w:tcBorders>
              <w:top w:val="single" w:sz="12" w:space="0" w:color="auto"/>
              <w:left w:val="dotted" w:sz="4" w:space="0" w:color="auto"/>
              <w:bottom w:val="single" w:sz="4" w:space="0" w:color="auto"/>
            </w:tcBorders>
            <w:vAlign w:val="center"/>
          </w:tcPr>
          <w:p w14:paraId="0F9B6474" w14:textId="77777777" w:rsidR="00F13CC8" w:rsidRPr="00AA7C72"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b/>
                <w:sz w:val="24"/>
              </w:rPr>
            </w:pPr>
            <w:r>
              <w:rPr>
                <w:b/>
                <w:sz w:val="24"/>
              </w:rPr>
              <w:t>Organic-IPM</w:t>
            </w:r>
          </w:p>
        </w:tc>
      </w:tr>
      <w:tr w:rsidR="00F13CC8" w14:paraId="43604619" w14:textId="77777777" w:rsidTr="00A81CBC">
        <w:tc>
          <w:tcPr>
            <w:cnfStyle w:val="001000000000" w:firstRow="0" w:lastRow="0" w:firstColumn="1" w:lastColumn="0" w:oddVBand="0" w:evenVBand="0" w:oddHBand="0" w:evenHBand="0" w:firstRowFirstColumn="0" w:firstRowLastColumn="0" w:lastRowFirstColumn="0" w:lastRowLastColumn="0"/>
            <w:tcW w:w="3020" w:type="dxa"/>
            <w:vMerge/>
            <w:tcBorders>
              <w:top w:val="single" w:sz="4" w:space="0" w:color="auto"/>
              <w:bottom w:val="single" w:sz="12" w:space="0" w:color="auto"/>
            </w:tcBorders>
            <w:vAlign w:val="center"/>
          </w:tcPr>
          <w:p w14:paraId="0341D5D9" w14:textId="77777777" w:rsidR="00F13CC8" w:rsidRPr="00790F62" w:rsidRDefault="00F13CC8" w:rsidP="00A81CBC">
            <w:pPr>
              <w:spacing w:line="360" w:lineRule="auto"/>
              <w:rPr>
                <w:b w:val="0"/>
                <w:sz w:val="24"/>
              </w:rPr>
            </w:pPr>
          </w:p>
        </w:tc>
        <w:tc>
          <w:tcPr>
            <w:tcW w:w="1510" w:type="dxa"/>
            <w:tcBorders>
              <w:top w:val="single" w:sz="4" w:space="0" w:color="auto"/>
              <w:bottom w:val="single" w:sz="12" w:space="0" w:color="auto"/>
              <w:right w:val="dotted" w:sz="4" w:space="0" w:color="auto"/>
            </w:tcBorders>
            <w:vAlign w:val="center"/>
          </w:tcPr>
          <w:p w14:paraId="0FB59FE8" w14:textId="77777777" w:rsidR="00F13CC8" w:rsidRPr="00C722E6" w:rsidRDefault="00F13CC8" w:rsidP="00A81CBC">
            <w:pPr>
              <w:spacing w:line="276" w:lineRule="auto"/>
              <w:jc w:val="center"/>
              <w:cnfStyle w:val="000000000000" w:firstRow="0" w:lastRow="0" w:firstColumn="0" w:lastColumn="0" w:oddVBand="0" w:evenVBand="0" w:oddHBand="0" w:evenHBand="0" w:firstRowFirstColumn="0" w:firstRowLastColumn="0" w:lastRowFirstColumn="0" w:lastRowLastColumn="0"/>
              <w:rPr>
                <w:i/>
                <w:sz w:val="24"/>
              </w:rPr>
            </w:pPr>
            <w:r w:rsidRPr="00C722E6">
              <w:rPr>
                <w:i/>
                <w:sz w:val="24"/>
              </w:rPr>
              <w:t>Treatment costs</w:t>
            </w:r>
          </w:p>
        </w:tc>
        <w:tc>
          <w:tcPr>
            <w:tcW w:w="1511" w:type="dxa"/>
            <w:tcBorders>
              <w:top w:val="single" w:sz="4" w:space="0" w:color="auto"/>
              <w:left w:val="dotted" w:sz="4" w:space="0" w:color="auto"/>
              <w:bottom w:val="single" w:sz="12" w:space="0" w:color="auto"/>
              <w:right w:val="dotted" w:sz="4" w:space="0" w:color="auto"/>
            </w:tcBorders>
            <w:vAlign w:val="center"/>
          </w:tcPr>
          <w:p w14:paraId="45C431FE" w14:textId="77777777" w:rsidR="00F13CC8" w:rsidRPr="00C722E6" w:rsidRDefault="00F13CC8" w:rsidP="00A81CBC">
            <w:pPr>
              <w:spacing w:line="276" w:lineRule="auto"/>
              <w:jc w:val="center"/>
              <w:cnfStyle w:val="000000000000" w:firstRow="0" w:lastRow="0" w:firstColumn="0" w:lastColumn="0" w:oddVBand="0" w:evenVBand="0" w:oddHBand="0" w:evenHBand="0" w:firstRowFirstColumn="0" w:firstRowLastColumn="0" w:lastRowFirstColumn="0" w:lastRowLastColumn="0"/>
              <w:rPr>
                <w:i/>
                <w:sz w:val="24"/>
              </w:rPr>
            </w:pPr>
            <w:r w:rsidRPr="00C722E6">
              <w:rPr>
                <w:i/>
                <w:sz w:val="24"/>
              </w:rPr>
              <w:t>Application costs</w:t>
            </w:r>
          </w:p>
        </w:tc>
        <w:tc>
          <w:tcPr>
            <w:tcW w:w="1510" w:type="dxa"/>
            <w:tcBorders>
              <w:top w:val="single" w:sz="4" w:space="0" w:color="auto"/>
              <w:left w:val="dotted" w:sz="4" w:space="0" w:color="auto"/>
              <w:bottom w:val="single" w:sz="12" w:space="0" w:color="auto"/>
              <w:right w:val="dotted" w:sz="4" w:space="0" w:color="auto"/>
            </w:tcBorders>
            <w:vAlign w:val="center"/>
          </w:tcPr>
          <w:p w14:paraId="12BEBC49" w14:textId="77777777" w:rsidR="00F13CC8" w:rsidRPr="00C722E6" w:rsidRDefault="00F13CC8" w:rsidP="00A81CBC">
            <w:pPr>
              <w:spacing w:line="276" w:lineRule="auto"/>
              <w:jc w:val="center"/>
              <w:cnfStyle w:val="000000000000" w:firstRow="0" w:lastRow="0" w:firstColumn="0" w:lastColumn="0" w:oddVBand="0" w:evenVBand="0" w:oddHBand="0" w:evenHBand="0" w:firstRowFirstColumn="0" w:firstRowLastColumn="0" w:lastRowFirstColumn="0" w:lastRowLastColumn="0"/>
              <w:rPr>
                <w:i/>
                <w:sz w:val="24"/>
              </w:rPr>
            </w:pPr>
            <w:r w:rsidRPr="00C722E6">
              <w:rPr>
                <w:i/>
                <w:sz w:val="24"/>
              </w:rPr>
              <w:t>Treatment costs</w:t>
            </w:r>
          </w:p>
        </w:tc>
        <w:tc>
          <w:tcPr>
            <w:tcW w:w="1511" w:type="dxa"/>
            <w:tcBorders>
              <w:top w:val="single" w:sz="4" w:space="0" w:color="auto"/>
              <w:left w:val="dotted" w:sz="4" w:space="0" w:color="auto"/>
              <w:bottom w:val="single" w:sz="12" w:space="0" w:color="auto"/>
            </w:tcBorders>
            <w:vAlign w:val="center"/>
          </w:tcPr>
          <w:p w14:paraId="3A49FC49" w14:textId="77777777" w:rsidR="00F13CC8" w:rsidRPr="00C722E6" w:rsidRDefault="00F13CC8" w:rsidP="00A81CBC">
            <w:pPr>
              <w:spacing w:line="276" w:lineRule="auto"/>
              <w:jc w:val="center"/>
              <w:cnfStyle w:val="000000000000" w:firstRow="0" w:lastRow="0" w:firstColumn="0" w:lastColumn="0" w:oddVBand="0" w:evenVBand="0" w:oddHBand="0" w:evenHBand="0" w:firstRowFirstColumn="0" w:firstRowLastColumn="0" w:lastRowFirstColumn="0" w:lastRowLastColumn="0"/>
              <w:rPr>
                <w:i/>
                <w:sz w:val="24"/>
              </w:rPr>
            </w:pPr>
            <w:r w:rsidRPr="00C722E6">
              <w:rPr>
                <w:i/>
                <w:sz w:val="24"/>
              </w:rPr>
              <w:t>Application costs</w:t>
            </w:r>
          </w:p>
        </w:tc>
      </w:tr>
      <w:tr w:rsidR="00F13CC8" w14:paraId="5FE344BC"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Borders>
              <w:top w:val="single" w:sz="12" w:space="0" w:color="auto"/>
              <w:bottom w:val="dotted" w:sz="4" w:space="0" w:color="auto"/>
            </w:tcBorders>
            <w:vAlign w:val="center"/>
          </w:tcPr>
          <w:p w14:paraId="5F6E1528" w14:textId="77777777" w:rsidR="00F13CC8" w:rsidRPr="00790F62" w:rsidRDefault="00F13CC8" w:rsidP="00A81CBC">
            <w:pPr>
              <w:spacing w:line="360" w:lineRule="auto"/>
              <w:rPr>
                <w:b w:val="0"/>
                <w:sz w:val="24"/>
              </w:rPr>
            </w:pPr>
            <w:r>
              <w:rPr>
                <w:b w:val="0"/>
                <w:sz w:val="24"/>
              </w:rPr>
              <w:t>M</w:t>
            </w:r>
            <w:r w:rsidRPr="00790F62">
              <w:rPr>
                <w:b w:val="0"/>
                <w:sz w:val="24"/>
              </w:rPr>
              <w:t>ulching</w:t>
            </w:r>
          </w:p>
        </w:tc>
        <w:tc>
          <w:tcPr>
            <w:tcW w:w="3021" w:type="dxa"/>
            <w:gridSpan w:val="2"/>
            <w:tcBorders>
              <w:top w:val="single" w:sz="12" w:space="0" w:color="auto"/>
              <w:bottom w:val="dotted" w:sz="4" w:space="0" w:color="auto"/>
              <w:right w:val="dotted" w:sz="4" w:space="0" w:color="auto"/>
            </w:tcBorders>
            <w:vAlign w:val="center"/>
          </w:tcPr>
          <w:p w14:paraId="1D2E84D6"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126.24</w:t>
            </w:r>
          </w:p>
        </w:tc>
        <w:tc>
          <w:tcPr>
            <w:tcW w:w="3021" w:type="dxa"/>
            <w:gridSpan w:val="2"/>
            <w:tcBorders>
              <w:top w:val="single" w:sz="12" w:space="0" w:color="auto"/>
              <w:left w:val="dotted" w:sz="4" w:space="0" w:color="auto"/>
              <w:bottom w:val="dotted" w:sz="4" w:space="0" w:color="auto"/>
              <w:right w:val="nil"/>
            </w:tcBorders>
            <w:vAlign w:val="center"/>
          </w:tcPr>
          <w:p w14:paraId="1CAACF66"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270.</w:t>
            </w:r>
            <w:r w:rsidRPr="00B07796">
              <w:rPr>
                <w:sz w:val="24"/>
              </w:rPr>
              <w:t>77</w:t>
            </w:r>
          </w:p>
        </w:tc>
      </w:tr>
      <w:tr w:rsidR="00F13CC8" w14:paraId="5912CC6F" w14:textId="77777777" w:rsidTr="00A81CBC">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bottom w:val="dotted" w:sz="4" w:space="0" w:color="auto"/>
            </w:tcBorders>
            <w:vAlign w:val="center"/>
          </w:tcPr>
          <w:p w14:paraId="2CD0C17B" w14:textId="77777777" w:rsidR="00F13CC8" w:rsidRPr="00790F62" w:rsidRDefault="00F13CC8" w:rsidP="00A81CBC">
            <w:pPr>
              <w:spacing w:line="360" w:lineRule="auto"/>
              <w:rPr>
                <w:b w:val="0"/>
                <w:sz w:val="24"/>
              </w:rPr>
            </w:pPr>
            <w:r w:rsidRPr="00790F62">
              <w:rPr>
                <w:b w:val="0"/>
                <w:sz w:val="24"/>
              </w:rPr>
              <w:t>Weed control</w:t>
            </w:r>
          </w:p>
        </w:tc>
        <w:tc>
          <w:tcPr>
            <w:tcW w:w="1510" w:type="dxa"/>
            <w:tcBorders>
              <w:top w:val="dotted" w:sz="4" w:space="0" w:color="auto"/>
              <w:bottom w:val="dotted" w:sz="4" w:space="0" w:color="auto"/>
            </w:tcBorders>
            <w:vAlign w:val="center"/>
          </w:tcPr>
          <w:p w14:paraId="5F9B55B6"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73.37</w:t>
            </w:r>
          </w:p>
        </w:tc>
        <w:tc>
          <w:tcPr>
            <w:tcW w:w="1511" w:type="dxa"/>
            <w:tcBorders>
              <w:top w:val="dotted" w:sz="4" w:space="0" w:color="auto"/>
              <w:bottom w:val="dotted" w:sz="4" w:space="0" w:color="auto"/>
              <w:right w:val="dotted" w:sz="4" w:space="0" w:color="auto"/>
            </w:tcBorders>
            <w:vAlign w:val="center"/>
          </w:tcPr>
          <w:p w14:paraId="653412A3"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120.01</w:t>
            </w:r>
          </w:p>
        </w:tc>
        <w:tc>
          <w:tcPr>
            <w:tcW w:w="3021" w:type="dxa"/>
            <w:gridSpan w:val="2"/>
            <w:tcBorders>
              <w:top w:val="dotted" w:sz="4" w:space="0" w:color="auto"/>
              <w:left w:val="dotted" w:sz="4" w:space="0" w:color="auto"/>
              <w:bottom w:val="dotted" w:sz="4" w:space="0" w:color="auto"/>
            </w:tcBorders>
            <w:vAlign w:val="center"/>
          </w:tcPr>
          <w:p w14:paraId="19BBEA28"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314.</w:t>
            </w:r>
            <w:r w:rsidRPr="00B07796">
              <w:rPr>
                <w:sz w:val="24"/>
              </w:rPr>
              <w:t>98</w:t>
            </w:r>
          </w:p>
        </w:tc>
      </w:tr>
      <w:tr w:rsidR="00F13CC8" w14:paraId="011854A1"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4139983D" w14:textId="77777777" w:rsidR="00F13CC8" w:rsidRPr="00790F62" w:rsidRDefault="00F13CC8" w:rsidP="00A81CBC">
            <w:pPr>
              <w:spacing w:line="360" w:lineRule="auto"/>
              <w:rPr>
                <w:b w:val="0"/>
                <w:sz w:val="24"/>
              </w:rPr>
            </w:pPr>
            <w:r w:rsidRPr="00790F62">
              <w:rPr>
                <w:b w:val="0"/>
                <w:sz w:val="24"/>
              </w:rPr>
              <w:t>Monitoring (trapping and inspections)</w:t>
            </w:r>
          </w:p>
        </w:tc>
        <w:tc>
          <w:tcPr>
            <w:tcW w:w="3021" w:type="dxa"/>
            <w:gridSpan w:val="2"/>
            <w:tcBorders>
              <w:top w:val="dotted" w:sz="4" w:space="0" w:color="auto"/>
              <w:left w:val="dotted" w:sz="4" w:space="0" w:color="auto"/>
              <w:bottom w:val="dotted" w:sz="4" w:space="0" w:color="auto"/>
              <w:right w:val="dotted" w:sz="4" w:space="0" w:color="auto"/>
            </w:tcBorders>
            <w:vAlign w:val="center"/>
          </w:tcPr>
          <w:p w14:paraId="599234CD"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110.16</w:t>
            </w:r>
          </w:p>
        </w:tc>
        <w:tc>
          <w:tcPr>
            <w:tcW w:w="3021" w:type="dxa"/>
            <w:gridSpan w:val="2"/>
            <w:tcBorders>
              <w:top w:val="dotted" w:sz="4" w:space="0" w:color="auto"/>
              <w:left w:val="dotted" w:sz="4" w:space="0" w:color="auto"/>
              <w:bottom w:val="dotted" w:sz="4" w:space="0" w:color="auto"/>
              <w:right w:val="nil"/>
            </w:tcBorders>
            <w:vAlign w:val="center"/>
          </w:tcPr>
          <w:p w14:paraId="590071BD"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110.51</w:t>
            </w:r>
          </w:p>
        </w:tc>
      </w:tr>
      <w:tr w:rsidR="00F13CC8" w14:paraId="63DF3FD6" w14:textId="77777777" w:rsidTr="00A81CBC">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1D73465C" w14:textId="77777777" w:rsidR="00F13CC8" w:rsidRPr="006A49FB" w:rsidRDefault="00F13CC8" w:rsidP="00A81CBC">
            <w:pPr>
              <w:spacing w:line="360" w:lineRule="auto"/>
              <w:rPr>
                <w:b w:val="0"/>
                <w:sz w:val="24"/>
              </w:rPr>
            </w:pPr>
            <w:r w:rsidRPr="006A49FB">
              <w:rPr>
                <w:b w:val="0"/>
                <w:sz w:val="24"/>
              </w:rPr>
              <w:t>Acaricides</w:t>
            </w:r>
          </w:p>
        </w:tc>
        <w:tc>
          <w:tcPr>
            <w:tcW w:w="1510" w:type="dxa"/>
            <w:tcBorders>
              <w:top w:val="dotted" w:sz="4" w:space="0" w:color="auto"/>
              <w:left w:val="dotted" w:sz="4" w:space="0" w:color="auto"/>
              <w:bottom w:val="dotted" w:sz="4" w:space="0" w:color="auto"/>
              <w:right w:val="dotted" w:sz="4" w:space="0" w:color="auto"/>
            </w:tcBorders>
            <w:vAlign w:val="center"/>
          </w:tcPr>
          <w:p w14:paraId="6A5EEECB"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160.60</w:t>
            </w:r>
          </w:p>
        </w:tc>
        <w:tc>
          <w:tcPr>
            <w:tcW w:w="1511" w:type="dxa"/>
            <w:tcBorders>
              <w:top w:val="dotted" w:sz="4" w:space="0" w:color="auto"/>
              <w:left w:val="dotted" w:sz="4" w:space="0" w:color="auto"/>
              <w:bottom w:val="dotted" w:sz="4" w:space="0" w:color="auto"/>
              <w:right w:val="dotted" w:sz="4" w:space="0" w:color="auto"/>
            </w:tcBorders>
            <w:vAlign w:val="center"/>
          </w:tcPr>
          <w:p w14:paraId="56FBD001"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177.66</w:t>
            </w:r>
          </w:p>
        </w:tc>
        <w:tc>
          <w:tcPr>
            <w:tcW w:w="1510" w:type="dxa"/>
            <w:tcBorders>
              <w:top w:val="dotted" w:sz="4" w:space="0" w:color="auto"/>
              <w:left w:val="dotted" w:sz="4" w:space="0" w:color="auto"/>
              <w:bottom w:val="dotted" w:sz="4" w:space="0" w:color="auto"/>
              <w:right w:val="dotted" w:sz="4" w:space="0" w:color="auto"/>
            </w:tcBorders>
            <w:vAlign w:val="center"/>
          </w:tcPr>
          <w:p w14:paraId="156787E3"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c>
          <w:tcPr>
            <w:tcW w:w="1511" w:type="dxa"/>
            <w:tcBorders>
              <w:top w:val="dotted" w:sz="4" w:space="0" w:color="auto"/>
              <w:left w:val="dotted" w:sz="4" w:space="0" w:color="auto"/>
              <w:bottom w:val="dotted" w:sz="4" w:space="0" w:color="auto"/>
              <w:right w:val="nil"/>
            </w:tcBorders>
            <w:vAlign w:val="center"/>
          </w:tcPr>
          <w:p w14:paraId="3FD4DAEB"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r>
      <w:tr w:rsidR="00F13CC8" w14:paraId="23A4B192"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06A0E61D" w14:textId="77777777" w:rsidR="00F13CC8" w:rsidRPr="00790F62" w:rsidRDefault="00F13CC8" w:rsidP="00A81CBC">
            <w:pPr>
              <w:spacing w:line="360" w:lineRule="auto"/>
              <w:rPr>
                <w:b w:val="0"/>
                <w:sz w:val="24"/>
              </w:rPr>
            </w:pPr>
            <w:r w:rsidRPr="00790F62">
              <w:rPr>
                <w:b w:val="0"/>
                <w:sz w:val="24"/>
              </w:rPr>
              <w:t>Biological Control</w:t>
            </w:r>
          </w:p>
        </w:tc>
        <w:tc>
          <w:tcPr>
            <w:tcW w:w="1510" w:type="dxa"/>
            <w:tcBorders>
              <w:top w:val="dotted" w:sz="4" w:space="0" w:color="auto"/>
              <w:left w:val="dotted" w:sz="4" w:space="0" w:color="auto"/>
              <w:bottom w:val="dotted" w:sz="4" w:space="0" w:color="auto"/>
              <w:right w:val="dotted" w:sz="4" w:space="0" w:color="auto"/>
            </w:tcBorders>
            <w:vAlign w:val="center"/>
          </w:tcPr>
          <w:p w14:paraId="65A89331"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tcW w:w="1511" w:type="dxa"/>
            <w:tcBorders>
              <w:top w:val="dotted" w:sz="4" w:space="0" w:color="auto"/>
              <w:left w:val="dotted" w:sz="4" w:space="0" w:color="auto"/>
              <w:bottom w:val="dotted" w:sz="4" w:space="0" w:color="auto"/>
              <w:right w:val="dotted" w:sz="4" w:space="0" w:color="auto"/>
            </w:tcBorders>
            <w:vAlign w:val="center"/>
          </w:tcPr>
          <w:p w14:paraId="0F23A289"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tcW w:w="1510" w:type="dxa"/>
            <w:tcBorders>
              <w:top w:val="dotted" w:sz="4" w:space="0" w:color="auto"/>
              <w:left w:val="dotted" w:sz="4" w:space="0" w:color="auto"/>
              <w:bottom w:val="dotted" w:sz="4" w:space="0" w:color="auto"/>
              <w:right w:val="dotted" w:sz="4" w:space="0" w:color="auto"/>
            </w:tcBorders>
            <w:vAlign w:val="center"/>
          </w:tcPr>
          <w:p w14:paraId="651F0C2D"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70.</w:t>
            </w:r>
            <w:r w:rsidRPr="00B07796">
              <w:rPr>
                <w:sz w:val="24"/>
              </w:rPr>
              <w:t>81</w:t>
            </w:r>
          </w:p>
        </w:tc>
        <w:tc>
          <w:tcPr>
            <w:tcW w:w="1511" w:type="dxa"/>
            <w:tcBorders>
              <w:top w:val="dotted" w:sz="4" w:space="0" w:color="auto"/>
              <w:left w:val="dotted" w:sz="4" w:space="0" w:color="auto"/>
              <w:bottom w:val="dotted" w:sz="4" w:space="0" w:color="auto"/>
              <w:right w:val="nil"/>
            </w:tcBorders>
            <w:vAlign w:val="center"/>
          </w:tcPr>
          <w:p w14:paraId="73231334"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87.87</w:t>
            </w:r>
          </w:p>
        </w:tc>
      </w:tr>
      <w:tr w:rsidR="00F13CC8" w14:paraId="75521683" w14:textId="77777777" w:rsidTr="00A81CBC">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003CF54D" w14:textId="77777777" w:rsidR="00F13CC8" w:rsidRPr="00790F62" w:rsidRDefault="00F13CC8" w:rsidP="00A81CBC">
            <w:pPr>
              <w:spacing w:line="360" w:lineRule="auto"/>
              <w:rPr>
                <w:b w:val="0"/>
                <w:sz w:val="24"/>
              </w:rPr>
            </w:pPr>
            <w:r w:rsidRPr="00790F62">
              <w:rPr>
                <w:b w:val="0"/>
                <w:sz w:val="24"/>
              </w:rPr>
              <w:t>Fungicides</w:t>
            </w:r>
          </w:p>
        </w:tc>
        <w:tc>
          <w:tcPr>
            <w:tcW w:w="1510" w:type="dxa"/>
            <w:tcBorders>
              <w:top w:val="dotted" w:sz="4" w:space="0" w:color="auto"/>
              <w:left w:val="dotted" w:sz="4" w:space="0" w:color="auto"/>
              <w:bottom w:val="dotted" w:sz="4" w:space="0" w:color="auto"/>
              <w:right w:val="dotted" w:sz="4" w:space="0" w:color="auto"/>
            </w:tcBorders>
            <w:vAlign w:val="center"/>
          </w:tcPr>
          <w:p w14:paraId="3D9B347C"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964.22</w:t>
            </w:r>
          </w:p>
        </w:tc>
        <w:tc>
          <w:tcPr>
            <w:tcW w:w="1511" w:type="dxa"/>
            <w:tcBorders>
              <w:top w:val="dotted" w:sz="4" w:space="0" w:color="auto"/>
              <w:left w:val="dotted" w:sz="4" w:space="0" w:color="auto"/>
              <w:bottom w:val="dotted" w:sz="4" w:space="0" w:color="auto"/>
              <w:right w:val="dotted" w:sz="4" w:space="0" w:color="auto"/>
            </w:tcBorders>
            <w:vAlign w:val="center"/>
          </w:tcPr>
          <w:p w14:paraId="063944A8"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1,510.72</w:t>
            </w:r>
          </w:p>
        </w:tc>
        <w:tc>
          <w:tcPr>
            <w:tcW w:w="1510" w:type="dxa"/>
            <w:tcBorders>
              <w:top w:val="dotted" w:sz="4" w:space="0" w:color="auto"/>
              <w:left w:val="dotted" w:sz="4" w:space="0" w:color="auto"/>
              <w:bottom w:val="dotted" w:sz="4" w:space="0" w:color="auto"/>
              <w:right w:val="dotted" w:sz="4" w:space="0" w:color="auto"/>
            </w:tcBorders>
            <w:vAlign w:val="center"/>
          </w:tcPr>
          <w:p w14:paraId="5E0B8718"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347.76</w:t>
            </w:r>
          </w:p>
        </w:tc>
        <w:tc>
          <w:tcPr>
            <w:tcW w:w="1511" w:type="dxa"/>
            <w:tcBorders>
              <w:top w:val="dotted" w:sz="4" w:space="0" w:color="auto"/>
              <w:left w:val="dotted" w:sz="4" w:space="0" w:color="auto"/>
              <w:bottom w:val="dotted" w:sz="4" w:space="0" w:color="auto"/>
              <w:right w:val="nil"/>
            </w:tcBorders>
            <w:vAlign w:val="center"/>
          </w:tcPr>
          <w:p w14:paraId="7B4A880B"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900.37</w:t>
            </w:r>
          </w:p>
        </w:tc>
      </w:tr>
      <w:tr w:rsidR="00F13CC8" w14:paraId="22D85D56"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69369DFE" w14:textId="77777777" w:rsidR="00F13CC8" w:rsidRPr="00790F62" w:rsidRDefault="00F13CC8" w:rsidP="00A81CBC">
            <w:pPr>
              <w:spacing w:line="360" w:lineRule="auto"/>
              <w:rPr>
                <w:b w:val="0"/>
                <w:sz w:val="24"/>
              </w:rPr>
            </w:pPr>
            <w:r w:rsidRPr="00790F62">
              <w:rPr>
                <w:b w:val="0"/>
                <w:sz w:val="24"/>
              </w:rPr>
              <w:t>Growth regulators</w:t>
            </w:r>
          </w:p>
        </w:tc>
        <w:tc>
          <w:tcPr>
            <w:tcW w:w="1510" w:type="dxa"/>
            <w:tcBorders>
              <w:top w:val="dotted" w:sz="4" w:space="0" w:color="auto"/>
              <w:left w:val="dotted" w:sz="4" w:space="0" w:color="auto"/>
              <w:bottom w:val="dotted" w:sz="4" w:space="0" w:color="auto"/>
              <w:right w:val="dotted" w:sz="4" w:space="0" w:color="auto"/>
            </w:tcBorders>
            <w:vAlign w:val="center"/>
          </w:tcPr>
          <w:p w14:paraId="6F580398"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188</w:t>
            </w:r>
          </w:p>
        </w:tc>
        <w:tc>
          <w:tcPr>
            <w:tcW w:w="1511" w:type="dxa"/>
            <w:tcBorders>
              <w:top w:val="dotted" w:sz="4" w:space="0" w:color="auto"/>
              <w:left w:val="dotted" w:sz="4" w:space="0" w:color="auto"/>
              <w:bottom w:val="dotted" w:sz="4" w:space="0" w:color="auto"/>
              <w:right w:val="dotted" w:sz="4" w:space="0" w:color="auto"/>
            </w:tcBorders>
            <w:vAlign w:val="center"/>
          </w:tcPr>
          <w:p w14:paraId="1E8ED4C2"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271.10</w:t>
            </w:r>
          </w:p>
        </w:tc>
        <w:tc>
          <w:tcPr>
            <w:tcW w:w="1510" w:type="dxa"/>
            <w:tcBorders>
              <w:top w:val="dotted" w:sz="4" w:space="0" w:color="auto"/>
              <w:left w:val="dotted" w:sz="4" w:space="0" w:color="auto"/>
              <w:bottom w:val="dotted" w:sz="4" w:space="0" w:color="auto"/>
              <w:right w:val="dotted" w:sz="4" w:space="0" w:color="auto"/>
            </w:tcBorders>
            <w:vAlign w:val="center"/>
          </w:tcPr>
          <w:p w14:paraId="6884D7BD"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tcW w:w="1511" w:type="dxa"/>
            <w:tcBorders>
              <w:top w:val="dotted" w:sz="4" w:space="0" w:color="auto"/>
              <w:left w:val="dotted" w:sz="4" w:space="0" w:color="auto"/>
              <w:bottom w:val="dotted" w:sz="4" w:space="0" w:color="auto"/>
              <w:right w:val="nil"/>
            </w:tcBorders>
            <w:vAlign w:val="center"/>
          </w:tcPr>
          <w:p w14:paraId="4B554F84"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r>
      <w:tr w:rsidR="00F13CC8" w14:paraId="788CD1AD" w14:textId="77777777" w:rsidTr="00A81CBC">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618172AC" w14:textId="77777777" w:rsidR="00F13CC8" w:rsidRPr="00790F62" w:rsidRDefault="00F13CC8" w:rsidP="00A81CBC">
            <w:pPr>
              <w:spacing w:line="360" w:lineRule="auto"/>
              <w:rPr>
                <w:b w:val="0"/>
                <w:sz w:val="24"/>
              </w:rPr>
            </w:pPr>
            <w:r w:rsidRPr="00790F62">
              <w:rPr>
                <w:b w:val="0"/>
                <w:sz w:val="24"/>
              </w:rPr>
              <w:t xml:space="preserve">Insecticides </w:t>
            </w:r>
          </w:p>
        </w:tc>
        <w:tc>
          <w:tcPr>
            <w:tcW w:w="1510" w:type="dxa"/>
            <w:tcBorders>
              <w:top w:val="dotted" w:sz="4" w:space="0" w:color="auto"/>
              <w:left w:val="dotted" w:sz="4" w:space="0" w:color="auto"/>
              <w:bottom w:val="dotted" w:sz="4" w:space="0" w:color="auto"/>
              <w:right w:val="dotted" w:sz="4" w:space="0" w:color="auto"/>
            </w:tcBorders>
            <w:vAlign w:val="center"/>
          </w:tcPr>
          <w:p w14:paraId="3E1926CC"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311.36</w:t>
            </w:r>
          </w:p>
        </w:tc>
        <w:tc>
          <w:tcPr>
            <w:tcW w:w="1511" w:type="dxa"/>
            <w:tcBorders>
              <w:top w:val="dotted" w:sz="4" w:space="0" w:color="auto"/>
              <w:left w:val="dotted" w:sz="4" w:space="0" w:color="auto"/>
              <w:bottom w:val="dotted" w:sz="4" w:space="0" w:color="auto"/>
              <w:right w:val="dotted" w:sz="4" w:space="0" w:color="auto"/>
            </w:tcBorders>
            <w:vAlign w:val="center"/>
          </w:tcPr>
          <w:p w14:paraId="65F232AE"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396.64</w:t>
            </w:r>
          </w:p>
        </w:tc>
        <w:tc>
          <w:tcPr>
            <w:tcW w:w="1510" w:type="dxa"/>
            <w:tcBorders>
              <w:top w:val="dotted" w:sz="4" w:space="0" w:color="auto"/>
              <w:left w:val="dotted" w:sz="4" w:space="0" w:color="auto"/>
              <w:bottom w:val="dotted" w:sz="4" w:space="0" w:color="auto"/>
              <w:right w:val="dotted" w:sz="4" w:space="0" w:color="auto"/>
            </w:tcBorders>
            <w:vAlign w:val="center"/>
          </w:tcPr>
          <w:p w14:paraId="178F1D7F"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1,137.</w:t>
            </w:r>
            <w:r w:rsidRPr="00B07796">
              <w:rPr>
                <w:sz w:val="24"/>
              </w:rPr>
              <w:t>75</w:t>
            </w:r>
          </w:p>
        </w:tc>
        <w:tc>
          <w:tcPr>
            <w:tcW w:w="1511" w:type="dxa"/>
            <w:tcBorders>
              <w:top w:val="dotted" w:sz="4" w:space="0" w:color="auto"/>
              <w:left w:val="dotted" w:sz="4" w:space="0" w:color="auto"/>
              <w:bottom w:val="dotted" w:sz="4" w:space="0" w:color="auto"/>
              <w:right w:val="nil"/>
            </w:tcBorders>
            <w:vAlign w:val="center"/>
          </w:tcPr>
          <w:p w14:paraId="686B5445"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1,363.46</w:t>
            </w:r>
          </w:p>
        </w:tc>
      </w:tr>
      <w:tr w:rsidR="00F13CC8" w14:paraId="4A26CC44"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4D54C84B" w14:textId="77777777" w:rsidR="00F13CC8" w:rsidRPr="00790F62" w:rsidRDefault="00F13CC8" w:rsidP="00A81CBC">
            <w:pPr>
              <w:spacing w:line="360" w:lineRule="auto"/>
              <w:rPr>
                <w:b w:val="0"/>
                <w:sz w:val="24"/>
              </w:rPr>
            </w:pPr>
            <w:r w:rsidRPr="00790F62">
              <w:rPr>
                <w:b w:val="0"/>
                <w:sz w:val="24"/>
              </w:rPr>
              <w:t>Mating disruption (pheromones)</w:t>
            </w:r>
          </w:p>
        </w:tc>
        <w:tc>
          <w:tcPr>
            <w:tcW w:w="3021" w:type="dxa"/>
            <w:gridSpan w:val="2"/>
            <w:tcBorders>
              <w:top w:val="dotted" w:sz="4" w:space="0" w:color="auto"/>
              <w:left w:val="dotted" w:sz="4" w:space="0" w:color="auto"/>
              <w:bottom w:val="dotted" w:sz="4" w:space="0" w:color="auto"/>
              <w:right w:val="dotted" w:sz="4" w:space="0" w:color="auto"/>
            </w:tcBorders>
            <w:vAlign w:val="center"/>
          </w:tcPr>
          <w:p w14:paraId="4894B532"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210.21</w:t>
            </w:r>
          </w:p>
        </w:tc>
        <w:tc>
          <w:tcPr>
            <w:tcW w:w="1510" w:type="dxa"/>
            <w:tcBorders>
              <w:top w:val="dotted" w:sz="4" w:space="0" w:color="auto"/>
              <w:left w:val="dotted" w:sz="4" w:space="0" w:color="auto"/>
              <w:bottom w:val="dotted" w:sz="4" w:space="0" w:color="auto"/>
              <w:right w:val="dotted" w:sz="4" w:space="0" w:color="auto"/>
            </w:tcBorders>
            <w:vAlign w:val="center"/>
          </w:tcPr>
          <w:p w14:paraId="0BF811BD"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tcW w:w="1511" w:type="dxa"/>
            <w:tcBorders>
              <w:top w:val="dotted" w:sz="4" w:space="0" w:color="auto"/>
              <w:left w:val="dotted" w:sz="4" w:space="0" w:color="auto"/>
              <w:bottom w:val="dotted" w:sz="4" w:space="0" w:color="auto"/>
              <w:right w:val="nil"/>
            </w:tcBorders>
            <w:vAlign w:val="center"/>
          </w:tcPr>
          <w:p w14:paraId="46CD3994"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280.08</w:t>
            </w:r>
          </w:p>
        </w:tc>
      </w:tr>
      <w:tr w:rsidR="00F13CC8" w14:paraId="4D9A8D6D" w14:textId="77777777" w:rsidTr="00A81CBC">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left w:val="nil"/>
              <w:bottom w:val="dotted" w:sz="4" w:space="0" w:color="auto"/>
              <w:right w:val="dotted" w:sz="4" w:space="0" w:color="auto"/>
            </w:tcBorders>
            <w:vAlign w:val="center"/>
          </w:tcPr>
          <w:p w14:paraId="4D771CF3" w14:textId="77777777" w:rsidR="00F13CC8" w:rsidRPr="00790F62" w:rsidRDefault="00F13CC8" w:rsidP="00A81CBC">
            <w:pPr>
              <w:spacing w:line="360" w:lineRule="auto"/>
              <w:rPr>
                <w:b w:val="0"/>
                <w:sz w:val="24"/>
              </w:rPr>
            </w:pPr>
            <w:r w:rsidRPr="00790F62">
              <w:rPr>
                <w:b w:val="0"/>
                <w:sz w:val="24"/>
              </w:rPr>
              <w:t>Rodenticides</w:t>
            </w:r>
          </w:p>
        </w:tc>
        <w:tc>
          <w:tcPr>
            <w:tcW w:w="1510" w:type="dxa"/>
            <w:tcBorders>
              <w:top w:val="dotted" w:sz="4" w:space="0" w:color="auto"/>
              <w:left w:val="dotted" w:sz="4" w:space="0" w:color="auto"/>
              <w:bottom w:val="dotted" w:sz="4" w:space="0" w:color="auto"/>
              <w:right w:val="dotted" w:sz="4" w:space="0" w:color="auto"/>
            </w:tcBorders>
            <w:vAlign w:val="center"/>
          </w:tcPr>
          <w:p w14:paraId="6D9E84B8"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18.47</w:t>
            </w:r>
          </w:p>
        </w:tc>
        <w:tc>
          <w:tcPr>
            <w:tcW w:w="1511" w:type="dxa"/>
            <w:tcBorders>
              <w:top w:val="dotted" w:sz="4" w:space="0" w:color="auto"/>
              <w:left w:val="dotted" w:sz="4" w:space="0" w:color="auto"/>
              <w:bottom w:val="dotted" w:sz="4" w:space="0" w:color="auto"/>
              <w:right w:val="dotted" w:sz="4" w:space="0" w:color="auto"/>
            </w:tcBorders>
            <w:vAlign w:val="center"/>
          </w:tcPr>
          <w:p w14:paraId="75567D01"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c>
          <w:tcPr>
            <w:tcW w:w="1510" w:type="dxa"/>
            <w:tcBorders>
              <w:top w:val="dotted" w:sz="4" w:space="0" w:color="auto"/>
              <w:left w:val="dotted" w:sz="4" w:space="0" w:color="auto"/>
              <w:bottom w:val="dotted" w:sz="4" w:space="0" w:color="auto"/>
              <w:right w:val="dotted" w:sz="4" w:space="0" w:color="auto"/>
            </w:tcBorders>
            <w:vAlign w:val="center"/>
          </w:tcPr>
          <w:p w14:paraId="12067A70"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c>
          <w:tcPr>
            <w:tcW w:w="1511" w:type="dxa"/>
            <w:tcBorders>
              <w:top w:val="dotted" w:sz="4" w:space="0" w:color="auto"/>
              <w:left w:val="dotted" w:sz="4" w:space="0" w:color="auto"/>
              <w:bottom w:val="dotted" w:sz="4" w:space="0" w:color="auto"/>
              <w:right w:val="nil"/>
            </w:tcBorders>
            <w:vAlign w:val="center"/>
          </w:tcPr>
          <w:p w14:paraId="1D93E3E5" w14:textId="77777777" w:rsidR="00F13CC8"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r>
      <w:tr w:rsidR="00F13CC8" w14:paraId="3A70F08D"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Borders>
              <w:top w:val="dotted" w:sz="4" w:space="0" w:color="auto"/>
              <w:bottom w:val="single" w:sz="12" w:space="0" w:color="auto"/>
            </w:tcBorders>
            <w:vAlign w:val="center"/>
          </w:tcPr>
          <w:p w14:paraId="3D306225" w14:textId="77777777" w:rsidR="00F13CC8" w:rsidRPr="00790F62" w:rsidRDefault="00F13CC8" w:rsidP="00A81CBC">
            <w:pPr>
              <w:spacing w:line="360" w:lineRule="auto"/>
              <w:rPr>
                <w:b w:val="0"/>
                <w:sz w:val="24"/>
              </w:rPr>
            </w:pPr>
            <w:r w:rsidRPr="00790F62">
              <w:rPr>
                <w:b w:val="0"/>
                <w:sz w:val="24"/>
              </w:rPr>
              <w:t>Fertilisers</w:t>
            </w:r>
          </w:p>
        </w:tc>
        <w:tc>
          <w:tcPr>
            <w:tcW w:w="1510" w:type="dxa"/>
            <w:tcBorders>
              <w:top w:val="dotted" w:sz="4" w:space="0" w:color="auto"/>
              <w:bottom w:val="single" w:sz="12" w:space="0" w:color="auto"/>
            </w:tcBorders>
            <w:vAlign w:val="center"/>
          </w:tcPr>
          <w:p w14:paraId="0431ED3A"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554.83</w:t>
            </w:r>
          </w:p>
        </w:tc>
        <w:tc>
          <w:tcPr>
            <w:tcW w:w="1511" w:type="dxa"/>
            <w:tcBorders>
              <w:top w:val="dotted" w:sz="4" w:space="0" w:color="auto"/>
              <w:bottom w:val="single" w:sz="12" w:space="0" w:color="auto"/>
              <w:right w:val="dotted" w:sz="4" w:space="0" w:color="auto"/>
            </w:tcBorders>
            <w:vAlign w:val="center"/>
          </w:tcPr>
          <w:p w14:paraId="0A667E00"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776.66</w:t>
            </w:r>
          </w:p>
        </w:tc>
        <w:tc>
          <w:tcPr>
            <w:tcW w:w="1510" w:type="dxa"/>
            <w:tcBorders>
              <w:top w:val="dotted" w:sz="4" w:space="0" w:color="auto"/>
              <w:left w:val="dotted" w:sz="4" w:space="0" w:color="auto"/>
              <w:bottom w:val="single" w:sz="12" w:space="0" w:color="auto"/>
            </w:tcBorders>
            <w:vAlign w:val="center"/>
          </w:tcPr>
          <w:p w14:paraId="18FC74C2"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950.</w:t>
            </w:r>
            <w:r w:rsidRPr="0066716C">
              <w:rPr>
                <w:sz w:val="24"/>
              </w:rPr>
              <w:t>65</w:t>
            </w:r>
          </w:p>
        </w:tc>
        <w:tc>
          <w:tcPr>
            <w:tcW w:w="1511" w:type="dxa"/>
            <w:tcBorders>
              <w:top w:val="dotted" w:sz="4" w:space="0" w:color="auto"/>
              <w:bottom w:val="single" w:sz="12" w:space="0" w:color="auto"/>
              <w:right w:val="nil"/>
            </w:tcBorders>
            <w:vAlign w:val="center"/>
          </w:tcPr>
          <w:p w14:paraId="2817F724" w14:textId="77777777" w:rsidR="00F13CC8" w:rsidRDefault="00F13CC8" w:rsidP="00A81CBC">
            <w:pPr>
              <w:spacing w:line="36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1,098.06</w:t>
            </w:r>
          </w:p>
        </w:tc>
      </w:tr>
      <w:tr w:rsidR="00F13CC8" w14:paraId="2DDF8CE4" w14:textId="77777777" w:rsidTr="00A81CBC">
        <w:tc>
          <w:tcPr>
            <w:cnfStyle w:val="001000000000" w:firstRow="0" w:lastRow="0" w:firstColumn="1" w:lastColumn="0" w:oddVBand="0" w:evenVBand="0" w:oddHBand="0" w:evenHBand="0" w:firstRowFirstColumn="0" w:firstRowLastColumn="0" w:lastRowFirstColumn="0" w:lastRowLastColumn="0"/>
            <w:tcW w:w="3020" w:type="dxa"/>
            <w:tcBorders>
              <w:top w:val="single" w:sz="12" w:space="0" w:color="auto"/>
              <w:bottom w:val="single" w:sz="12" w:space="0" w:color="auto"/>
            </w:tcBorders>
            <w:vAlign w:val="center"/>
          </w:tcPr>
          <w:p w14:paraId="19C92E36" w14:textId="77777777" w:rsidR="00F13CC8" w:rsidRPr="00471A7C" w:rsidRDefault="00F13CC8" w:rsidP="00A81CBC">
            <w:pPr>
              <w:spacing w:line="360" w:lineRule="auto"/>
              <w:rPr>
                <w:sz w:val="24"/>
              </w:rPr>
            </w:pPr>
            <w:r w:rsidRPr="00471A7C">
              <w:rPr>
                <w:sz w:val="24"/>
              </w:rPr>
              <w:t>Total application costs</w:t>
            </w:r>
          </w:p>
        </w:tc>
        <w:tc>
          <w:tcPr>
            <w:tcW w:w="1510" w:type="dxa"/>
            <w:tcBorders>
              <w:top w:val="single" w:sz="12" w:space="0" w:color="auto"/>
              <w:bottom w:val="single" w:sz="12" w:space="0" w:color="auto"/>
            </w:tcBorders>
            <w:vAlign w:val="center"/>
          </w:tcPr>
          <w:p w14:paraId="55FE910D" w14:textId="77777777" w:rsidR="00F13CC8" w:rsidRPr="00471A7C"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b/>
                <w:sz w:val="24"/>
              </w:rPr>
            </w:pPr>
          </w:p>
        </w:tc>
        <w:tc>
          <w:tcPr>
            <w:tcW w:w="1511" w:type="dxa"/>
            <w:tcBorders>
              <w:top w:val="single" w:sz="12" w:space="0" w:color="auto"/>
              <w:bottom w:val="single" w:sz="12" w:space="0" w:color="auto"/>
              <w:right w:val="dotted" w:sz="4" w:space="0" w:color="auto"/>
            </w:tcBorders>
            <w:vAlign w:val="center"/>
          </w:tcPr>
          <w:p w14:paraId="220F8BD9" w14:textId="77777777" w:rsidR="00F13CC8" w:rsidRPr="00471A7C"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471A7C">
              <w:rPr>
                <w:b/>
                <w:sz w:val="24"/>
              </w:rPr>
              <w:t>3,717.87</w:t>
            </w:r>
          </w:p>
        </w:tc>
        <w:tc>
          <w:tcPr>
            <w:tcW w:w="1510" w:type="dxa"/>
            <w:tcBorders>
              <w:top w:val="single" w:sz="12" w:space="0" w:color="auto"/>
              <w:left w:val="dotted" w:sz="4" w:space="0" w:color="auto"/>
              <w:bottom w:val="single" w:sz="12" w:space="0" w:color="auto"/>
            </w:tcBorders>
            <w:vAlign w:val="center"/>
          </w:tcPr>
          <w:p w14:paraId="4974BB6E" w14:textId="77777777" w:rsidR="00F13CC8" w:rsidRPr="00471A7C"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b/>
                <w:sz w:val="24"/>
              </w:rPr>
            </w:pPr>
          </w:p>
        </w:tc>
        <w:tc>
          <w:tcPr>
            <w:tcW w:w="1511" w:type="dxa"/>
            <w:tcBorders>
              <w:top w:val="single" w:sz="12" w:space="0" w:color="auto"/>
              <w:bottom w:val="single" w:sz="12" w:space="0" w:color="auto"/>
              <w:right w:val="nil"/>
            </w:tcBorders>
            <w:vAlign w:val="center"/>
          </w:tcPr>
          <w:p w14:paraId="1E473C43" w14:textId="77777777" w:rsidR="00F13CC8" w:rsidRPr="00471A7C" w:rsidRDefault="00F13CC8" w:rsidP="00A81CBC">
            <w:pPr>
              <w:spacing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471A7C">
              <w:rPr>
                <w:b/>
                <w:sz w:val="24"/>
              </w:rPr>
              <w:t>4,426.09</w:t>
            </w:r>
          </w:p>
        </w:tc>
      </w:tr>
      <w:tr w:rsidR="00F13CC8" w14:paraId="744D047C" w14:textId="77777777" w:rsidTr="00A81C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tcBorders>
              <w:top w:val="single" w:sz="12" w:space="0" w:color="auto"/>
              <w:bottom w:val="nil"/>
              <w:right w:val="nil"/>
            </w:tcBorders>
          </w:tcPr>
          <w:p w14:paraId="742CC34B" w14:textId="77777777" w:rsidR="00F13CC8" w:rsidRPr="00790F62" w:rsidRDefault="00F13CC8" w:rsidP="007E6465">
            <w:pPr>
              <w:spacing w:line="360" w:lineRule="auto"/>
              <w:rPr>
                <w:b w:val="0"/>
                <w:sz w:val="24"/>
              </w:rPr>
            </w:pPr>
            <w:r>
              <w:rPr>
                <w:b w:val="0"/>
              </w:rPr>
              <w:t>V</w:t>
            </w:r>
            <w:r w:rsidRPr="00D973ED">
              <w:rPr>
                <w:b w:val="0"/>
              </w:rPr>
              <w:t xml:space="preserve">alues </w:t>
            </w:r>
            <w:r>
              <w:rPr>
                <w:b w:val="0"/>
              </w:rPr>
              <w:t xml:space="preserve">correspond to production costs </w:t>
            </w:r>
            <w:r w:rsidR="00CD0D0D">
              <w:rPr>
                <w:b w:val="0"/>
              </w:rPr>
              <w:t>(</w:t>
            </w:r>
            <w:r w:rsidRPr="001F3408">
              <w:rPr>
                <w:b w:val="0"/>
              </w:rPr>
              <w:t>€</w:t>
            </w:r>
            <w:r>
              <w:rPr>
                <w:b w:val="0"/>
              </w:rPr>
              <w:t>/ha) for the 2021 and 2022 seasons, in equivalent 2021 euros.</w:t>
            </w:r>
          </w:p>
        </w:tc>
      </w:tr>
    </w:tbl>
    <w:p w14:paraId="49B20D25" w14:textId="47D9593E" w:rsidR="00D82120" w:rsidRDefault="00F13CC8" w:rsidP="00476242">
      <w:pPr>
        <w:spacing w:before="240" w:line="360" w:lineRule="auto"/>
        <w:rPr>
          <w:sz w:val="24"/>
        </w:rPr>
      </w:pPr>
      <w:r w:rsidRPr="00720EEA">
        <w:rPr>
          <w:sz w:val="24"/>
        </w:rPr>
        <w:t xml:space="preserve">When considering the 20-year period, the development of production costs demonstrates that the total discounted production costs borne </w:t>
      </w:r>
      <w:r w:rsidRPr="00C666CE">
        <w:rPr>
          <w:sz w:val="24"/>
        </w:rPr>
        <w:t xml:space="preserve">under the </w:t>
      </w:r>
      <w:r>
        <w:rPr>
          <w:sz w:val="24"/>
        </w:rPr>
        <w:t>organic-IPM</w:t>
      </w:r>
      <w:r w:rsidRPr="00C666CE">
        <w:rPr>
          <w:sz w:val="24"/>
        </w:rPr>
        <w:t xml:space="preserve"> (€67,824.</w:t>
      </w:r>
      <w:r>
        <w:rPr>
          <w:sz w:val="24"/>
        </w:rPr>
        <w:t>50</w:t>
      </w:r>
      <w:r w:rsidRPr="00C666CE">
        <w:rPr>
          <w:sz w:val="24"/>
        </w:rPr>
        <w:t xml:space="preserve">/ha) </w:t>
      </w:r>
      <w:r w:rsidRPr="00C666CE">
        <w:rPr>
          <w:sz w:val="24"/>
        </w:rPr>
        <w:lastRenderedPageBreak/>
        <w:t xml:space="preserve">exceed those of the </w:t>
      </w:r>
      <w:r>
        <w:rPr>
          <w:sz w:val="24"/>
        </w:rPr>
        <w:t>conventional-IPM</w:t>
      </w:r>
      <w:r w:rsidRPr="00C666CE">
        <w:rPr>
          <w:sz w:val="24"/>
        </w:rPr>
        <w:t xml:space="preserve"> (€56,971.8</w:t>
      </w:r>
      <w:r>
        <w:rPr>
          <w:sz w:val="24"/>
        </w:rPr>
        <w:t>8</w:t>
      </w:r>
      <w:r w:rsidRPr="00C666CE">
        <w:rPr>
          <w:sz w:val="24"/>
        </w:rPr>
        <w:t>/ha) by 19.05%.</w:t>
      </w:r>
      <w:r>
        <w:rPr>
          <w:sz w:val="24"/>
        </w:rPr>
        <w:t xml:space="preserve"> </w:t>
      </w:r>
      <w:r w:rsidRPr="0064389B">
        <w:rPr>
          <w:sz w:val="24"/>
        </w:rPr>
        <w:t>Regarding gross revenues over a 20-year period, the estimated revenue for orga</w:t>
      </w:r>
      <w:r>
        <w:rPr>
          <w:sz w:val="24"/>
        </w:rPr>
        <w:t>nic-IPM is €1,206,749/ha</w:t>
      </w:r>
      <w:r w:rsidRPr="0064389B">
        <w:rPr>
          <w:sz w:val="24"/>
        </w:rPr>
        <w:t>, whereas the estimated revenue for conventi</w:t>
      </w:r>
      <w:r>
        <w:rPr>
          <w:sz w:val="24"/>
        </w:rPr>
        <w:t>onal-IPM is €998,626/ha</w:t>
      </w:r>
      <w:r w:rsidRPr="0064389B">
        <w:rPr>
          <w:sz w:val="24"/>
        </w:rPr>
        <w:t>. This translates to a 20.84% higher revenue for organic-IPM compared to conventional-IPM.</w:t>
      </w:r>
    </w:p>
    <w:p w14:paraId="78417D2E" w14:textId="77777777" w:rsidR="00E10C46" w:rsidRPr="00E10C46" w:rsidRDefault="00E10C46" w:rsidP="00476242">
      <w:pPr>
        <w:spacing w:before="240" w:line="360" w:lineRule="auto"/>
        <w:rPr>
          <w:color w:val="000000" w:themeColor="text1"/>
          <w:sz w:val="24"/>
        </w:rPr>
      </w:pPr>
    </w:p>
    <w:p w14:paraId="7FBF10FF" w14:textId="3D73EAB4" w:rsidR="00D240BE" w:rsidRPr="00E10C46" w:rsidRDefault="00E10C46" w:rsidP="00E10C46">
      <w:pPr>
        <w:pStyle w:val="Heading1"/>
        <w:rPr>
          <w:b/>
          <w:color w:val="000000" w:themeColor="text1"/>
          <w:sz w:val="28"/>
        </w:rPr>
      </w:pPr>
      <w:r w:rsidRPr="00E10C46">
        <w:rPr>
          <w:b/>
          <w:color w:val="000000" w:themeColor="text1"/>
          <w:sz w:val="28"/>
        </w:rPr>
        <w:t>Landscape features</w:t>
      </w:r>
    </w:p>
    <w:p w14:paraId="22FFCDD0" w14:textId="77777777" w:rsidR="00E10C46" w:rsidRPr="00E10C46" w:rsidRDefault="00E10C46" w:rsidP="00E10C46">
      <w:pPr>
        <w:rPr>
          <w:sz w:val="24"/>
        </w:rPr>
      </w:pPr>
    </w:p>
    <w:p w14:paraId="4EAF2745" w14:textId="344E10D0" w:rsidR="00F13CC8" w:rsidRDefault="00D240BE" w:rsidP="00247CB9">
      <w:pPr>
        <w:spacing w:after="0" w:line="276" w:lineRule="auto"/>
        <w:rPr>
          <w:sz w:val="24"/>
        </w:rPr>
      </w:pPr>
      <w:r>
        <w:rPr>
          <w:b/>
        </w:rPr>
        <w:t xml:space="preserve">Table </w:t>
      </w:r>
      <w:r w:rsidR="00E10C46">
        <w:rPr>
          <w:b/>
        </w:rPr>
        <w:t>S4</w:t>
      </w:r>
      <w:r w:rsidRPr="00F60DEC">
        <w:rPr>
          <w:b/>
        </w:rPr>
        <w:t>.</w:t>
      </w:r>
      <w:r w:rsidRPr="002C7B4B">
        <w:t xml:space="preserve"> Costs for implementing flower strips in apple orchards according to </w:t>
      </w:r>
      <w:r w:rsidR="008112E6">
        <w:fldChar w:fldCharType="begin"/>
      </w:r>
      <w:r w:rsidR="0044758E">
        <w:instrText xml:space="preserve"> ADDIN ZOTERO_ITEM CSL_CITATION {"citationID":"aC6x5QiH","properties":{"formattedCitation":"(Pfiffner et al. 2018)","plainCitation":"(Pfiffner et al. 2018)","dontUpdate":true,"noteIndex":0},"citationItems":[{"id":305,"uris":["http://zotero.org/users/13178736/items/UY6M94VI"],"itemData":{"id":305,"type":"report","genre":"Technical guide 2018 | No. 1096","publisher":"FiBL, EcoAdv. DK, UCPH, SLU, CRA-W","title":"Perennial flower strips – a tool for improving pest control in fruit orchards","URL":"www.orgprints.org or www.fibl.org","author":[{"family":"Pfiffner","given":"Lukas"},{"family":"Jamar","given":"Laurent"},{"family":"Cahenzli","given":"Fabian"},{"family":"Korsgaard","given":"Maren"},{"family":"Świergiel","given":"Weronika"},{"family":"Sigsgaard","given":"Lene"}],"issued":{"date-parts":[["2018"]]}}}],"schema":"https://github.com/citation-style-language/schema/raw/master/csl-citation.json"} </w:instrText>
      </w:r>
      <w:r w:rsidR="008112E6">
        <w:fldChar w:fldCharType="separate"/>
      </w:r>
      <w:r w:rsidR="008112E6" w:rsidRPr="008112E6">
        <w:rPr>
          <w:rFonts w:ascii="Calibri" w:hAnsi="Calibri" w:cs="Calibri"/>
        </w:rPr>
        <w:t xml:space="preserve">Pfiffner et al. </w:t>
      </w:r>
      <w:r w:rsidR="002344A7">
        <w:rPr>
          <w:rFonts w:ascii="Calibri" w:hAnsi="Calibri" w:cs="Calibri"/>
        </w:rPr>
        <w:t>(</w:t>
      </w:r>
      <w:r w:rsidR="008112E6" w:rsidRPr="008112E6">
        <w:rPr>
          <w:rFonts w:ascii="Calibri" w:hAnsi="Calibri" w:cs="Calibri"/>
        </w:rPr>
        <w:t>2018)</w:t>
      </w:r>
      <w:r w:rsidR="008112E6">
        <w:fldChar w:fldCharType="end"/>
      </w:r>
      <w:r w:rsidRPr="002C7B4B">
        <w:t>.</w:t>
      </w:r>
    </w:p>
    <w:tbl>
      <w:tblPr>
        <w:tblStyle w:val="PlainTable2"/>
        <w:tblW w:w="0" w:type="auto"/>
        <w:tblLook w:val="04A0" w:firstRow="1" w:lastRow="0" w:firstColumn="1" w:lastColumn="0" w:noHBand="0" w:noVBand="1"/>
      </w:tblPr>
      <w:tblGrid>
        <w:gridCol w:w="2268"/>
        <w:gridCol w:w="3686"/>
        <w:gridCol w:w="2866"/>
      </w:tblGrid>
      <w:tr w:rsidR="00D240BE" w:rsidRPr="00833CE3" w14:paraId="0911B128" w14:textId="77777777" w:rsidTr="006B61CB">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954" w:type="dxa"/>
            <w:gridSpan w:val="2"/>
            <w:tcBorders>
              <w:top w:val="single" w:sz="4" w:space="0" w:color="auto"/>
            </w:tcBorders>
            <w:noWrap/>
            <w:vAlign w:val="center"/>
            <w:hideMark/>
          </w:tcPr>
          <w:p w14:paraId="40B78255" w14:textId="77777777" w:rsidR="00D240BE" w:rsidRPr="0036562E" w:rsidRDefault="00D240BE" w:rsidP="006B61CB">
            <w:pPr>
              <w:spacing w:line="360" w:lineRule="auto"/>
              <w:jc w:val="center"/>
              <w:rPr>
                <w:sz w:val="24"/>
                <w:szCs w:val="24"/>
              </w:rPr>
            </w:pPr>
            <w:r w:rsidRPr="0036562E">
              <w:rPr>
                <w:sz w:val="24"/>
                <w:szCs w:val="24"/>
              </w:rPr>
              <w:t>Costs Category</w:t>
            </w:r>
          </w:p>
        </w:tc>
        <w:tc>
          <w:tcPr>
            <w:tcW w:w="2866" w:type="dxa"/>
            <w:tcBorders>
              <w:top w:val="single" w:sz="4" w:space="0" w:color="auto"/>
            </w:tcBorders>
            <w:noWrap/>
            <w:vAlign w:val="center"/>
            <w:hideMark/>
          </w:tcPr>
          <w:p w14:paraId="5B0FD2AA" w14:textId="77777777" w:rsidR="00D240BE" w:rsidRPr="0036562E" w:rsidRDefault="00D240BE" w:rsidP="006B61CB">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4"/>
                <w:szCs w:val="24"/>
                <w:vertAlign w:val="superscript"/>
              </w:rPr>
            </w:pPr>
            <w:r>
              <w:rPr>
                <w:b w:val="0"/>
                <w:bCs w:val="0"/>
                <w:sz w:val="24"/>
                <w:szCs w:val="24"/>
              </w:rPr>
              <w:t xml:space="preserve">Annual Costs per ha </w:t>
            </w:r>
            <w:r w:rsidRPr="0036562E">
              <w:rPr>
                <w:b w:val="0"/>
                <w:bCs w:val="0"/>
                <w:sz w:val="24"/>
                <w:szCs w:val="24"/>
                <w:vertAlign w:val="superscript"/>
              </w:rPr>
              <w:t>a</w:t>
            </w:r>
          </w:p>
        </w:tc>
      </w:tr>
      <w:tr w:rsidR="00D240BE" w:rsidRPr="00833CE3" w14:paraId="37BA1AFE" w14:textId="77777777" w:rsidTr="006B61C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268" w:type="dxa"/>
            <w:vMerge w:val="restart"/>
            <w:vAlign w:val="center"/>
            <w:hideMark/>
          </w:tcPr>
          <w:p w14:paraId="06C60681" w14:textId="77777777" w:rsidR="00D240BE" w:rsidRPr="0036562E" w:rsidRDefault="00D240BE" w:rsidP="006B61CB">
            <w:pPr>
              <w:spacing w:line="360" w:lineRule="auto"/>
              <w:rPr>
                <w:b w:val="0"/>
                <w:sz w:val="24"/>
                <w:szCs w:val="24"/>
              </w:rPr>
            </w:pPr>
            <w:r w:rsidRPr="0036562E">
              <w:rPr>
                <w:b w:val="0"/>
                <w:sz w:val="24"/>
                <w:szCs w:val="24"/>
              </w:rPr>
              <w:t>Installation</w:t>
            </w:r>
            <w:r w:rsidRPr="0036562E">
              <w:rPr>
                <w:b w:val="0"/>
                <w:sz w:val="24"/>
                <w:szCs w:val="24"/>
              </w:rPr>
              <w:br/>
              <w:t>cost</w:t>
            </w:r>
          </w:p>
        </w:tc>
        <w:tc>
          <w:tcPr>
            <w:tcW w:w="3686" w:type="dxa"/>
            <w:vAlign w:val="center"/>
            <w:hideMark/>
          </w:tcPr>
          <w:p w14:paraId="75F43476" w14:textId="77777777" w:rsidR="00D240BE" w:rsidRPr="0036562E" w:rsidRDefault="00D240BE" w:rsidP="006B61CB">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36562E">
              <w:rPr>
                <w:bCs/>
                <w:sz w:val="24"/>
                <w:szCs w:val="24"/>
              </w:rPr>
              <w:t>Costs for purchasing seed</w:t>
            </w:r>
          </w:p>
        </w:tc>
        <w:tc>
          <w:tcPr>
            <w:tcW w:w="2866" w:type="dxa"/>
            <w:noWrap/>
            <w:vAlign w:val="center"/>
            <w:hideMark/>
          </w:tcPr>
          <w:p w14:paraId="348D9C83" w14:textId="77777777" w:rsidR="00D240BE" w:rsidRPr="0036562E" w:rsidRDefault="00D240BE" w:rsidP="006B61CB">
            <w:pPr>
              <w:spacing w:line="360" w:lineRule="auto"/>
              <w:jc w:val="center"/>
              <w:cnfStyle w:val="000000100000" w:firstRow="0" w:lastRow="0" w:firstColumn="0" w:lastColumn="0" w:oddVBand="0" w:evenVBand="0" w:oddHBand="1" w:evenHBand="0" w:firstRowFirstColumn="0" w:firstRowLastColumn="0" w:lastRowFirstColumn="0" w:lastRowLastColumn="0"/>
              <w:rPr>
                <w:bCs/>
                <w:sz w:val="24"/>
                <w:szCs w:val="24"/>
              </w:rPr>
            </w:pPr>
            <w:r w:rsidRPr="0036562E">
              <w:rPr>
                <w:bCs/>
                <w:sz w:val="24"/>
                <w:szCs w:val="24"/>
              </w:rPr>
              <w:t>130.1707</w:t>
            </w:r>
          </w:p>
        </w:tc>
      </w:tr>
      <w:tr w:rsidR="00D240BE" w:rsidRPr="00833CE3" w14:paraId="2DA2FA1F" w14:textId="77777777" w:rsidTr="006B61CB">
        <w:trPr>
          <w:trHeight w:val="315"/>
        </w:trPr>
        <w:tc>
          <w:tcPr>
            <w:cnfStyle w:val="001000000000" w:firstRow="0" w:lastRow="0" w:firstColumn="1" w:lastColumn="0" w:oddVBand="0" w:evenVBand="0" w:oddHBand="0" w:evenHBand="0" w:firstRowFirstColumn="0" w:firstRowLastColumn="0" w:lastRowFirstColumn="0" w:lastRowLastColumn="0"/>
            <w:tcW w:w="2268" w:type="dxa"/>
            <w:vMerge/>
            <w:vAlign w:val="center"/>
            <w:hideMark/>
          </w:tcPr>
          <w:p w14:paraId="79AA4E19" w14:textId="77777777" w:rsidR="00D240BE" w:rsidRPr="0036562E" w:rsidRDefault="00D240BE" w:rsidP="006B61CB">
            <w:pPr>
              <w:spacing w:line="360" w:lineRule="auto"/>
              <w:rPr>
                <w:b w:val="0"/>
                <w:sz w:val="24"/>
                <w:szCs w:val="24"/>
              </w:rPr>
            </w:pPr>
          </w:p>
        </w:tc>
        <w:tc>
          <w:tcPr>
            <w:tcW w:w="3686" w:type="dxa"/>
            <w:vAlign w:val="center"/>
            <w:hideMark/>
          </w:tcPr>
          <w:p w14:paraId="15830E65" w14:textId="77777777" w:rsidR="00D240BE" w:rsidRPr="0036562E" w:rsidRDefault="00D240BE" w:rsidP="006B61CB">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36562E">
              <w:rPr>
                <w:bCs/>
                <w:sz w:val="24"/>
                <w:szCs w:val="24"/>
              </w:rPr>
              <w:t>Seed bed preparation</w:t>
            </w:r>
          </w:p>
        </w:tc>
        <w:tc>
          <w:tcPr>
            <w:tcW w:w="2866" w:type="dxa"/>
            <w:noWrap/>
            <w:vAlign w:val="center"/>
            <w:hideMark/>
          </w:tcPr>
          <w:p w14:paraId="5FCBEF2A" w14:textId="77777777" w:rsidR="00D240BE" w:rsidRPr="0036562E" w:rsidRDefault="00D240BE" w:rsidP="006B61CB">
            <w:pPr>
              <w:spacing w:line="360" w:lineRule="auto"/>
              <w:jc w:val="center"/>
              <w:cnfStyle w:val="000000000000" w:firstRow="0" w:lastRow="0" w:firstColumn="0" w:lastColumn="0" w:oddVBand="0" w:evenVBand="0" w:oddHBand="0" w:evenHBand="0" w:firstRowFirstColumn="0" w:firstRowLastColumn="0" w:lastRowFirstColumn="0" w:lastRowLastColumn="0"/>
              <w:rPr>
                <w:bCs/>
                <w:sz w:val="24"/>
                <w:szCs w:val="24"/>
              </w:rPr>
            </w:pPr>
            <w:r w:rsidRPr="0036562E">
              <w:rPr>
                <w:bCs/>
                <w:sz w:val="24"/>
                <w:szCs w:val="24"/>
              </w:rPr>
              <w:t>32.54269</w:t>
            </w:r>
          </w:p>
        </w:tc>
      </w:tr>
      <w:tr w:rsidR="00D240BE" w:rsidRPr="00833CE3" w14:paraId="0EC9A113" w14:textId="77777777" w:rsidTr="006B61CB">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2268" w:type="dxa"/>
            <w:vMerge/>
            <w:vAlign w:val="center"/>
            <w:hideMark/>
          </w:tcPr>
          <w:p w14:paraId="60624543" w14:textId="77777777" w:rsidR="00D240BE" w:rsidRPr="0036562E" w:rsidRDefault="00D240BE" w:rsidP="006B61CB">
            <w:pPr>
              <w:spacing w:line="360" w:lineRule="auto"/>
              <w:rPr>
                <w:b w:val="0"/>
                <w:sz w:val="24"/>
                <w:szCs w:val="24"/>
              </w:rPr>
            </w:pPr>
          </w:p>
        </w:tc>
        <w:tc>
          <w:tcPr>
            <w:tcW w:w="3686" w:type="dxa"/>
            <w:vAlign w:val="center"/>
            <w:hideMark/>
          </w:tcPr>
          <w:p w14:paraId="3507F88D" w14:textId="77777777" w:rsidR="00D240BE" w:rsidRPr="0036562E" w:rsidRDefault="00D240BE" w:rsidP="006B61CB">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36562E">
              <w:rPr>
                <w:bCs/>
                <w:sz w:val="24"/>
                <w:szCs w:val="24"/>
              </w:rPr>
              <w:t>Biocides</w:t>
            </w:r>
            <w:r w:rsidRPr="0036562E">
              <w:rPr>
                <w:sz w:val="24"/>
                <w:szCs w:val="24"/>
              </w:rPr>
              <w:t xml:space="preserve"> (molluscicide) in </w:t>
            </w:r>
            <w:r w:rsidRPr="0036562E">
              <w:rPr>
                <w:bCs/>
                <w:sz w:val="24"/>
                <w:szCs w:val="24"/>
              </w:rPr>
              <w:t>1st year</w:t>
            </w:r>
          </w:p>
        </w:tc>
        <w:tc>
          <w:tcPr>
            <w:tcW w:w="2866" w:type="dxa"/>
            <w:noWrap/>
            <w:vAlign w:val="center"/>
            <w:hideMark/>
          </w:tcPr>
          <w:p w14:paraId="0DD71191" w14:textId="77777777" w:rsidR="00D240BE" w:rsidRPr="0036562E" w:rsidRDefault="00D240BE" w:rsidP="006B61CB">
            <w:pPr>
              <w:spacing w:line="360" w:lineRule="auto"/>
              <w:jc w:val="center"/>
              <w:cnfStyle w:val="000000100000" w:firstRow="0" w:lastRow="0" w:firstColumn="0" w:lastColumn="0" w:oddVBand="0" w:evenVBand="0" w:oddHBand="1" w:evenHBand="0" w:firstRowFirstColumn="0" w:firstRowLastColumn="0" w:lastRowFirstColumn="0" w:lastRowLastColumn="0"/>
              <w:rPr>
                <w:bCs/>
                <w:sz w:val="24"/>
                <w:szCs w:val="24"/>
              </w:rPr>
            </w:pPr>
            <w:r w:rsidRPr="0036562E">
              <w:rPr>
                <w:bCs/>
                <w:sz w:val="24"/>
                <w:szCs w:val="24"/>
              </w:rPr>
              <w:t>43.</w:t>
            </w:r>
            <w:r>
              <w:rPr>
                <w:bCs/>
                <w:sz w:val="24"/>
                <w:szCs w:val="24"/>
              </w:rPr>
              <w:t>3903</w:t>
            </w:r>
          </w:p>
        </w:tc>
      </w:tr>
      <w:tr w:rsidR="00D240BE" w:rsidRPr="00833CE3" w14:paraId="7C5B20AF" w14:textId="77777777" w:rsidTr="006B61CB">
        <w:trPr>
          <w:trHeight w:val="375"/>
        </w:trPr>
        <w:tc>
          <w:tcPr>
            <w:cnfStyle w:val="001000000000" w:firstRow="0" w:lastRow="0" w:firstColumn="1" w:lastColumn="0" w:oddVBand="0" w:evenVBand="0" w:oddHBand="0" w:evenHBand="0" w:firstRowFirstColumn="0" w:firstRowLastColumn="0" w:lastRowFirstColumn="0" w:lastRowLastColumn="0"/>
            <w:tcW w:w="2268" w:type="dxa"/>
            <w:vMerge/>
            <w:vAlign w:val="center"/>
            <w:hideMark/>
          </w:tcPr>
          <w:p w14:paraId="68350E9F" w14:textId="77777777" w:rsidR="00D240BE" w:rsidRPr="0036562E" w:rsidRDefault="00D240BE" w:rsidP="006B61CB">
            <w:pPr>
              <w:spacing w:line="360" w:lineRule="auto"/>
              <w:rPr>
                <w:b w:val="0"/>
                <w:sz w:val="24"/>
                <w:szCs w:val="24"/>
              </w:rPr>
            </w:pPr>
          </w:p>
        </w:tc>
        <w:tc>
          <w:tcPr>
            <w:tcW w:w="3686" w:type="dxa"/>
            <w:vAlign w:val="center"/>
            <w:hideMark/>
          </w:tcPr>
          <w:p w14:paraId="567ED6DB" w14:textId="77777777" w:rsidR="00D240BE" w:rsidRPr="0036562E" w:rsidRDefault="00D240BE" w:rsidP="006B61CB">
            <w:pPr>
              <w:spacing w:line="360" w:lineRule="auto"/>
              <w:cnfStyle w:val="000000000000" w:firstRow="0" w:lastRow="0" w:firstColumn="0" w:lastColumn="0" w:oddVBand="0" w:evenVBand="0" w:oddHBand="0" w:evenHBand="0" w:firstRowFirstColumn="0" w:firstRowLastColumn="0" w:lastRowFirstColumn="0" w:lastRowLastColumn="0"/>
              <w:rPr>
                <w:bCs/>
                <w:sz w:val="24"/>
                <w:szCs w:val="24"/>
              </w:rPr>
            </w:pPr>
            <w:r w:rsidRPr="0036562E">
              <w:rPr>
                <w:bCs/>
                <w:sz w:val="24"/>
                <w:szCs w:val="24"/>
              </w:rPr>
              <w:t>Human labour</w:t>
            </w:r>
          </w:p>
        </w:tc>
        <w:tc>
          <w:tcPr>
            <w:tcW w:w="2866" w:type="dxa"/>
            <w:noWrap/>
            <w:vAlign w:val="center"/>
            <w:hideMark/>
          </w:tcPr>
          <w:p w14:paraId="5B057B61" w14:textId="77777777" w:rsidR="00D240BE" w:rsidRPr="0036562E" w:rsidRDefault="00D240BE" w:rsidP="006B61CB">
            <w:pPr>
              <w:spacing w:line="360" w:lineRule="auto"/>
              <w:jc w:val="center"/>
              <w:cnfStyle w:val="000000000000" w:firstRow="0" w:lastRow="0" w:firstColumn="0" w:lastColumn="0" w:oddVBand="0" w:evenVBand="0" w:oddHBand="0" w:evenHBand="0" w:firstRowFirstColumn="0" w:firstRowLastColumn="0" w:lastRowFirstColumn="0" w:lastRowLastColumn="0"/>
              <w:rPr>
                <w:bCs/>
                <w:sz w:val="24"/>
                <w:szCs w:val="24"/>
              </w:rPr>
            </w:pPr>
            <w:r w:rsidRPr="0036562E">
              <w:rPr>
                <w:bCs/>
                <w:sz w:val="24"/>
                <w:szCs w:val="24"/>
              </w:rPr>
              <w:t>85.</w:t>
            </w:r>
            <w:r>
              <w:rPr>
                <w:bCs/>
                <w:sz w:val="24"/>
                <w:szCs w:val="24"/>
              </w:rPr>
              <w:t>6957</w:t>
            </w:r>
          </w:p>
        </w:tc>
      </w:tr>
      <w:tr w:rsidR="00D240BE" w:rsidRPr="00833CE3" w14:paraId="723E93DE" w14:textId="77777777" w:rsidTr="006B61CB">
        <w:trPr>
          <w:cnfStyle w:val="000000100000" w:firstRow="0" w:lastRow="0" w:firstColumn="0" w:lastColumn="0" w:oddVBand="0" w:evenVBand="0" w:oddHBand="1" w:evenHBand="0" w:firstRowFirstColumn="0" w:firstRowLastColumn="0" w:lastRowFirstColumn="0" w:lastRowLastColumn="0"/>
          <w:trHeight w:val="775"/>
        </w:trPr>
        <w:tc>
          <w:tcPr>
            <w:cnfStyle w:val="001000000000" w:firstRow="0" w:lastRow="0" w:firstColumn="1" w:lastColumn="0" w:oddVBand="0" w:evenVBand="0" w:oddHBand="0" w:evenHBand="0" w:firstRowFirstColumn="0" w:firstRowLastColumn="0" w:lastRowFirstColumn="0" w:lastRowLastColumn="0"/>
            <w:tcW w:w="2268" w:type="dxa"/>
            <w:tcBorders>
              <w:bottom w:val="single" w:sz="12" w:space="0" w:color="auto"/>
            </w:tcBorders>
            <w:vAlign w:val="center"/>
            <w:hideMark/>
          </w:tcPr>
          <w:p w14:paraId="4F01E1B8" w14:textId="77777777" w:rsidR="00D240BE" w:rsidRPr="00981843" w:rsidRDefault="00D240BE" w:rsidP="006B61CB">
            <w:pPr>
              <w:spacing w:line="360" w:lineRule="auto"/>
              <w:rPr>
                <w:b w:val="0"/>
                <w:sz w:val="24"/>
                <w:szCs w:val="24"/>
              </w:rPr>
            </w:pPr>
            <w:r>
              <w:rPr>
                <w:b w:val="0"/>
                <w:sz w:val="24"/>
                <w:szCs w:val="24"/>
              </w:rPr>
              <w:t>Management Costs</w:t>
            </w:r>
          </w:p>
        </w:tc>
        <w:tc>
          <w:tcPr>
            <w:tcW w:w="3686" w:type="dxa"/>
            <w:tcBorders>
              <w:bottom w:val="single" w:sz="12" w:space="0" w:color="auto"/>
            </w:tcBorders>
            <w:vAlign w:val="center"/>
            <w:hideMark/>
          </w:tcPr>
          <w:p w14:paraId="163D2B56" w14:textId="77777777" w:rsidR="00D240BE" w:rsidRPr="008B3057" w:rsidRDefault="00D240BE" w:rsidP="006B61CB">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36562E">
              <w:rPr>
                <w:bCs/>
                <w:sz w:val="24"/>
                <w:szCs w:val="24"/>
              </w:rPr>
              <w:t>Mulching (machinery</w:t>
            </w:r>
            <w:r>
              <w:rPr>
                <w:sz w:val="24"/>
                <w:szCs w:val="24"/>
              </w:rPr>
              <w:t xml:space="preserve"> and </w:t>
            </w:r>
            <w:r w:rsidRPr="0036562E">
              <w:rPr>
                <w:sz w:val="24"/>
                <w:szCs w:val="24"/>
              </w:rPr>
              <w:t>labour)</w:t>
            </w:r>
            <w:r>
              <w:rPr>
                <w:sz w:val="24"/>
                <w:szCs w:val="24"/>
                <w:vertAlign w:val="superscript"/>
              </w:rPr>
              <w:t>b</w:t>
            </w:r>
          </w:p>
        </w:tc>
        <w:tc>
          <w:tcPr>
            <w:tcW w:w="2866" w:type="dxa"/>
            <w:tcBorders>
              <w:bottom w:val="single" w:sz="12" w:space="0" w:color="auto"/>
            </w:tcBorders>
            <w:noWrap/>
            <w:vAlign w:val="center"/>
            <w:hideMark/>
          </w:tcPr>
          <w:p w14:paraId="56299A82" w14:textId="115DF703" w:rsidR="00205C5B" w:rsidRPr="00205C5B" w:rsidRDefault="00205C5B" w:rsidP="00205C5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Pr>
                <w:rFonts w:ascii="Calibri" w:hAnsi="Calibri" w:cs="Calibri"/>
                <w:color w:val="000000"/>
                <w:sz w:val="24"/>
                <w:szCs w:val="24"/>
              </w:rPr>
              <w:t>410.0378</w:t>
            </w:r>
          </w:p>
          <w:p w14:paraId="43B42D67" w14:textId="27CBF2AD" w:rsidR="00D240BE" w:rsidRPr="0036562E" w:rsidRDefault="00D240BE" w:rsidP="006B61C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p>
        </w:tc>
      </w:tr>
      <w:tr w:rsidR="00D240BE" w:rsidRPr="00F71AD5" w14:paraId="5B598FB3" w14:textId="77777777" w:rsidTr="006B61CB">
        <w:trPr>
          <w:trHeight w:val="775"/>
        </w:trPr>
        <w:tc>
          <w:tcPr>
            <w:cnfStyle w:val="001000000000" w:firstRow="0" w:lastRow="0" w:firstColumn="1" w:lastColumn="0" w:oddVBand="0" w:evenVBand="0" w:oddHBand="0" w:evenHBand="0" w:firstRowFirstColumn="0" w:firstRowLastColumn="0" w:lastRowFirstColumn="0" w:lastRowLastColumn="0"/>
            <w:tcW w:w="8820" w:type="dxa"/>
            <w:gridSpan w:val="3"/>
            <w:tcBorders>
              <w:top w:val="single" w:sz="12" w:space="0" w:color="auto"/>
              <w:bottom w:val="nil"/>
            </w:tcBorders>
            <w:vAlign w:val="center"/>
          </w:tcPr>
          <w:p w14:paraId="65BBA87A" w14:textId="2171F4F3" w:rsidR="00D240BE" w:rsidRPr="00501D0C" w:rsidRDefault="00D240BE" w:rsidP="006B61CB">
            <w:pPr>
              <w:spacing w:line="276" w:lineRule="auto"/>
              <w:rPr>
                <w:b w:val="0"/>
                <w:szCs w:val="24"/>
              </w:rPr>
            </w:pPr>
            <w:r w:rsidRPr="00F71AD5">
              <w:rPr>
                <w:b w:val="0"/>
                <w:szCs w:val="24"/>
                <w:vertAlign w:val="superscript"/>
              </w:rPr>
              <w:t>a</w:t>
            </w:r>
            <w:r w:rsidRPr="00F71AD5">
              <w:rPr>
                <w:b w:val="0"/>
                <w:szCs w:val="24"/>
              </w:rPr>
              <w:t xml:space="preserve"> the reported values have been </w:t>
            </w:r>
            <w:r w:rsidRPr="00501D0C">
              <w:rPr>
                <w:b w:val="0"/>
                <w:szCs w:val="24"/>
              </w:rPr>
              <w:t xml:space="preserve">converted from </w:t>
            </w:r>
            <w:r w:rsidR="00EB4E9B" w:rsidRPr="00501D0C">
              <w:rPr>
                <w:rFonts w:ascii="Calibri" w:hAnsi="Calibri" w:cs="Calibri"/>
              </w:rPr>
              <w:fldChar w:fldCharType="begin"/>
            </w:r>
            <w:r w:rsidR="00EB4E9B" w:rsidRPr="00501D0C">
              <w:rPr>
                <w:rFonts w:ascii="Calibri" w:hAnsi="Calibri" w:cs="Calibri"/>
                <w:b w:val="0"/>
              </w:rPr>
              <w:instrText xml:space="preserve"> ADDIN ZOTERO_ITEM CSL_CITATION {"citationID":"9cQ7LrVx","properties":{"formattedCitation":"(Pfiffner et al., 2018)","plainCitation":"(Pfiffner et al., 2018)","noteIndex":0},"citationItems":[{"id":305,"uris":["http://zotero.org/users/13178736/items/UY6M94VI"],"itemData":{"id":305,"type":"report","genre":"Technical guide 2018 | No. 1096","publisher":"FiBL, EcoAdv. DK, UCPH, SLU, CRA-W","title":"Perennial flower strips – a tool for improving pest control in fruit orchards","URL":"www.orgprints.org or www.fibl.org","author":[{"family":"Pfiffner","given":"Lukas"},{"family":"Jamar","given":"Laurent"},{"family":"Cahenzli","given":"Fabian"},{"family":"Korsgaard","given":"Maren"},{"family":"Świergiel","given":"Weronika"},{"family":"Sigsgaard","given":"Lene"}],"issued":{"date-parts":[["2018"]]}}}],"schema":"https://github.com/citation-style-language/schema/raw/master/csl-citation.json"} </w:instrText>
            </w:r>
            <w:r w:rsidR="00EB4E9B" w:rsidRPr="00501D0C">
              <w:rPr>
                <w:rFonts w:ascii="Calibri" w:hAnsi="Calibri" w:cs="Calibri"/>
              </w:rPr>
              <w:fldChar w:fldCharType="separate"/>
            </w:r>
            <w:r w:rsidR="00EB4E9B" w:rsidRPr="00501D0C">
              <w:rPr>
                <w:rFonts w:ascii="Calibri" w:hAnsi="Calibri" w:cs="Calibri"/>
                <w:b w:val="0"/>
              </w:rPr>
              <w:t>Pfiffner et al. (2018)</w:t>
            </w:r>
            <w:r w:rsidR="00EB4E9B" w:rsidRPr="00501D0C">
              <w:rPr>
                <w:rFonts w:ascii="Calibri" w:hAnsi="Calibri" w:cs="Calibri"/>
              </w:rPr>
              <w:fldChar w:fldCharType="end"/>
            </w:r>
            <w:r w:rsidRPr="00501D0C">
              <w:rPr>
                <w:b w:val="0"/>
                <w:szCs w:val="24"/>
              </w:rPr>
              <w:t xml:space="preserve"> to equivalent 2021 euros using a 2.75% rate which is based on a 10-year average of the annual implicit price deflator for total GDP for Germany from 2014 to 2023 </w:t>
            </w:r>
            <w:r w:rsidR="00461B27" w:rsidRPr="00501D0C">
              <w:rPr>
                <w:rFonts w:ascii="Calibri" w:hAnsi="Calibri" w:cs="Calibri"/>
              </w:rPr>
              <w:fldChar w:fldCharType="begin"/>
            </w:r>
            <w:r w:rsidR="005D57A8" w:rsidRPr="00501D0C">
              <w:rPr>
                <w:rFonts w:ascii="Calibri" w:hAnsi="Calibri" w:cs="Calibri"/>
                <w:b w:val="0"/>
              </w:rPr>
              <w:instrText xml:space="preserve"> ADDIN ZOTERO_ITEM CSL_CITATION {"citationID":"jASAId46","properties":{"formattedCitation":"(The World Bank Group, 2024)","plainCitation":"(The World Bank Group, 2024)","noteIndex":0},"citationItems":[{"id":327,"uris":["http://zotero.org/users/13178736/items/9LFR2QKB"],"itemData":{"id":327,"type":"report","title":"Inflation, GDP deflator (annual %) - Germany. World Bank national accounts data, and OECD National Accounts data files.","URL":"https://data.worldbank.org","author":[{"family":"The World Bank Group","given":""}],"accessed":{"date-parts":[["2024",2,4]]},"issued":{"date-parts":[["2024"]]}}}],"schema":"https://github.com/citation-style-language/schema/raw/master/csl-citation.json"} </w:instrText>
            </w:r>
            <w:r w:rsidR="00461B27" w:rsidRPr="00501D0C">
              <w:rPr>
                <w:rFonts w:ascii="Calibri" w:hAnsi="Calibri" w:cs="Calibri"/>
              </w:rPr>
              <w:fldChar w:fldCharType="separate"/>
            </w:r>
            <w:r w:rsidR="005D57A8" w:rsidRPr="00501D0C">
              <w:rPr>
                <w:rFonts w:ascii="Calibri" w:hAnsi="Calibri" w:cs="Calibri"/>
                <w:b w:val="0"/>
              </w:rPr>
              <w:t>(The World Bank Group, 2024)</w:t>
            </w:r>
            <w:r w:rsidR="00461B27" w:rsidRPr="00501D0C">
              <w:rPr>
                <w:rFonts w:ascii="Calibri" w:hAnsi="Calibri" w:cs="Calibri"/>
              </w:rPr>
              <w:fldChar w:fldCharType="end"/>
            </w:r>
            <w:r w:rsidRPr="00501D0C">
              <w:rPr>
                <w:b w:val="0"/>
                <w:szCs w:val="24"/>
              </w:rPr>
              <w:t>.</w:t>
            </w:r>
          </w:p>
          <w:p w14:paraId="6B3B41D6" w14:textId="51882AA7" w:rsidR="00D240BE" w:rsidRPr="00F71AD5" w:rsidRDefault="00D240BE" w:rsidP="00557450">
            <w:pPr>
              <w:spacing w:line="276" w:lineRule="auto"/>
              <w:rPr>
                <w:b w:val="0"/>
                <w:szCs w:val="24"/>
              </w:rPr>
            </w:pPr>
            <w:r w:rsidRPr="00501D0C">
              <w:rPr>
                <w:b w:val="0"/>
                <w:szCs w:val="24"/>
                <w:vertAlign w:val="superscript"/>
              </w:rPr>
              <w:t>b</w:t>
            </w:r>
            <w:r w:rsidRPr="00501D0C">
              <w:rPr>
                <w:b w:val="0"/>
                <w:szCs w:val="24"/>
              </w:rPr>
              <w:t xml:space="preserve"> the cost value is based on the assumption of four mulchings per year </w:t>
            </w:r>
            <w:r w:rsidR="00557450" w:rsidRPr="00501D0C">
              <w:rPr>
                <w:rFonts w:ascii="Calibri" w:hAnsi="Calibri" w:cs="Calibri"/>
              </w:rPr>
              <w:fldChar w:fldCharType="begin"/>
            </w:r>
            <w:r w:rsidR="005D57A8" w:rsidRPr="00501D0C">
              <w:rPr>
                <w:rFonts w:ascii="Calibri" w:hAnsi="Calibri" w:cs="Calibri"/>
                <w:b w:val="0"/>
              </w:rPr>
              <w:instrText xml:space="preserve"> ADDIN ZOTERO_ITEM CSL_CITATION {"citationID":"buad2QZi","properties":{"formattedCitation":"(Cahenzli et al., 2019)","plainCitation":"(Cahenzli et al., 2019)","noteIndex":0},"citationItems":[{"id":280,"uris":["http://zotero.org/users/13178736/items/CP2LERSQ"],"itemData":{"id":280,"type":"article-journal","container-title":"Agriculture, Ecosystems &amp; Environment","DOI":"10.1016/j.agee.2019.03.011","ISSN":"01678809","journalAbbreviation":"Agriculture, Ecosystems &amp; Environment","language":"en","page":"43-53","source":"DOI.org (Crossref)","title":"Perennial flower strips for pest control in organic apple orchards - A pan-European study","URL":"https://linkinghub.elsevier.com/retrieve/pii/S0167880919300696","volume":"278","author":[{"family":"Cahenzli","given":"Fabian"},{"family":"Sigsgaard","given":"Lene"},{"family":"Daniel","given":"Claudia"},{"family":"Herz","given":"Annette"},{"family":"Jamar","given":"Laurent"},{"family":"Kelderer","given":"Markus"},{"family":"Jacobsen","given":"Stine Kramer"},{"family":"Kruczyńska","given":"Dorota"},{"family":"Matray","given":"Silvia"},{"family":"Porcel","given":"Mario"},{"family":"Sekrecka","given":"Małgorzata"},{"family":"Świergiel","given":"Weronika"},{"family":"Tasin","given":"Marco"},{"family":"Telfser","given":"Josef"},{"family":"Pfiffner","given":"Lukas"}],"accessed":{"date-parts":[["2024",11,3]]},"issued":{"date-parts":[["2019",6]]}}}],"schema":"https://github.com/citation-style-language/schema/raw/master/csl-citation.json"} </w:instrText>
            </w:r>
            <w:r w:rsidR="00557450" w:rsidRPr="00501D0C">
              <w:rPr>
                <w:rFonts w:ascii="Calibri" w:hAnsi="Calibri" w:cs="Calibri"/>
              </w:rPr>
              <w:fldChar w:fldCharType="separate"/>
            </w:r>
            <w:r w:rsidR="005D57A8" w:rsidRPr="00501D0C">
              <w:rPr>
                <w:rFonts w:ascii="Calibri" w:hAnsi="Calibri" w:cs="Calibri"/>
                <w:b w:val="0"/>
              </w:rPr>
              <w:t>(Cahenzli et al., 2019)</w:t>
            </w:r>
            <w:r w:rsidR="00557450" w:rsidRPr="00501D0C">
              <w:rPr>
                <w:rFonts w:ascii="Calibri" w:hAnsi="Calibri" w:cs="Calibri"/>
              </w:rPr>
              <w:fldChar w:fldCharType="end"/>
            </w:r>
            <w:r w:rsidRPr="00501D0C">
              <w:rPr>
                <w:b w:val="0"/>
                <w:szCs w:val="24"/>
              </w:rPr>
              <w:t>.</w:t>
            </w:r>
          </w:p>
        </w:tc>
      </w:tr>
    </w:tbl>
    <w:p w14:paraId="105EAB57" w14:textId="77777777" w:rsidR="00D82120" w:rsidRPr="00F71AD5" w:rsidRDefault="00D82120" w:rsidP="00D82120">
      <w:pPr>
        <w:spacing w:line="360" w:lineRule="auto"/>
        <w:rPr>
          <w:sz w:val="24"/>
        </w:rPr>
      </w:pPr>
    </w:p>
    <w:p w14:paraId="1ADFF3C3" w14:textId="11D28E8F" w:rsidR="00D82120" w:rsidRPr="00A363E3" w:rsidRDefault="00D82120" w:rsidP="00A363E3">
      <w:pPr>
        <w:pStyle w:val="Caption"/>
        <w:keepNext/>
        <w:spacing w:after="0" w:line="276" w:lineRule="auto"/>
        <w:rPr>
          <w:i w:val="0"/>
          <w:color w:val="auto"/>
          <w:sz w:val="22"/>
        </w:rPr>
      </w:pPr>
      <w:bookmarkStart w:id="4" w:name="_Toc201247047"/>
      <w:r w:rsidRPr="00A363E3">
        <w:rPr>
          <w:b/>
          <w:i w:val="0"/>
          <w:color w:val="auto"/>
          <w:sz w:val="22"/>
        </w:rPr>
        <w:t xml:space="preserve">Table </w:t>
      </w:r>
      <w:r w:rsidR="00B13F4D" w:rsidRPr="00A363E3">
        <w:rPr>
          <w:b/>
          <w:i w:val="0"/>
          <w:color w:val="auto"/>
          <w:sz w:val="22"/>
        </w:rPr>
        <w:t>S</w:t>
      </w:r>
      <w:r w:rsidR="00E10C46" w:rsidRPr="00A363E3">
        <w:rPr>
          <w:b/>
          <w:i w:val="0"/>
          <w:color w:val="auto"/>
          <w:sz w:val="22"/>
        </w:rPr>
        <w:t>5</w:t>
      </w:r>
      <w:r w:rsidRPr="00A363E3">
        <w:rPr>
          <w:b/>
          <w:i w:val="0"/>
          <w:color w:val="auto"/>
          <w:sz w:val="22"/>
        </w:rPr>
        <w:t>.</w:t>
      </w:r>
      <w:r w:rsidRPr="00A363E3">
        <w:rPr>
          <w:i w:val="0"/>
          <w:color w:val="auto"/>
          <w:sz w:val="22"/>
        </w:rPr>
        <w:t xml:space="preserve"> Overview of private </w:t>
      </w:r>
      <w:r w:rsidR="00937540">
        <w:rPr>
          <w:i w:val="0"/>
          <w:color w:val="auto"/>
          <w:sz w:val="22"/>
        </w:rPr>
        <w:t xml:space="preserve">pest control </w:t>
      </w:r>
      <w:r w:rsidRPr="00A363E3">
        <w:rPr>
          <w:i w:val="0"/>
          <w:color w:val="auto"/>
          <w:sz w:val="22"/>
        </w:rPr>
        <w:t>benefits indicators of landscape features under study.</w:t>
      </w:r>
      <w:bookmarkEnd w:id="4"/>
    </w:p>
    <w:tbl>
      <w:tblPr>
        <w:tblStyle w:val="PlainTable2"/>
        <w:tblW w:w="0" w:type="auto"/>
        <w:tblLook w:val="04A0" w:firstRow="1" w:lastRow="0" w:firstColumn="1" w:lastColumn="0" w:noHBand="0" w:noVBand="1"/>
      </w:tblPr>
      <w:tblGrid>
        <w:gridCol w:w="1701"/>
        <w:gridCol w:w="292"/>
        <w:gridCol w:w="3252"/>
        <w:gridCol w:w="3827"/>
      </w:tblGrid>
      <w:tr w:rsidR="00D82120" w:rsidRPr="003A6B25" w14:paraId="564D4772" w14:textId="77777777" w:rsidTr="00A363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3" w:type="dxa"/>
            <w:gridSpan w:val="2"/>
            <w:tcBorders>
              <w:top w:val="single" w:sz="12" w:space="0" w:color="auto"/>
              <w:bottom w:val="single" w:sz="12" w:space="0" w:color="auto"/>
            </w:tcBorders>
            <w:vAlign w:val="center"/>
          </w:tcPr>
          <w:p w14:paraId="1C973A70" w14:textId="77777777" w:rsidR="00D82120" w:rsidRPr="003A6B25" w:rsidRDefault="00D82120" w:rsidP="00A81CBC">
            <w:pPr>
              <w:spacing w:line="360" w:lineRule="auto"/>
              <w:rPr>
                <w:sz w:val="24"/>
              </w:rPr>
            </w:pPr>
            <w:r w:rsidRPr="003A6B25">
              <w:rPr>
                <w:sz w:val="24"/>
              </w:rPr>
              <w:t>Landscape feature</w:t>
            </w:r>
          </w:p>
        </w:tc>
        <w:tc>
          <w:tcPr>
            <w:tcW w:w="3252" w:type="dxa"/>
            <w:tcBorders>
              <w:top w:val="single" w:sz="12" w:space="0" w:color="auto"/>
              <w:bottom w:val="single" w:sz="12" w:space="0" w:color="auto"/>
            </w:tcBorders>
            <w:vAlign w:val="center"/>
          </w:tcPr>
          <w:p w14:paraId="70A98FCF" w14:textId="77777777" w:rsidR="00D82120" w:rsidRPr="00A363E3" w:rsidRDefault="00D82120" w:rsidP="00A81CBC">
            <w:pPr>
              <w:spacing w:line="360" w:lineRule="auto"/>
              <w:jc w:val="center"/>
              <w:cnfStyle w:val="100000000000" w:firstRow="1" w:lastRow="0" w:firstColumn="0" w:lastColumn="0" w:oddVBand="0" w:evenVBand="0" w:oddHBand="0" w:evenHBand="0" w:firstRowFirstColumn="0" w:firstRowLastColumn="0" w:lastRowFirstColumn="0" w:lastRowLastColumn="0"/>
              <w:rPr>
                <w:b w:val="0"/>
                <w:sz w:val="24"/>
              </w:rPr>
            </w:pPr>
            <w:r w:rsidRPr="00A363E3">
              <w:rPr>
                <w:sz w:val="24"/>
              </w:rPr>
              <w:t>Description (category/indicator)</w:t>
            </w:r>
          </w:p>
        </w:tc>
        <w:tc>
          <w:tcPr>
            <w:tcW w:w="3827" w:type="dxa"/>
            <w:tcBorders>
              <w:top w:val="single" w:sz="12" w:space="0" w:color="auto"/>
              <w:bottom w:val="single" w:sz="12" w:space="0" w:color="auto"/>
            </w:tcBorders>
            <w:vAlign w:val="center"/>
          </w:tcPr>
          <w:p w14:paraId="33FEF016" w14:textId="77777777" w:rsidR="00D82120" w:rsidRPr="00A363E3" w:rsidRDefault="00D82120" w:rsidP="00A81CBC">
            <w:pPr>
              <w:spacing w:line="360" w:lineRule="auto"/>
              <w:cnfStyle w:val="100000000000" w:firstRow="1" w:lastRow="0" w:firstColumn="0" w:lastColumn="0" w:oddVBand="0" w:evenVBand="0" w:oddHBand="0" w:evenHBand="0" w:firstRowFirstColumn="0" w:firstRowLastColumn="0" w:lastRowFirstColumn="0" w:lastRowLastColumn="0"/>
              <w:rPr>
                <w:b w:val="0"/>
                <w:sz w:val="24"/>
              </w:rPr>
            </w:pPr>
            <w:r w:rsidRPr="00A363E3">
              <w:rPr>
                <w:sz w:val="24"/>
              </w:rPr>
              <w:t>Supporting data</w:t>
            </w:r>
          </w:p>
        </w:tc>
      </w:tr>
      <w:tr w:rsidR="003A6B25" w:rsidRPr="00E10C46" w14:paraId="0807B39E" w14:textId="77777777" w:rsidTr="00A363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43C6C947" w14:textId="77777777" w:rsidR="003A6B25" w:rsidRPr="003A6B25" w:rsidRDefault="003A6B25" w:rsidP="00A81CBC">
            <w:pPr>
              <w:spacing w:line="360" w:lineRule="auto"/>
              <w:rPr>
                <w:sz w:val="24"/>
              </w:rPr>
            </w:pPr>
            <w:r w:rsidRPr="003A6B25">
              <w:rPr>
                <w:sz w:val="24"/>
              </w:rPr>
              <w:t>Pest control benefits</w:t>
            </w:r>
          </w:p>
        </w:tc>
        <w:tc>
          <w:tcPr>
            <w:tcW w:w="3544" w:type="dxa"/>
            <w:gridSpan w:val="2"/>
            <w:vAlign w:val="center"/>
          </w:tcPr>
          <w:p w14:paraId="3C2476F2" w14:textId="77777777" w:rsidR="003A6B25" w:rsidRPr="003A6B25" w:rsidRDefault="003A6B25" w:rsidP="00A81CBC">
            <w:pPr>
              <w:pStyle w:val="ListParagraph"/>
              <w:numPr>
                <w:ilvl w:val="0"/>
                <w:numId w:val="23"/>
              </w:num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A6B25">
              <w:rPr>
                <w:rFonts w:cstheme="minorHAnsi"/>
                <w:sz w:val="24"/>
                <w:szCs w:val="24"/>
              </w:rPr>
              <w:t>Pest parasitism (proportion of parasitized pests)</w:t>
            </w:r>
          </w:p>
          <w:p w14:paraId="5DF3E6B2" w14:textId="77777777" w:rsidR="003A6B25" w:rsidRPr="003A6B25" w:rsidRDefault="003A6B25" w:rsidP="00A81CBC">
            <w:pPr>
              <w:pStyle w:val="ListParagraph"/>
              <w:numPr>
                <w:ilvl w:val="0"/>
                <w:numId w:val="23"/>
              </w:num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A6B25">
              <w:rPr>
                <w:rFonts w:cstheme="minorHAnsi"/>
                <w:sz w:val="24"/>
                <w:szCs w:val="24"/>
              </w:rPr>
              <w:t>Pest predation (proportion of predated pests)</w:t>
            </w:r>
          </w:p>
          <w:p w14:paraId="70E6311F" w14:textId="77777777" w:rsidR="003A6B25" w:rsidRPr="003A6B25" w:rsidRDefault="003A6B25" w:rsidP="00A81CBC">
            <w:pPr>
              <w:pStyle w:val="ListParagraph"/>
              <w:numPr>
                <w:ilvl w:val="0"/>
                <w:numId w:val="23"/>
              </w:num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A6B25">
              <w:rPr>
                <w:rFonts w:cstheme="minorHAnsi"/>
                <w:sz w:val="24"/>
                <w:szCs w:val="24"/>
              </w:rPr>
              <w:t>Crop damage by pests</w:t>
            </w:r>
          </w:p>
          <w:p w14:paraId="49F77922" w14:textId="77777777" w:rsidR="003A6B25" w:rsidRPr="003A6B25" w:rsidRDefault="003A6B25" w:rsidP="00A81CBC">
            <w:pPr>
              <w:pStyle w:val="ListParagraph"/>
              <w:numPr>
                <w:ilvl w:val="0"/>
                <w:numId w:val="23"/>
              </w:numPr>
              <w:spacing w:line="360" w:lineRule="auto"/>
              <w:cnfStyle w:val="000000100000" w:firstRow="0" w:lastRow="0" w:firstColumn="0" w:lastColumn="0" w:oddVBand="0" w:evenVBand="0" w:oddHBand="1" w:evenHBand="0" w:firstRowFirstColumn="0" w:firstRowLastColumn="0" w:lastRowFirstColumn="0" w:lastRowLastColumn="0"/>
              <w:rPr>
                <w:sz w:val="24"/>
              </w:rPr>
            </w:pPr>
            <w:r w:rsidRPr="003A6B25">
              <w:rPr>
                <w:rFonts w:cstheme="minorHAnsi"/>
                <w:sz w:val="24"/>
                <w:szCs w:val="24"/>
              </w:rPr>
              <w:t>Pest densities</w:t>
            </w:r>
          </w:p>
        </w:tc>
        <w:tc>
          <w:tcPr>
            <w:tcW w:w="3827" w:type="dxa"/>
            <w:vAlign w:val="center"/>
          </w:tcPr>
          <w:p w14:paraId="3EEF93D9" w14:textId="359E1B6C" w:rsidR="003A6B25" w:rsidRPr="003A6B25" w:rsidRDefault="003A6B25" w:rsidP="00A363E3">
            <w:pPr>
              <w:spacing w:line="360" w:lineRule="auto"/>
              <w:cnfStyle w:val="000000100000" w:firstRow="0" w:lastRow="0" w:firstColumn="0" w:lastColumn="0" w:oddVBand="0" w:evenVBand="0" w:oddHBand="1" w:evenHBand="0" w:firstRowFirstColumn="0" w:firstRowLastColumn="0" w:lastRowFirstColumn="0" w:lastRowLastColumn="0"/>
              <w:rPr>
                <w:sz w:val="24"/>
              </w:rPr>
            </w:pPr>
            <w:r w:rsidRPr="003A6B25">
              <w:rPr>
                <w:rFonts w:ascii="Calibri" w:hAnsi="Calibri" w:cs="Calibri"/>
                <w:sz w:val="24"/>
              </w:rPr>
              <w:fldChar w:fldCharType="begin"/>
            </w:r>
            <w:r w:rsidR="005D57A8">
              <w:rPr>
                <w:rFonts w:ascii="Calibri" w:hAnsi="Calibri" w:cs="Calibri"/>
                <w:sz w:val="24"/>
              </w:rPr>
              <w:instrText xml:space="preserve"> ADDIN ZOTERO_ITEM CSL_CITATION {"citationID":"2vtaBBDP","properties":{"formattedCitation":"(Albrecht et al., 2020; Cahenzli et al., 2019; Courson et al., 2024; Cross et al., 2015; Maalouly et al., 2013; Morandin et al., 2016; Morandin and Kremen, 2013; Sutter et al., 2018)","plainCitation":"(Albrecht et al., 2020; Cahenzli et al., 2019; Courson et al., 2024; Cross et al., 2015; Maalouly et al., 2013; Morandin et al., 2016; Morandin and Kremen, 2013; Sutter et al., 2018)","noteIndex":0},"citationItems":[{"id":338,"uris":["http://zotero.org/users/13178736/items/Z7QCIUNW"],"itemData":{"id":338,"type":"article-journal","container-title":"Agriculture, Ecosystems &amp; Environment","DOI":"10.1016/j.agee.2013.02.008","ISSN":"01678809","journalAbbreviation":"Agriculture, Ecosystems &amp; Environment","language":"en","page":"33-42","source":"DOI.org (Crossref)","title":"Codling moth parasitism is affected by semi-natural habitats and agricultural practices at orchard and landscape levels","URL":"https://linkinghub.elsevier.com/retrieve/pii/S0167880913000601","volume":"169","author":[{"family":"Maalouly","given":"Mariline"},{"family":"Franck","given":"Pierre"},{"family":"Bouvier","given":"Jean-Charles"},{"family":"Toubon","given":"Jean-François"},{"family":"Lavigne","given":"Claire"}],"accessed":{"date-parts":[["2024",12,4]]},"issued":{"date-parts":[["2013",4]]}}},{"id":349,"uris":["http://zotero.org/users/13178736/items/CVVYR5JA"],"itemData":{"id":349,"type":"article-journal","abstract":"In intensive agricultural landscapes, restoration within farms could enhance biodiversity and ecosystem services such as pollination by native pollinators. Although governments and conservation groups are promoting small‐scale restoration on working farms, there are few studies that assess whether these practices enhance pollinator communities in restored areas. Further, there is no information on whether floral enhancements will deplete pollinators in adjacent fields by concentrating ambient populations or whether they result in a net increase in abundance in adjacent farm fields. We investigated whether field edges restored with native perennial plants in California's Central Valley agricultural region increased floral abundance and potential bee nesting sites, and native bee and syrphid fly abundance and diversity, in comparison to relatively unmanaged edges. Native bees and syrphid flies collected from flowers were more abundant, species‐rich, and diverse at hedgerow sites than in weedy, unmanaged edges. Abundance of bees collected passively in pan traps was negatively correlated with floral abundance, was significantly different from communities captured by net sampling from flowers, and did not distinguish between site types; we therefore focused on the results of net samples and visual observations. Uncommon species of native bees were sevenfold more abundant on hedgerow flowers than on flowers at weedy, unmanaged edges. Of the species on flowers at hedgerows, 40% were exclusive to hedgerow sites, but there were no species exclusively found on flowers at control sites. Hedgerows were especially important for supporting less‐common species of native bees in our intensive agricultural landscape. Hedgerows did not concentrate ambient native bee, honey bee, or syphid fly populations, and they acted as net exporters of native bees into adjacent fields. Within‐farm habitat restoration such as hedgerow creation may be essential for enhancing native pollinator abundance and diversity, and for pollination services to adjacent crops.","container-title":"Ecological Applications","DOI":"10.1890/12-1051.1","ISSN":"1051-0761, 1939-5582","issue":"4","journalAbbreviation":"Ecological Applications","language":"en","license":"http://onlinelibrary.wiley.com/termsAndConditions#vor","page":"829-839","source":"DOI.org (Crossref)","title":"Hedgerow restoration promotes pollinator populations and exports native bees to adjacent fields","URL":"https://esajournals.onlinelibrary.wiley.com/doi/10.1890/12-1051.1","volume":"23","author":[{"family":"Morandin","given":"Lora A."},{"family":"Kremen","given":"Claire"}],"accessed":{"date-parts":[["2025",1,6]]},"issued":{"date-parts":[["2013",6]]}}},{"id":334,"uris":["http://zotero.org/users/13178736/items/RK2ZVFMG"],"itemData":{"id":334,"type":"article-journal","abstract":"Apple is grown as a long‐term perennial crop and orchards provide relatively stable ecological habitats. Only a small proportion of the diverse fauna of arthropods that can inhabit the orchard ecosystem are important pests, the majority of species being minor pests, beneficial or benign. In this paper, the interacting ecosystem services provided by five contrasting naturally occurring arthropod groups in cool temperate apple orchards are reviewed, and their economic benefits broadly quantified. These are:\n              \n                \n                  The roles of bees and other insects in apple pollination increasing yields and fruit quality, the economic value of which may be significantly underestimated.\n                \n                \n                  Naturally occurring, pesticide‐resistant phytoseiid predatory mites and their role in regulating phytophagous mites. They eliminate the need for 1–2 acaricide sprays per annum and the risk of acaricide resistance.\n                \n                \n                  \n                    The earwig\n                    Forficula auricularia\n                    L. and its role in regulating several important apple pests. There is great variability in populations between orchards for reasons not fully understood. It is estimated that\n                    F. auricularia\n                    reduces insecticide applications by 2–3 per annum and reduces pest damage.\n                  \n                \n                \n                  \n                    Mutualism between the common black ant\n                    Lasius niger\n                    (\n                    L\n                    .) and important pest aphids, the roles of competitors, natural and artificial food sources, and ant exclusion in disrupting mutualism which can foster biocontrol of aphids by generalist predators so greatly reducing the need for sprays.\n                  \n                \n                \n                  Beneficial epigeic arthropods and their role in predating the soil dwelling life stages of insect pests. These contribute to the control of pest populations although the level of suppression is not consistent depending on several ecological factors.","container-title":"Ecological Entomology","DOI":"10.1111/een.12234","ISSN":"0307-6946, 1365-2311","issue":"S1","journalAbbreviation":"Ecological Entomology","language":"en","page":"82-96","source":"DOI.org (Crossref)","title":"Arthropod ecosystem services in apple orchards and their economic benefits","URL":"https://resjournals.onlinelibrary.wiley.com/doi/10.1111/een.12234","volume":"40","author":[{"family":"Cross","given":"Jerry"},{"family":"Fountain","given":"Michelle"},{"family":"Markó","given":"Viktor"},{"family":"Nagy","given":"Csaba"}],"accessed":{"date-parts":[["2024",11,28]]},"issued":{"date-parts":[["2015",9]]}}},{"id":311,"uris":["http://zotero.org/users/13178736/items/6JKG44VD"],"itemData":{"id":311,"type":"article-journal","container-title":"Journal of Economic Entomology","DOI":"10.1093/jee/tow086","ISSN":"0022-0493, 1938-291X","issue":"3","journalAbbreviation":"J Econ Entomol","language":"en","page":"1020-1027","source":"DOI.org (Crossref)","title":"Pest Control and Pollination Cost–Benefit Analysis of Hedgerow Restoration in a Simplified Agricultural Landscape","URL":"https://academic.oup.com/jee/article-lookup/doi/10.1093/jee/tow086","volume":"109","author":[{"family":"Morandin","given":"L. A."},{"family":"Long","given":"R. F."},{"family":"Kremen","given":"C."}],"accessed":{"date-parts":[["2024",11,13]]},"issued":{"date-parts":[["2016",6]]}}},{"id":332,"uris":["http://zotero.org/users/13178736/items/MFTQ5P9Y"],"itemData":{"id":332,"type":"article-journal","abstract":"Abstract\n            \n              \n                \n                  \n                    The explicit and implicit aims of creating ecological focus areas (\n                    EFA\n                    s) and implementing greening measures in European agro‐ecosystems include the promotion of regulatory ecosystem services (\n                    ES\n                    ) to sustain crop production in conventional cropping systems. However, the extent to which these goals are achieved with current policy measures remains poorly explored.\n                  \n                \n                \n                  \n                    We measured insect‐mediated pollination and natural pest control service provisioning in 18 winter oilseed rape fields as a function of the independent and interactive effects of local\n                    EFA\n                    establishment─sown wildflower strips and hedgerows─and landscape‐scale greening measures within a 1 km radius around focal fields and quantified their contribution to crop yield.\n                  \n                \n                \n                  \n                    Insect pollination potential and pest predation increased on average by 10% and 13%, respectively, when landscape‐scale greening measures share was increased from 6% to 26%. For pollination, the increase was stronger in fields adjoining an\n                    EFA\n                    (14%) than in fields without adjacent\n                    EFA\n                    (7%).\n                  \n                \n                \n                  \n                    Agricultural management practices were the main drivers of crop yield. Neither insect pollination potential or natural pest control (pest predation and parasitism) nor adjacent\n                    EFA\n                    s and landscape‐scale greening significantly affected crop yield in addition to agricultural management.\n                  \n                \n                \n                  \n                    Synthesis and applications\n                    . Local establishment of perennial, species‐rich wildflower strips and hedgerows, combined with landscape‐scale greening measures in agricultural landscapes, can promote multiple ecosystem services (\n                    ES\n                    ) in conventional production systems. Benefits may be maximized when local and landscape measures are combined. However, enhanced pollination and natural pest regulation seem to contribute relatively little to final crop yield compared to local agricultural management practices in the high‐input conventional production system studied. Further research is needed to better understand how to improve the effectiveness of ecological focus areas and other greening measures in promoting regulatory\n                    ES\n                    . Potential improvements include minimising trade‐offs while promoting synergies between\n                    ES\n                    provision, food production and biodiversity conservation.\n                  \n                \n              \n            \n          , \n            \n              Local establishment of perennial, species‐rich wildflower strips and hedgerows, combined with landscape‐scale greening measures in agricultural landscapes, can promote multiple ecosystem services (\n              ES\n              ) in conventional production systems. Benefits may be maximized when local and landscape measures are combined. However, enhanced pollination and natural pest regulation seem to contribute relatively little to final crop yield compared to local agricultural management practices in the high‐input conventional production system studied. Further research is needed to better understand how to improve the effectiveness of ecological focus areas and other greening measures in promoting regulatory\n              ES\n              . Potential improvements include minimising trade‐offs while promoting synergies between\n              ES\n              provision, food production and biodiversity conservation.","container-title":"Journal of Applied Ecology","DOI":"10.1111/1365-2664.12977","ISSN":"0021-8901, 1365-2664","issue":"2","journalAbbreviation":"Journal of Applied Ecology","language":"en","license":"http://onlinelibrary.wiley.com/termsAndConditions#vor","page":"612-620","source":"DOI.org (Crossref)","title":"Landscape greening and local creation of wildflower strips and hedgerows promote multiple ecosystem services","URL":"https://besjournals.onlinelibrary.wiley.com/doi/10.1111/1365-2664.12977","volume":"55","author":[{"family":"Sutter","given":"Louis"},{"family":"Albrecht","given":"Matthias"},{"family":"Jeanneret","given":"Philippe"}],"editor":[{"family":"Diekötter","given":"Tim"}],"accessed":{"date-parts":[["2024",11,28]]},"issued":{"date-parts":[["2018",3]]}}},{"id":280,"uris":["http://zotero.org/users/13178736/items/CP2LERSQ"],"itemData":{"id":280,"type":"article-journal","container-title":"Agriculture, Ecosystems &amp; Environment","DOI":"10.1016/j.agee.2019.03.011","ISSN":"01678809","journalAbbreviation":"Agriculture, Ecosystems &amp; Environment","language":"en","page":"43-53","source":"DOI.org (Crossref)","title":"Perennial flower strips for pest control in organic apple orchards - A pan-European study","URL":"https://linkinghub.elsevier.com/retrieve/pii/S0167880919300696","volume":"278","author":[{"family":"Cahenzli","given":"Fabian"},{"family":"Sigsgaard","given":"Lene"},{"family":"Daniel","given":"Claudia"},{"family":"Herz","given":"Annette"},{"family":"Jamar","given":"Laurent"},{"family":"Kelderer","given":"Markus"},{"family":"Jacobsen","given":"Stine Kramer"},{"family":"Kruczyńska","given":"Dorota"},{"family":"Matray","given":"Silvia"},{"family":"Porcel","given":"Mario"},{"family":"Sekrecka","given":"Małgorzata"},{"family":"Świergiel","given":"Weronika"},{"family":"Tasin","given":"Marco"},{"family":"Telfser","given":"Josef"},{"family":"Pfiffner","given":"Lukas"}],"accessed":{"date-parts":[["2024",11,3]]},"issued":{"date-parts":[["2019",6]]}}},{"id":316,"uris":["http://zotero.org/users/13178736/items/YAIW78JJ"],"itemData":{"id":316,"type":"article-journal","abstract":"Abstract\n            Floral plantings are promoted to foster ecological intensification of agriculture through provisioning of ecosystem services. However, a comprehensive assessment of the effectiveness of different floral plantings, their characteristics and consequences for crop yield is lacking. Here we quantified the impacts of flower strips and hedgerows on pest control (18 studies) and pollination services (17 studies) in adjacent crops in North America, Europe and New Zealand. Flower strips, but not hedgerows, enhanced pest control services in adjacent fields by 16% on average. However, effects on crop pollination and yield were more variable. Our synthesis identifies several important drivers of variability in effectiveness of plantings: pollination services declined exponentially with distance from plantings, and perennial and older flower strips with higher flowering plant diversity enhanced pollination more effectively. These findings provide promising pathways to optimise floral plantings to more effectively contribute to ecosystem service delivery and ecological intensification of agriculture in the future.","container-title":"Ecology Letters","DOI":"10.1111/ele.13576","ISSN":"1461-023X, 1461-0248","issue":"10","journalAbbreviation":"Ecology Letters","language":"en","page":"1488-1498","source":"DOI.org (Crossref)","title":"The effectiveness of flower strips and hedgerows on pest control, pollination services and crop yield: a quantitative synthesis","title-short":"The effectiveness of flower strips and hedgerows on pest control, pollination services and crop yield","URL":"https://onlinelibrary.wiley.com/doi/10.1111/ele.13576","volume":"23","author":[{"family":"Albrecht","given":"Matthias"},{"family":"Kleijn","given":"David"},{"family":"Williams","given":"Neal M."},{"family":"Tschumi","given":"Matthias"},{"family":"Blaauw","given":"Brett R."},{"family":"Bommarco","given":"Riccardo"},{"family":"Campbell","given":"Alistair J."},{"family":"Dainese","given":"Matteo"},{"family":"Drummond","given":"Francis A."},{"family":"Entling","given":"Martin H."},{"family":"Ganser","given":"Dominik"},{"family":"Arjen De Groot","given":"G."},{"family":"Goulson","given":"Dave"},{"family":"Grab","given":"Heather"},{"family":"Hamilton","given":"Hannah"},{"family":"Herzog","given":"Felix"},{"family":"Isaacs","given":"Rufus"},{"family":"Jacot","given":"Katja"},{"family":"Jeanneret","given":"Philippe"},{"family":"Jonsson","given":"Mattias"},{"family":"Knop","given":"Eva"},{"family":"Kremen","given":"Claire"},{"family":"Landis","given":"Douglas A."},{"family":"Loeb","given":"Gregory M."},{"family":"Marini","given":"Lorenzo"},{"family":"McKerchar","given":"Megan"},{"family":"Morandin","given":"Lora"},{"family":"Pfister","given":"Sonja C."},{"family":"Potts","given":"Simon G."},{"family":"Rundlöf","given":"Maj"},{"family":"Sardiñas","given":"Hillary"},{"family":"Sciligo","given":"Amber"},{"family":"Thies","given":"Carsten"},{"family":"Tscharntke","given":"Teja"},{"family":"Venturini","given":"Eric"},{"family":"Veromann","given":"Eve"},{"family":"Vollhardt","given":"Ines M.G."},{"family":"Wäckers","given":"Felix"},{"family":"Ward","given":"Kimiora"},{"family":"Westbury","given":"Duncan B."},{"family":"Wilby","given":"Andrew"},{"family":"Woltz","given":"Megan"},{"family":"Wratten","given":"Steve"},{"family":"Sutter","given":"Louis"}],"editor":[{"family":"Irwin","given":"Rebecca"}],"accessed":{"date-parts":[["2024",11,14]]},"issued":{"date-parts":[["2020",10]]}}},{"id":505,"uris":["http://zotero.org/users/13178736/items/UKY7JKT9"],"itemData":{"id":505,"type":"article-journal","container-title":"Science of The Total Environment","DOI":"10.1016/j.scitotenv.2024.170182","ISSN":"00489697","journalAbbreviation":"Science of The Total Environment","language":"en","page":"170182","source":"DOI.org (Crossref)","title":"Reducing pest pressure and insecticide use by increasing hedgerows in the landscape","URL":"https://linkinghub.elsevier.com/retrieve/pii/S0048969724003176","volume":"916","author":[{"family":"Courson","given":"Emeric"},{"family":"Ricci","given":"Benoit"},{"family":"Muneret","given":"Lucile"},{"family":"Petit","given":"Sandrine"}],"accessed":{"date-parts":[["2025",8,8]]},"issued":{"date-parts":[["2024",3]]}}}],"schema":"https://github.com/citation-style-language/schema/raw/master/csl-citation.json"} </w:instrText>
            </w:r>
            <w:r w:rsidRPr="003A6B25">
              <w:rPr>
                <w:rFonts w:ascii="Calibri" w:hAnsi="Calibri" w:cs="Calibri"/>
                <w:sz w:val="24"/>
              </w:rPr>
              <w:fldChar w:fldCharType="separate"/>
            </w:r>
            <w:r w:rsidR="005D57A8" w:rsidRPr="005D57A8">
              <w:rPr>
                <w:rFonts w:ascii="Calibri" w:hAnsi="Calibri" w:cs="Calibri"/>
                <w:sz w:val="24"/>
              </w:rPr>
              <w:t>(Albrecht et al., 2020; Cahenzli et al., 2019; Courson et al., 2024; Cross et al., 2015; Maalouly et al., 2013; Morandin et al., 2016; Morandin and Kremen, 2013; Sutter et al., 2018)</w:t>
            </w:r>
            <w:r w:rsidRPr="003A6B25">
              <w:rPr>
                <w:rFonts w:ascii="Calibri" w:hAnsi="Calibri" w:cs="Calibri"/>
                <w:sz w:val="24"/>
              </w:rPr>
              <w:fldChar w:fldCharType="end"/>
            </w:r>
          </w:p>
        </w:tc>
      </w:tr>
    </w:tbl>
    <w:p w14:paraId="2A826853" w14:textId="77777777" w:rsidR="00D82120" w:rsidRPr="00A363E3" w:rsidRDefault="00D82120" w:rsidP="00D82120">
      <w:pPr>
        <w:spacing w:line="360" w:lineRule="auto"/>
      </w:pPr>
    </w:p>
    <w:p w14:paraId="67E90D45" w14:textId="2E9AC94B" w:rsidR="00D82120" w:rsidRPr="00E4377F" w:rsidRDefault="00D82120" w:rsidP="00E4377F">
      <w:pPr>
        <w:pStyle w:val="Caption"/>
        <w:keepNext/>
        <w:spacing w:after="0" w:line="276" w:lineRule="auto"/>
        <w:rPr>
          <w:i w:val="0"/>
          <w:color w:val="auto"/>
          <w:sz w:val="22"/>
        </w:rPr>
      </w:pPr>
      <w:bookmarkStart w:id="5" w:name="_Toc201247048"/>
      <w:r w:rsidRPr="00E4377F">
        <w:rPr>
          <w:b/>
          <w:i w:val="0"/>
          <w:color w:val="auto"/>
          <w:sz w:val="22"/>
        </w:rPr>
        <w:lastRenderedPageBreak/>
        <w:t xml:space="preserve">Table </w:t>
      </w:r>
      <w:r w:rsidR="00B13F4D" w:rsidRPr="00E4377F">
        <w:rPr>
          <w:b/>
          <w:i w:val="0"/>
          <w:color w:val="auto"/>
          <w:sz w:val="22"/>
        </w:rPr>
        <w:t>S</w:t>
      </w:r>
      <w:r w:rsidR="00E10C46" w:rsidRPr="00E4377F">
        <w:rPr>
          <w:b/>
          <w:i w:val="0"/>
          <w:color w:val="auto"/>
          <w:sz w:val="22"/>
        </w:rPr>
        <w:t>6</w:t>
      </w:r>
      <w:r w:rsidRPr="00E4377F">
        <w:rPr>
          <w:b/>
          <w:i w:val="0"/>
          <w:color w:val="auto"/>
          <w:sz w:val="22"/>
        </w:rPr>
        <w:t>.</w:t>
      </w:r>
      <w:r w:rsidRPr="00E4377F">
        <w:rPr>
          <w:i w:val="0"/>
          <w:color w:val="auto"/>
          <w:sz w:val="22"/>
        </w:rPr>
        <w:t xml:space="preserve"> Percentage reduction in </w:t>
      </w:r>
      <w:r w:rsidR="00922277">
        <w:rPr>
          <w:i w:val="0"/>
          <w:color w:val="auto"/>
          <w:sz w:val="22"/>
        </w:rPr>
        <w:t xml:space="preserve">bee hive rental costs and </w:t>
      </w:r>
      <w:r w:rsidRPr="00E4377F">
        <w:rPr>
          <w:i w:val="0"/>
          <w:color w:val="auto"/>
          <w:sz w:val="22"/>
        </w:rPr>
        <w:t>pesticide costs used for estimating benefits deriving from landscape features.</w:t>
      </w:r>
      <w:bookmarkEnd w:id="5"/>
    </w:p>
    <w:tbl>
      <w:tblPr>
        <w:tblStyle w:val="PlainTable2"/>
        <w:tblW w:w="0" w:type="auto"/>
        <w:tblLook w:val="06A0" w:firstRow="1" w:lastRow="0" w:firstColumn="1" w:lastColumn="0" w:noHBand="1" w:noVBand="1"/>
      </w:tblPr>
      <w:tblGrid>
        <w:gridCol w:w="1701"/>
        <w:gridCol w:w="1418"/>
        <w:gridCol w:w="2835"/>
        <w:gridCol w:w="3108"/>
      </w:tblGrid>
      <w:tr w:rsidR="00D82120" w:rsidRPr="00DE7260" w14:paraId="7D5E81D3" w14:textId="77777777" w:rsidTr="006E60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bottom w:val="single" w:sz="4" w:space="0" w:color="auto"/>
            </w:tcBorders>
          </w:tcPr>
          <w:p w14:paraId="72AEF717" w14:textId="77777777" w:rsidR="00D82120" w:rsidRPr="002E1DF2" w:rsidRDefault="00D82120" w:rsidP="00A85C82">
            <w:pPr>
              <w:spacing w:line="360" w:lineRule="auto"/>
              <w:rPr>
                <w:rFonts w:cstheme="minorHAnsi"/>
                <w:sz w:val="24"/>
                <w:szCs w:val="24"/>
              </w:rPr>
            </w:pPr>
            <w:r w:rsidRPr="002E1DF2">
              <w:rPr>
                <w:rFonts w:cstheme="minorHAnsi"/>
                <w:sz w:val="24"/>
                <w:szCs w:val="24"/>
              </w:rPr>
              <w:t>Landscape feature</w:t>
            </w:r>
          </w:p>
        </w:tc>
        <w:tc>
          <w:tcPr>
            <w:tcW w:w="1418" w:type="dxa"/>
            <w:tcBorders>
              <w:top w:val="single" w:sz="4" w:space="0" w:color="auto"/>
              <w:bottom w:val="single" w:sz="4" w:space="0" w:color="auto"/>
            </w:tcBorders>
          </w:tcPr>
          <w:p w14:paraId="3D4A2431" w14:textId="77777777" w:rsidR="00D82120" w:rsidRPr="002E1DF2" w:rsidRDefault="00D82120" w:rsidP="00A85C82">
            <w:pPr>
              <w:spacing w:line="360" w:lineRule="auto"/>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2E1DF2">
              <w:rPr>
                <w:rFonts w:cstheme="minorHAnsi"/>
                <w:sz w:val="24"/>
                <w:szCs w:val="24"/>
              </w:rPr>
              <w:t>Benefits</w:t>
            </w:r>
          </w:p>
        </w:tc>
        <w:tc>
          <w:tcPr>
            <w:tcW w:w="2835" w:type="dxa"/>
            <w:tcBorders>
              <w:top w:val="single" w:sz="4" w:space="0" w:color="auto"/>
              <w:bottom w:val="single" w:sz="4" w:space="0" w:color="auto"/>
            </w:tcBorders>
          </w:tcPr>
          <w:p w14:paraId="605B48EF" w14:textId="169FB93A" w:rsidR="00D82120" w:rsidRPr="002E1DF2" w:rsidRDefault="00A85C82" w:rsidP="00A85C82">
            <w:pPr>
              <w:spacing w:line="360" w:lineRule="auto"/>
              <w:cnfStyle w:val="100000000000" w:firstRow="1" w:lastRow="0" w:firstColumn="0" w:lastColumn="0" w:oddVBand="0" w:evenVBand="0" w:oddHBand="0" w:evenHBand="0" w:firstRowFirstColumn="0" w:firstRowLastColumn="0" w:lastRowFirstColumn="0" w:lastRowLastColumn="0"/>
              <w:rPr>
                <w:rFonts w:cstheme="minorHAnsi"/>
                <w:b w:val="0"/>
                <w:sz w:val="24"/>
                <w:szCs w:val="24"/>
                <w:vertAlign w:val="superscript"/>
              </w:rPr>
            </w:pPr>
            <w:r w:rsidRPr="002E1DF2">
              <w:rPr>
                <w:rFonts w:cstheme="minorHAnsi"/>
                <w:sz w:val="24"/>
                <w:szCs w:val="24"/>
              </w:rPr>
              <w:t>Change</w:t>
            </w:r>
            <w:r w:rsidR="002149CD" w:rsidRPr="002E1DF2">
              <w:rPr>
                <w:rFonts w:cstheme="minorHAnsi"/>
                <w:sz w:val="24"/>
                <w:szCs w:val="24"/>
              </w:rPr>
              <w:t xml:space="preserve"> </w:t>
            </w:r>
            <w:r w:rsidR="002149CD" w:rsidRPr="002E1DF2">
              <w:rPr>
                <w:rFonts w:cstheme="minorHAnsi"/>
                <w:sz w:val="24"/>
                <w:szCs w:val="24"/>
                <w:vertAlign w:val="superscript"/>
              </w:rPr>
              <w:t>a</w:t>
            </w:r>
          </w:p>
        </w:tc>
        <w:tc>
          <w:tcPr>
            <w:tcW w:w="3108" w:type="dxa"/>
            <w:tcBorders>
              <w:top w:val="single" w:sz="4" w:space="0" w:color="auto"/>
              <w:bottom w:val="single" w:sz="4" w:space="0" w:color="auto"/>
            </w:tcBorders>
          </w:tcPr>
          <w:p w14:paraId="2909F090" w14:textId="77777777" w:rsidR="00D82120" w:rsidRPr="002E1DF2" w:rsidRDefault="00D82120" w:rsidP="00A85C82">
            <w:pPr>
              <w:spacing w:line="360" w:lineRule="auto"/>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2E1DF2">
              <w:rPr>
                <w:rFonts w:cstheme="minorHAnsi"/>
                <w:sz w:val="24"/>
                <w:szCs w:val="24"/>
              </w:rPr>
              <w:t>Supporting data</w:t>
            </w:r>
          </w:p>
        </w:tc>
      </w:tr>
      <w:tr w:rsidR="00D82120" w:rsidRPr="00DE7260" w14:paraId="4C2F6FAB" w14:textId="77777777" w:rsidTr="006E6059">
        <w:tc>
          <w:tcPr>
            <w:cnfStyle w:val="001000000000" w:firstRow="0" w:lastRow="0" w:firstColumn="1" w:lastColumn="0" w:oddVBand="0" w:evenVBand="0" w:oddHBand="0" w:evenHBand="0" w:firstRowFirstColumn="0" w:firstRowLastColumn="0" w:lastRowFirstColumn="0" w:lastRowLastColumn="0"/>
            <w:tcW w:w="1701" w:type="dxa"/>
            <w:vMerge w:val="restart"/>
            <w:tcBorders>
              <w:top w:val="single" w:sz="4" w:space="0" w:color="auto"/>
              <w:bottom w:val="nil"/>
            </w:tcBorders>
            <w:vAlign w:val="center"/>
          </w:tcPr>
          <w:p w14:paraId="2DA780BA" w14:textId="77777777" w:rsidR="00D82120" w:rsidRPr="002E1DF2" w:rsidRDefault="00D82120" w:rsidP="00A85C82">
            <w:pPr>
              <w:spacing w:line="360" w:lineRule="auto"/>
              <w:rPr>
                <w:rFonts w:cstheme="minorHAnsi"/>
                <w:b w:val="0"/>
                <w:sz w:val="24"/>
                <w:szCs w:val="24"/>
              </w:rPr>
            </w:pPr>
            <w:r w:rsidRPr="002E1DF2">
              <w:rPr>
                <w:rFonts w:cstheme="minorHAnsi"/>
                <w:sz w:val="24"/>
                <w:szCs w:val="24"/>
              </w:rPr>
              <w:t>Flower strips</w:t>
            </w:r>
          </w:p>
        </w:tc>
        <w:tc>
          <w:tcPr>
            <w:tcW w:w="1418" w:type="dxa"/>
            <w:tcBorders>
              <w:top w:val="single" w:sz="4" w:space="0" w:color="auto"/>
              <w:bottom w:val="single" w:sz="4" w:space="0" w:color="auto"/>
            </w:tcBorders>
            <w:vAlign w:val="center"/>
          </w:tcPr>
          <w:p w14:paraId="0E0229D4" w14:textId="77777777" w:rsidR="00D82120" w:rsidRPr="002E1DF2"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2E1DF2">
              <w:rPr>
                <w:rFonts w:cstheme="minorHAnsi"/>
                <w:sz w:val="24"/>
                <w:szCs w:val="24"/>
              </w:rPr>
              <w:t>Pollination</w:t>
            </w:r>
          </w:p>
        </w:tc>
        <w:tc>
          <w:tcPr>
            <w:tcW w:w="2835" w:type="dxa"/>
            <w:tcBorders>
              <w:top w:val="single" w:sz="4" w:space="0" w:color="auto"/>
              <w:bottom w:val="single" w:sz="4" w:space="0" w:color="auto"/>
            </w:tcBorders>
            <w:vAlign w:val="center"/>
          </w:tcPr>
          <w:p w14:paraId="040B5DB8" w14:textId="71D76BCD" w:rsidR="00D82120" w:rsidRPr="002E1DF2" w:rsidRDefault="0014530F"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i/>
                <w:sz w:val="24"/>
                <w:szCs w:val="24"/>
              </w:rPr>
            </w:pPr>
            <w:r w:rsidRPr="002E1DF2">
              <w:rPr>
                <w:rFonts w:cstheme="minorHAnsi"/>
                <w:b/>
                <w:sz w:val="24"/>
                <w:szCs w:val="24"/>
              </w:rPr>
              <w:t>20</w:t>
            </w:r>
            <w:r w:rsidR="00D82120" w:rsidRPr="002E1DF2">
              <w:rPr>
                <w:rFonts w:cstheme="minorHAnsi"/>
                <w:b/>
                <w:sz w:val="24"/>
                <w:szCs w:val="24"/>
              </w:rPr>
              <w:t>%</w:t>
            </w:r>
            <w:r w:rsidR="00D82120" w:rsidRPr="002E1DF2">
              <w:rPr>
                <w:rFonts w:cstheme="minorHAnsi"/>
                <w:sz w:val="24"/>
                <w:szCs w:val="24"/>
              </w:rPr>
              <w:t xml:space="preserve"> (</w:t>
            </w:r>
            <w:r w:rsidRPr="002E1DF2">
              <w:rPr>
                <w:rFonts w:cstheme="minorHAnsi"/>
                <w:sz w:val="24"/>
                <w:szCs w:val="24"/>
              </w:rPr>
              <w:t>15</w:t>
            </w:r>
            <w:r w:rsidR="00D82120" w:rsidRPr="002E1DF2">
              <w:rPr>
                <w:rFonts w:cstheme="minorHAnsi"/>
                <w:sz w:val="24"/>
                <w:szCs w:val="24"/>
              </w:rPr>
              <w:t xml:space="preserve">%, </w:t>
            </w:r>
            <w:r w:rsidRPr="002E1DF2">
              <w:rPr>
                <w:rFonts w:cstheme="minorHAnsi"/>
                <w:sz w:val="24"/>
                <w:szCs w:val="24"/>
              </w:rPr>
              <w:t>25</w:t>
            </w:r>
            <w:r w:rsidR="00D82120" w:rsidRPr="002E1DF2">
              <w:rPr>
                <w:rFonts w:cstheme="minorHAnsi"/>
                <w:sz w:val="24"/>
                <w:szCs w:val="24"/>
              </w:rPr>
              <w:t>%) ꓯ0 &lt;</w:t>
            </w:r>
            <w:r w:rsidR="00D82120" w:rsidRPr="002E1DF2">
              <w:rPr>
                <w:rFonts w:cstheme="minorHAnsi"/>
                <w:i/>
                <w:sz w:val="24"/>
                <w:szCs w:val="24"/>
              </w:rPr>
              <w:t xml:space="preserve"> t </w:t>
            </w:r>
            <w:r w:rsidR="00D82120" w:rsidRPr="002E1DF2">
              <w:rPr>
                <w:rFonts w:cstheme="minorHAnsi"/>
                <w:sz w:val="24"/>
                <w:szCs w:val="24"/>
              </w:rPr>
              <w:t>≤ 2</w:t>
            </w:r>
          </w:p>
          <w:p w14:paraId="43171C0F" w14:textId="408A896F" w:rsidR="00D82120" w:rsidRPr="002E1DF2" w:rsidRDefault="0014530F"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2E1DF2">
              <w:rPr>
                <w:rFonts w:cstheme="minorHAnsi"/>
                <w:b/>
                <w:sz w:val="24"/>
                <w:szCs w:val="24"/>
              </w:rPr>
              <w:t>10</w:t>
            </w:r>
            <w:r w:rsidR="00D82120" w:rsidRPr="002E1DF2">
              <w:rPr>
                <w:rFonts w:cstheme="minorHAnsi"/>
                <w:b/>
                <w:sz w:val="24"/>
                <w:szCs w:val="24"/>
              </w:rPr>
              <w:t>%</w:t>
            </w:r>
            <w:r w:rsidR="00D82120" w:rsidRPr="002E1DF2">
              <w:rPr>
                <w:rFonts w:cstheme="minorHAnsi"/>
                <w:sz w:val="24"/>
                <w:szCs w:val="24"/>
              </w:rPr>
              <w:t xml:space="preserve"> (</w:t>
            </w:r>
            <w:r w:rsidR="00BE4BAD" w:rsidRPr="002E1DF2">
              <w:rPr>
                <w:rFonts w:cstheme="minorHAnsi"/>
                <w:sz w:val="24"/>
                <w:szCs w:val="24"/>
              </w:rPr>
              <w:t>10</w:t>
            </w:r>
            <w:r w:rsidR="00D82120" w:rsidRPr="002E1DF2">
              <w:rPr>
                <w:rFonts w:cstheme="minorHAnsi"/>
                <w:sz w:val="24"/>
                <w:szCs w:val="24"/>
              </w:rPr>
              <w:t xml:space="preserve">%, </w:t>
            </w:r>
            <w:r w:rsidR="00BE4BAD" w:rsidRPr="002E1DF2">
              <w:rPr>
                <w:rFonts w:cstheme="minorHAnsi"/>
                <w:sz w:val="24"/>
                <w:szCs w:val="24"/>
              </w:rPr>
              <w:t>15</w:t>
            </w:r>
            <w:r w:rsidR="00D82120" w:rsidRPr="002E1DF2">
              <w:rPr>
                <w:rFonts w:cstheme="minorHAnsi"/>
                <w:sz w:val="24"/>
                <w:szCs w:val="24"/>
              </w:rPr>
              <w:t>%) ꓯ</w:t>
            </w:r>
            <w:r w:rsidR="00D82120" w:rsidRPr="002E1DF2">
              <w:rPr>
                <w:rFonts w:cstheme="minorHAnsi"/>
                <w:i/>
                <w:sz w:val="24"/>
                <w:szCs w:val="24"/>
              </w:rPr>
              <w:t>3 ≤ t ≥ 5</w:t>
            </w:r>
          </w:p>
        </w:tc>
        <w:tc>
          <w:tcPr>
            <w:tcW w:w="3108" w:type="dxa"/>
            <w:tcBorders>
              <w:top w:val="single" w:sz="4" w:space="0" w:color="auto"/>
              <w:bottom w:val="single" w:sz="4" w:space="0" w:color="auto"/>
            </w:tcBorders>
            <w:vAlign w:val="center"/>
          </w:tcPr>
          <w:p w14:paraId="689C3879" w14:textId="2CEA13F7" w:rsidR="00D82120" w:rsidRPr="002E1DF2" w:rsidRDefault="003F5039"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color w:val="FF0000"/>
                <w:sz w:val="24"/>
                <w:szCs w:val="24"/>
              </w:rPr>
            </w:pPr>
            <w:r w:rsidRPr="002E1DF2">
              <w:rPr>
                <w:rFonts w:cstheme="minorHAnsi"/>
                <w:color w:val="FF0000"/>
                <w:sz w:val="24"/>
                <w:szCs w:val="24"/>
              </w:rPr>
              <w:fldChar w:fldCharType="begin"/>
            </w:r>
            <w:r w:rsidR="005D57A8">
              <w:rPr>
                <w:rFonts w:cstheme="minorHAnsi"/>
                <w:color w:val="FF0000"/>
                <w:sz w:val="24"/>
                <w:szCs w:val="24"/>
              </w:rPr>
              <w:instrText xml:space="preserve"> ADDIN ZOTERO_ITEM CSL_CITATION {"citationID":"27vREGsm","properties":{"formattedCitation":"(Albrecht et al., 2020; Uyttenbroeck et al., 2016)","plainCitation":"(Albrecht et al., 2020; Uyttenbroeck et al., 2016)","noteIndex":0},"citationItems":[{"id":281,"uris":["http://zotero.org/users/13178736/items/TKYKD7ME"],"itemData":{"id":281,"type":"article-journal","abstract":"Description of the subject. To counteract environmental problems due to agricultural intensification, European farmers can apply agri-environmental schemes in their fields. Flower strips are one example of these schemes, with the aim of supporting biodiversity, leading to an increase in “useful” species groups such as pollinators for crop pollination and natural enemies for pest control. However, to our knowledge, a complete appraisal of the pros and cons of flower strips, from a farmer’s point of view, does not yet exist. It is proposed that better and more complete information could increase the adoption and implementation of such agri-environmental schemes. Objectives. This study aims 1) to assess the pros and cons of flower strips, from a farmer’s point of view, and 2) to highlight the knowledge gaps that exist in the scientific literature, for the different types of pros and cons. Method. We listed the different components of the appraisal of pros and cons and conducted a systematic screening of the scientific literature on flower strips and these components. Results. The largest part of the 31 selected studies was concerning agronomical and ecological processes, such as pollination and animal pest control. Most of them indicated positive effects of flower strips. For many components of the appraisal, mostly economic and social ones, few or no studies were found. Conclusions. While a positive balance of pros and cons, from a farmer’s point of view, came from our literature screening, large research gaps still remain and more research is required, especially in the economic and social components of the evaluation.\n          , \n            Avantages et inconvénients des bandes fleuries pour les agriculteurs (synthèse bibliographique) Description du sujet. Afin de limiter les effets néfastes de l’intensification agricole sur l’environnement, les agriculteurs européens ont la possibilité d’adopter un certain nombre de mesures agri-environnementales. Parmi celles-ci, l’aménagement de bandes fleuries en bordures de parcelles peut soutenir le maintien d’une diversité d’organismes dans le milieu agricole, dont certains peuvent jouer un rôle positif pour l’agriculture, comme la pollinisation ou le contrôle des ravageurs. Néanmoins, une analyse des avantages et inconvénients des mesures agri-environnementales est nécessaire pour favoriser leur adoption par les agriculteurs. En ce qui concerne les bandes fleuries, une telle analyse n’est actuellement pas disponible. Objectifs. Cette étude a pour objectif 1) d’évaluer le rapport entre les avantages et les inconvénients des bandes fleuries pour l’agriculteur et 2) de mettre en évidence les manques de connaissances à propos de ceux-ci au sein de la littérature scientifique. Méthode. Après avoir listé différentes composantes du rapport entre les avantages et les inconvénients des bandes fleuries, une revue systématique de la littérature scientifique a été réalisée. Résultats. La majorité des 31 articles sélectionnés traitaient de processus agronomiques et écologiques tels la pollinisation et le contrôle biologique. La plupart montraient un intérêt des bandes fleuries. Néanmoins, peu d’études traitaient les autres aspects considérés par la présente analyse, notamment les aspects socio-économiques.  Conclusions. En pesant le pour et le contre, il ressort de cette étude que les bandes fleuries sont plutôt favorables pour l’agriculteur. Néanmoins, un manque de connaissance scientifique a été mis en évidence, notamment concernant les aspects économiques et sociaux liés à ce type de mesures.","container-title":"BASE","DOI":"10.25518/1780-4507.12961","ISSN":"1780-4507, 1370-6233","journalAbbreviation":"Biotechnol. Agron. Soc. Environ.","language":"fr","page":"225-235","source":"DOI.org (Crossref)","title":"Pros and cons of flowers strips for farmers. A review","URL":"https://popups.uliege.be/1780-4507/index.php?id=12961","author":[{"family":"Uyttenbroeck","given":"Roel"},{"family":"Hatt","given":"Séverin"},{"family":"Paul","given":"Aman"},{"family":"Boeraeve","given":"Fanny"},{"family":"Piqueray","given":"Julien"},{"family":"Francis","given":"Frédéric"},{"family":"Danthine","given":"Sabine"},{"family":"Frédérich","given":"Michel"},{"family":"Dufrêne","given":"Marc"},{"family":"Bodson","given":"Bernard"},{"family":"Monty","given":"Arnaud"}],"accessed":{"date-parts":[["2024",11,3]]},"issued":{"date-parts":[["2016"]]}}},{"id":316,"uris":["http://zotero.org/users/13178736/items/YAIW78JJ"],"itemData":{"id":316,"type":"article-journal","abstract":"Abstract\n            Floral plantings are promoted to foster ecological intensification of agriculture through provisioning of ecosystem services. However, a comprehensive assessment of the effectiveness of different floral plantings, their characteristics and consequences for crop yield is lacking. Here we quantified the impacts of flower strips and hedgerows on pest control (18 studies) and pollination services (17 studies) in adjacent crops in North America, Europe and New Zealand. Flower strips, but not hedgerows, enhanced pest control services in adjacent fields by 16% on average. However, effects on crop pollination and yield were more variable. Our synthesis identifies several important drivers of variability in effectiveness of plantings: pollination services declined exponentially with distance from plantings, and perennial and older flower strips with higher flowering plant diversity enhanced pollination more effectively. These findings provide promising pathways to optimise floral plantings to more effectively contribute to ecosystem service delivery and ecological intensification of agriculture in the future.","container-title":"Ecology Letters","DOI":"10.1111/ele.13576","ISSN":"1461-023X, 1461-0248","issue":"10","journalAbbreviation":"Ecology Letters","language":"en","page":"1488-1498","source":"DOI.org (Crossref)","title":"The effectiveness of flower strips and hedgerows on pest control, pollination services and crop yield: a quantitative synthesis","title-short":"The effectiveness of flower strips and hedgerows on pest control, pollination services and crop yield","URL":"https://onlinelibrary.wiley.com/doi/10.1111/ele.13576","volume":"23","author":[{"family":"Albrecht","given":"Matthias"},{"family":"Kleijn","given":"David"},{"family":"Williams","given":"Neal M."},{"family":"Tschumi","given":"Matthias"},{"family":"Blaauw","given":"Brett R."},{"family":"Bommarco","given":"Riccardo"},{"family":"Campbell","given":"Alistair J."},{"family":"Dainese","given":"Matteo"},{"family":"Drummond","given":"Francis A."},{"family":"Entling","given":"Martin H."},{"family":"Ganser","given":"Dominik"},{"family":"Arjen De Groot","given":"G."},{"family":"Goulson","given":"Dave"},{"family":"Grab","given":"Heather"},{"family":"Hamilton","given":"Hannah"},{"family":"Herzog","given":"Felix"},{"family":"Isaacs","given":"Rufus"},{"family":"Jacot","given":"Katja"},{"family":"Jeanneret","given":"Philippe"},{"family":"Jonsson","given":"Mattias"},{"family":"Knop","given":"Eva"},{"family":"Kremen","given":"Claire"},{"family":"Landis","given":"Douglas A."},{"family":"Loeb","given":"Gregory M."},{"family":"Marini","given":"Lorenzo"},{"family":"McKerchar","given":"Megan"},{"family":"Morandin","given":"Lora"},{"family":"Pfister","given":"Sonja C."},{"family":"Potts","given":"Simon G."},{"family":"Rundlöf","given":"Maj"},{"family":"Sardiñas","given":"Hillary"},{"family":"Sciligo","given":"Amber"},{"family":"Thies","given":"Carsten"},{"family":"Tscharntke","given":"Teja"},{"family":"Venturini","given":"Eric"},{"family":"Veromann","given":"Eve"},{"family":"Vollhardt","given":"Ines M.G."},{"family":"Wäckers","given":"Felix"},{"family":"Ward","given":"Kimiora"},{"family":"Westbury","given":"Duncan B."},{"family":"Wilby","given":"Andrew"},{"family":"Woltz","given":"Megan"},{"family":"Wratten","given":"Steve"},{"family":"Sutter","given":"Louis"}],"editor":[{"family":"Irwin","given":"Rebecca"}],"accessed":{"date-parts":[["2024",11,14]]},"issued":{"date-parts":[["2020",10]]}}}],"schema":"https://github.com/citation-style-language/schema/raw/master/csl-citation.json"} </w:instrText>
            </w:r>
            <w:r w:rsidRPr="002E1DF2">
              <w:rPr>
                <w:rFonts w:cstheme="minorHAnsi"/>
                <w:color w:val="FF0000"/>
                <w:sz w:val="24"/>
                <w:szCs w:val="24"/>
              </w:rPr>
              <w:fldChar w:fldCharType="separate"/>
            </w:r>
            <w:r w:rsidR="005D57A8" w:rsidRPr="005D57A8">
              <w:rPr>
                <w:rFonts w:ascii="Calibri" w:hAnsi="Calibri" w:cs="Calibri"/>
                <w:sz w:val="24"/>
              </w:rPr>
              <w:t>(Albrecht et al., 2020; Uyttenbroeck et al., 2016)</w:t>
            </w:r>
            <w:r w:rsidRPr="002E1DF2">
              <w:rPr>
                <w:rFonts w:cstheme="minorHAnsi"/>
                <w:color w:val="FF0000"/>
                <w:sz w:val="24"/>
                <w:szCs w:val="24"/>
              </w:rPr>
              <w:fldChar w:fldCharType="end"/>
            </w:r>
          </w:p>
        </w:tc>
      </w:tr>
      <w:tr w:rsidR="00D82120" w:rsidRPr="00A356A7" w14:paraId="03AB30C8" w14:textId="77777777" w:rsidTr="006E6059">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single" w:sz="4" w:space="0" w:color="auto"/>
            </w:tcBorders>
            <w:vAlign w:val="center"/>
          </w:tcPr>
          <w:p w14:paraId="52DBDAAC" w14:textId="77777777" w:rsidR="00D82120" w:rsidRPr="009E535C" w:rsidRDefault="00D82120" w:rsidP="00A85C82">
            <w:pPr>
              <w:spacing w:line="360" w:lineRule="auto"/>
              <w:rPr>
                <w:rFonts w:cstheme="minorHAnsi"/>
                <w:b w:val="0"/>
                <w:sz w:val="24"/>
                <w:szCs w:val="24"/>
              </w:rPr>
            </w:pPr>
          </w:p>
        </w:tc>
        <w:tc>
          <w:tcPr>
            <w:tcW w:w="1418" w:type="dxa"/>
            <w:tcBorders>
              <w:top w:val="single" w:sz="4" w:space="0" w:color="auto"/>
              <w:bottom w:val="single" w:sz="4" w:space="0" w:color="auto"/>
            </w:tcBorders>
            <w:vAlign w:val="center"/>
          </w:tcPr>
          <w:p w14:paraId="5760D35F" w14:textId="77777777" w:rsidR="00D82120" w:rsidRPr="009E535C"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9E535C">
              <w:rPr>
                <w:rFonts w:cstheme="minorHAnsi"/>
                <w:sz w:val="24"/>
                <w:szCs w:val="24"/>
              </w:rPr>
              <w:t>Pest control</w:t>
            </w:r>
          </w:p>
        </w:tc>
        <w:tc>
          <w:tcPr>
            <w:tcW w:w="2835" w:type="dxa"/>
            <w:tcBorders>
              <w:top w:val="single" w:sz="4" w:space="0" w:color="auto"/>
              <w:bottom w:val="single" w:sz="4" w:space="0" w:color="auto"/>
            </w:tcBorders>
            <w:vAlign w:val="center"/>
          </w:tcPr>
          <w:p w14:paraId="567DE62B" w14:textId="7D3AE178" w:rsidR="00D0039E" w:rsidRPr="009E535C"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9E535C">
              <w:rPr>
                <w:rFonts w:cstheme="minorHAnsi"/>
                <w:b/>
                <w:sz w:val="24"/>
                <w:szCs w:val="24"/>
              </w:rPr>
              <w:t>16%</w:t>
            </w:r>
            <w:r w:rsidRPr="009E535C">
              <w:rPr>
                <w:rFonts w:cstheme="minorHAnsi"/>
                <w:sz w:val="24"/>
                <w:szCs w:val="24"/>
              </w:rPr>
              <w:t xml:space="preserve"> </w:t>
            </w:r>
            <w:r w:rsidR="00D0039E" w:rsidRPr="009E535C">
              <w:rPr>
                <w:rFonts w:cstheme="minorHAnsi"/>
                <w:sz w:val="24"/>
                <w:szCs w:val="24"/>
              </w:rPr>
              <w:t>(10%, 20%)</w:t>
            </w:r>
          </w:p>
          <w:p w14:paraId="3899CA04" w14:textId="19511421" w:rsidR="00D82120" w:rsidRPr="00FD28D4"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2E1DF2">
              <w:rPr>
                <w:rFonts w:cstheme="minorHAnsi"/>
                <w:sz w:val="24"/>
                <w:szCs w:val="24"/>
              </w:rPr>
              <w:t>ꓯ0 &lt;</w:t>
            </w:r>
            <w:r w:rsidRPr="002E1DF2">
              <w:rPr>
                <w:rFonts w:cstheme="minorHAnsi"/>
                <w:i/>
                <w:sz w:val="24"/>
                <w:szCs w:val="24"/>
              </w:rPr>
              <w:t xml:space="preserve"> </w:t>
            </w:r>
            <w:r w:rsidRPr="00FD28D4">
              <w:rPr>
                <w:rFonts w:cstheme="minorHAnsi"/>
                <w:i/>
                <w:sz w:val="24"/>
                <w:szCs w:val="24"/>
              </w:rPr>
              <w:t xml:space="preserve">t </w:t>
            </w:r>
            <w:r w:rsidRPr="002E1DF2">
              <w:rPr>
                <w:rFonts w:cstheme="minorHAnsi"/>
                <w:sz w:val="24"/>
                <w:szCs w:val="24"/>
              </w:rPr>
              <w:t xml:space="preserve">≤ </w:t>
            </w:r>
            <w:r w:rsidRPr="00FD28D4">
              <w:rPr>
                <w:rFonts w:cstheme="minorHAnsi"/>
                <w:sz w:val="24"/>
                <w:szCs w:val="24"/>
              </w:rPr>
              <w:t>20</w:t>
            </w:r>
          </w:p>
        </w:tc>
        <w:tc>
          <w:tcPr>
            <w:tcW w:w="3108" w:type="dxa"/>
            <w:tcBorders>
              <w:top w:val="single" w:sz="4" w:space="0" w:color="auto"/>
              <w:bottom w:val="single" w:sz="4" w:space="0" w:color="auto"/>
            </w:tcBorders>
            <w:vAlign w:val="center"/>
          </w:tcPr>
          <w:p w14:paraId="1BF79210" w14:textId="63537BE6" w:rsidR="00D82120" w:rsidRPr="002E1DF2" w:rsidRDefault="007D5C3E"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de-DE"/>
              </w:rPr>
            </w:pPr>
            <w:r w:rsidRPr="002E1DF2">
              <w:rPr>
                <w:rFonts w:cstheme="minorHAnsi"/>
                <w:sz w:val="24"/>
                <w:szCs w:val="24"/>
              </w:rPr>
              <w:fldChar w:fldCharType="begin"/>
            </w:r>
            <w:r w:rsidR="005D57A8">
              <w:rPr>
                <w:rFonts w:cstheme="minorHAnsi"/>
                <w:sz w:val="24"/>
                <w:szCs w:val="24"/>
              </w:rPr>
              <w:instrText xml:space="preserve"> ADDIN ZOTERO_ITEM CSL_CITATION {"citationID":"J6cGQ1Ct","properties":{"formattedCitation":"(Albrecht et al., 2020; Howard et al., 2025; Pfiffner et al., 2018)","plainCitation":"(Albrecht et al., 2020; Howard et al., 2025; Pfiffner et al., 2018)","noteIndex":0},"citationItems":[{"id":305,"uris":["http://zotero.org/users/13178736/items/UY6M94VI"],"itemData":{"id":305,"type":"report","genre":"Technical guide 2018 | No. 1096","publisher":"FiBL, EcoAdv. DK, UCPH, SLU, CRA-W","title":"Perennial flower strips – a tool for improving pest control in fruit orchards","URL":"www.orgprints.org or www.fibl.org","author":[{"family":"Pfiffner","given":"Lukas"},{"family":"Jamar","given":"Laurent"},{"family":"Cahenzli","given":"Fabian"},{"family":"Korsgaard","given":"Maren"},{"family":"Świergiel","given":"Weronika"},{"family":"Sigsgaard","given":"Lene"}],"issued":{"date-parts":[["2018"]]}}},{"id":316,"uris":["http://zotero.org/users/13178736/items/YAIW78JJ"],"itemData":{"id":316,"type":"article-journal","abstract":"Abstract\n            Floral plantings are promoted to foster ecological intensification of agriculture through provisioning of ecosystem services. However, a comprehensive assessment of the effectiveness of different floral plantings, their characteristics and consequences for crop yield is lacking. Here we quantified the impacts of flower strips and hedgerows on pest control (18 studies) and pollination services (17 studies) in adjacent crops in North America, Europe and New Zealand. Flower strips, but not hedgerows, enhanced pest control services in adjacent fields by 16% on average. However, effects on crop pollination and yield were more variable. Our synthesis identifies several important drivers of variability in effectiveness of plantings: pollination services declined exponentially with distance from plantings, and perennial and older flower strips with higher flowering plant diversity enhanced pollination more effectively. These findings provide promising pathways to optimise floral plantings to more effectively contribute to ecosystem service delivery and ecological intensification of agriculture in the future.","container-title":"Ecology Letters","DOI":"10.1111/ele.13576","ISSN":"1461-023X, 1461-0248","issue":"10","journalAbbreviation":"Ecology Letters","language":"en","page":"1488-1498","source":"DOI.org (Crossref)","title":"The effectiveness of flower strips and hedgerows on pest control, pollination services and crop yield: a quantitative synthesis","title-short":"The effectiveness of flower strips and hedgerows on pest control, pollination services and crop yield","URL":"https://onlinelibrary.wiley.com/doi/10.1111/ele.13576","volume":"23","author":[{"family":"Albrecht","given":"Matthias"},{"family":"Kleijn","given":"David"},{"family":"Williams","given":"Neal M."},{"family":"Tschumi","given":"Matthias"},{"family":"Blaauw","given":"Brett R."},{"family":"Bommarco","given":"Riccardo"},{"family":"Campbell","given":"Alistair J."},{"family":"Dainese","given":"Matteo"},{"family":"Drummond","given":"Francis A."},{"family":"Entling","given":"Martin H."},{"family":"Ganser","given":"Dominik"},{"family":"Arjen De Groot","given":"G."},{"family":"Goulson","given":"Dave"},{"family":"Grab","given":"Heather"},{"family":"Hamilton","given":"Hannah"},{"family":"Herzog","given":"Felix"},{"family":"Isaacs","given":"Rufus"},{"family":"Jacot","given":"Katja"},{"family":"Jeanneret","given":"Philippe"},{"family":"Jonsson","given":"Mattias"},{"family":"Knop","given":"Eva"},{"family":"Kremen","given":"Claire"},{"family":"Landis","given":"Douglas A."},{"family":"Loeb","given":"Gregory M."},{"family":"Marini","given":"Lorenzo"},{"family":"McKerchar","given":"Megan"},{"family":"Morandin","given":"Lora"},{"family":"Pfister","given":"Sonja C."},{"family":"Potts","given":"Simon G."},{"family":"Rundlöf","given":"Maj"},{"family":"Sardiñas","given":"Hillary"},{"family":"Sciligo","given":"Amber"},{"family":"Thies","given":"Carsten"},{"family":"Tscharntke","given":"Teja"},{"family":"Venturini","given":"Eric"},{"family":"Veromann","given":"Eve"},{"family":"Vollhardt","given":"Ines M.G."},{"family":"Wäckers","given":"Felix"},{"family":"Ward","given":"Kimiora"},{"family":"Westbury","given":"Duncan B."},{"family":"Wilby","given":"Andrew"},{"family":"Woltz","given":"Megan"},{"family":"Wratten","given":"Steve"},{"family":"Sutter","given":"Louis"}],"editor":[{"family":"Irwin","given":"Rebecca"}],"accessed":{"date-parts":[["2024",11,14]]},"issued":{"date-parts":[["2020",10]]}}},{"id":523,"uris":["http://zotero.org/users/13178736/items/S79KHDYT"],"itemData":{"id":523,"type":"article-journal","abstract":"ABSTRACT\n            \n              Flower strips can provide many economic benefits in commercial orchards, including reducing crop damage by a problematic pest, rosy apple aphid (\n              Dysaphis plantaginea\n              [Passerini]). To explore the financial costs and benefits of this effect, we developed a bio‐economic model to compare the establishment and opportunity costs of perennial wildflower strips with benefits derived from increased yields due to reduced\n              \n                D. plantaginea\n              \n              fruit damage under high and low pest pressure. This was calculated across three scenarios: (1) a flower strip on land that would otherwise be an extension of </w:instrText>
            </w:r>
            <w:r w:rsidR="005D57A8" w:rsidRPr="005D57A8">
              <w:rPr>
                <w:rFonts w:cstheme="minorHAnsi"/>
                <w:sz w:val="24"/>
                <w:szCs w:val="24"/>
                <w:lang w:val="de-DE"/>
              </w:rPr>
              <w:instrText xml:space="preserve">the standard grass headland, (2) a flower strip on land that could otherwise be used to produce apples and (3) a flower strip in the centre of an orchard. Through reduction of\n              \n                D. plantaginea\n              \n              fruit damage alone, our study shows that flower strips on the headland can be a positive financial investment. If non‐crop land was not available, establishment of a flower strip in the centre of an orchard, instead of the edge, could recoup opportunity costs by providing benefits to crops on both sides of the flower strip. Our study can help guide the optimal placement of flower strips and inform subsidy value for these schemes.","container-title":"Journal of Agricultural Economics","DOI":"10.1111/1477-9552.12631","ISSN":"0021-857X, 1477-9552","issue":"2","journalAbbreviation":"J Agricultural Economics","language":"en","page":"466-477","source":"DOI.org (Crossref)","title":"Perennial Flower Strips Can Be a Cost‐Effective Tool for Pest Suppression in Orchards","URL":"https://onlinelibrary.wiley.com/doi/10.1111/1477-9552.12631","volume":"76","author":[{"family":"Howard","given":"Charlotte"},{"family":"Burgess","given":"Paul J."},{"family":"Fountain","given":"Michelle T."},{"family":"Brittain","given":"Claire"},{"family":"Garratt","given":"Michael P. D."}],"accessed":{"date-parts":[["2025",8,21]]},"issued":{"date-parts":[["2025",6]]}}}],"schema":"https://github.com/citation-style-language/schema/raw/master/csl-citation.json"} </w:instrText>
            </w:r>
            <w:r w:rsidRPr="002E1DF2">
              <w:rPr>
                <w:rFonts w:cstheme="minorHAnsi"/>
                <w:sz w:val="24"/>
                <w:szCs w:val="24"/>
              </w:rPr>
              <w:fldChar w:fldCharType="separate"/>
            </w:r>
            <w:r w:rsidR="005D57A8" w:rsidRPr="005D57A8">
              <w:rPr>
                <w:rFonts w:ascii="Calibri" w:hAnsi="Calibri" w:cs="Calibri"/>
                <w:sz w:val="24"/>
                <w:lang w:val="de-DE"/>
              </w:rPr>
              <w:t>(Albrecht et al., 2020; Howard et al., 2025; Pfiffner et al., 2018)</w:t>
            </w:r>
            <w:r w:rsidRPr="002E1DF2">
              <w:rPr>
                <w:rFonts w:cstheme="minorHAnsi"/>
                <w:sz w:val="24"/>
                <w:szCs w:val="24"/>
              </w:rPr>
              <w:fldChar w:fldCharType="end"/>
            </w:r>
          </w:p>
        </w:tc>
      </w:tr>
      <w:tr w:rsidR="00D82120" w:rsidRPr="00DE7260" w14:paraId="6C419625" w14:textId="77777777" w:rsidTr="006E6059">
        <w:tc>
          <w:tcPr>
            <w:cnfStyle w:val="001000000000" w:firstRow="0" w:lastRow="0" w:firstColumn="1" w:lastColumn="0" w:oddVBand="0" w:evenVBand="0" w:oddHBand="0" w:evenHBand="0" w:firstRowFirstColumn="0" w:firstRowLastColumn="0" w:lastRowFirstColumn="0" w:lastRowLastColumn="0"/>
            <w:tcW w:w="1701" w:type="dxa"/>
            <w:vMerge w:val="restart"/>
            <w:tcBorders>
              <w:top w:val="single" w:sz="4" w:space="0" w:color="auto"/>
            </w:tcBorders>
            <w:vAlign w:val="center"/>
          </w:tcPr>
          <w:p w14:paraId="597B0846" w14:textId="77777777" w:rsidR="00D82120" w:rsidRPr="009E535C" w:rsidRDefault="00D82120" w:rsidP="00A85C82">
            <w:pPr>
              <w:spacing w:line="360" w:lineRule="auto"/>
              <w:rPr>
                <w:rFonts w:cstheme="minorHAnsi"/>
                <w:b w:val="0"/>
                <w:sz w:val="24"/>
                <w:szCs w:val="24"/>
                <w:lang w:val="de-DE"/>
              </w:rPr>
            </w:pPr>
            <w:r w:rsidRPr="009E535C">
              <w:rPr>
                <w:rFonts w:cstheme="minorHAnsi"/>
                <w:sz w:val="24"/>
                <w:szCs w:val="24"/>
                <w:lang w:val="de-DE"/>
              </w:rPr>
              <w:t>Hedgerows</w:t>
            </w:r>
          </w:p>
        </w:tc>
        <w:tc>
          <w:tcPr>
            <w:tcW w:w="1418" w:type="dxa"/>
            <w:tcBorders>
              <w:top w:val="single" w:sz="4" w:space="0" w:color="auto"/>
              <w:bottom w:val="single" w:sz="4" w:space="0" w:color="auto"/>
            </w:tcBorders>
            <w:vAlign w:val="center"/>
          </w:tcPr>
          <w:p w14:paraId="5FF9584B" w14:textId="77777777" w:rsidR="00D82120" w:rsidRPr="009E535C"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de-DE"/>
              </w:rPr>
            </w:pPr>
            <w:r w:rsidRPr="009E535C">
              <w:rPr>
                <w:rFonts w:cstheme="minorHAnsi"/>
                <w:sz w:val="24"/>
                <w:szCs w:val="24"/>
                <w:lang w:val="de-DE"/>
              </w:rPr>
              <w:t>Pollination</w:t>
            </w:r>
          </w:p>
        </w:tc>
        <w:tc>
          <w:tcPr>
            <w:tcW w:w="2835" w:type="dxa"/>
            <w:tcBorders>
              <w:top w:val="single" w:sz="4" w:space="0" w:color="auto"/>
              <w:bottom w:val="single" w:sz="4" w:space="0" w:color="auto"/>
            </w:tcBorders>
            <w:vAlign w:val="center"/>
          </w:tcPr>
          <w:p w14:paraId="50D78116" w14:textId="56E8BC9E" w:rsidR="004E0D48" w:rsidRPr="009E535C"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de-DE"/>
              </w:rPr>
            </w:pPr>
            <w:r w:rsidRPr="009E535C">
              <w:rPr>
                <w:rFonts w:cstheme="minorHAnsi"/>
                <w:b/>
                <w:sz w:val="24"/>
                <w:szCs w:val="24"/>
                <w:lang w:val="de-DE"/>
              </w:rPr>
              <w:t>2</w:t>
            </w:r>
            <w:r w:rsidR="004F1B68" w:rsidRPr="009E535C">
              <w:rPr>
                <w:rFonts w:cstheme="minorHAnsi"/>
                <w:b/>
                <w:sz w:val="24"/>
                <w:szCs w:val="24"/>
                <w:lang w:val="de-DE"/>
              </w:rPr>
              <w:t>0</w:t>
            </w:r>
            <w:r w:rsidRPr="009E535C">
              <w:rPr>
                <w:rFonts w:cstheme="minorHAnsi"/>
                <w:b/>
                <w:sz w:val="24"/>
                <w:szCs w:val="24"/>
                <w:lang w:val="de-DE"/>
              </w:rPr>
              <w:t xml:space="preserve">% </w:t>
            </w:r>
            <w:r w:rsidRPr="009E535C">
              <w:rPr>
                <w:rFonts w:cstheme="minorHAnsi"/>
                <w:sz w:val="24"/>
                <w:szCs w:val="24"/>
                <w:lang w:val="de-DE"/>
              </w:rPr>
              <w:t>(</w:t>
            </w:r>
            <w:r w:rsidR="004F1B68" w:rsidRPr="009E535C">
              <w:rPr>
                <w:rFonts w:cstheme="minorHAnsi"/>
                <w:sz w:val="24"/>
                <w:szCs w:val="24"/>
                <w:lang w:val="de-DE"/>
              </w:rPr>
              <w:t>15%, 30</w:t>
            </w:r>
            <w:r w:rsidRPr="009E535C">
              <w:rPr>
                <w:rFonts w:cstheme="minorHAnsi"/>
                <w:sz w:val="24"/>
                <w:szCs w:val="24"/>
                <w:lang w:val="de-DE"/>
              </w:rPr>
              <w:t>%)</w:t>
            </w:r>
          </w:p>
          <w:p w14:paraId="7BBD208A" w14:textId="218D9D47" w:rsidR="00D82120" w:rsidRPr="00FD28D4"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lang w:val="de-DE"/>
              </w:rPr>
            </w:pPr>
            <w:r w:rsidRPr="002E1DF2">
              <w:rPr>
                <w:rFonts w:cstheme="minorHAnsi"/>
                <w:sz w:val="24"/>
                <w:szCs w:val="24"/>
              </w:rPr>
              <w:t>ꓯ</w:t>
            </w:r>
            <w:r w:rsidRPr="00FD28D4">
              <w:rPr>
                <w:rFonts w:cstheme="minorHAnsi"/>
                <w:sz w:val="24"/>
                <w:szCs w:val="24"/>
                <w:lang w:val="de-DE"/>
              </w:rPr>
              <w:t>3 ≤</w:t>
            </w:r>
            <w:r w:rsidRPr="00FD28D4">
              <w:rPr>
                <w:rFonts w:cstheme="minorHAnsi"/>
                <w:i/>
                <w:sz w:val="24"/>
                <w:szCs w:val="24"/>
                <w:lang w:val="de-DE"/>
              </w:rPr>
              <w:t xml:space="preserve"> t </w:t>
            </w:r>
            <w:r w:rsidRPr="00FD28D4">
              <w:rPr>
                <w:rFonts w:cstheme="minorHAnsi"/>
                <w:sz w:val="24"/>
                <w:szCs w:val="24"/>
                <w:lang w:val="de-DE"/>
              </w:rPr>
              <w:t>≤ 20</w:t>
            </w:r>
          </w:p>
        </w:tc>
        <w:tc>
          <w:tcPr>
            <w:tcW w:w="3108" w:type="dxa"/>
            <w:tcBorders>
              <w:top w:val="single" w:sz="4" w:space="0" w:color="auto"/>
              <w:bottom w:val="single" w:sz="4" w:space="0" w:color="auto"/>
            </w:tcBorders>
            <w:vAlign w:val="center"/>
          </w:tcPr>
          <w:p w14:paraId="1EE903C0" w14:textId="328E9112" w:rsidR="00D82120" w:rsidRPr="002E1DF2" w:rsidRDefault="004F1B68"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2E1DF2">
              <w:rPr>
                <w:rFonts w:cstheme="minorHAnsi"/>
                <w:sz w:val="24"/>
                <w:szCs w:val="24"/>
              </w:rPr>
              <w:fldChar w:fldCharType="begin"/>
            </w:r>
            <w:r w:rsidR="005D57A8">
              <w:rPr>
                <w:rFonts w:cstheme="minorHAnsi"/>
                <w:sz w:val="24"/>
                <w:szCs w:val="24"/>
                <w:lang w:val="de-DE"/>
              </w:rPr>
              <w:instrText xml:space="preserve"> ADDIN ZOTERO_ITEM CSL_CITATION {"citationID":"TKKAN4fg","properties":{"formattedCitation":"(Albrecht et al., 2020; Morandin et al., 2016)","plainCitation":"(Albrecht et al., 2020; Morandin et al., 2016)","noteIndex":0},"citationItems":[{"id":311,"uris":["http://zotero.org/users/13178736/items/6JKG44VD"],"itemData":{"id":311,"type":"article-journal","container-title":"Journal of Economic Entomology","DOI":"10.1093/jee/tow086","ISSN":"0022-0493, 1938-291X","issue":"3","journalAbbreviation":"J Econ Entomol","language":"en","page":"1020-1027","source":"DOI.org (Crossref)","title":"Pest Control and Pollination Cost–Benefit Analysis of Hedgerow Restoration in a Simplified Agricultural Landscape","URL":"https://academic.oup.com/jee/article-lookup/doi/10.1093/jee/tow086","volume":"109","author":[{"family":"Morandin","given":"L. A."},{"family":"Long","given":"R. F."},{"family":"Kremen","given":"C."}],"accessed":{"date-parts":[["2024",11,13]]},"issued":{"date-parts":[["2016",6]]}}},{"id":316,"uris":["http://zotero.org/users/13178736/items/YAIW78JJ"],"itemData":{"id":316,"type":"article-journal","abstract":"Abstract\n            Floral plantings are promoted to foster ecological intensification of agriculture through provisioning of ecosystem services. However, a comprehensive assessment of the effectiveness of different floral plantings, their characteristics and consequences for crop yield is lacking. Here we quantified the impacts of flower strips and hedgerows on pest control (18 studies) and pollination services (17 studies) in adjacent crops in North America, Europe and New Zealand. Flower strips, but not hedgerows, enhanced pest control services in adjacent fields by 16% on average. However, effects on crop pollination and yield were more variable. Our synthesis identifies several important drivers of variability in effectiveness of plantings: pollination services declined exponentially with distance from plantings, and perennial and older flower strips with higher flowering plant diversity enhanced pollination more effectively. These findings provide promising pathways to optimise floral plantings to more effectively contribute to ecosystem service delivery and ecological intensification of agriculture in the future.","container-title":"Ecology Letters","DOI":"10.1111/ele.13576","ISSN":"1461-023X, 1461-0248","issue":"10","journalAbbreviation":"Ecology Letters","language":"en","page":"1488-1498","source":"DOI.org (Crossref)","title":"The effectiveness of flower strips and hedgerows on pest control, pollination services and crop yield: a quantitative synthesis","title-short":"The effectiveness of flower strips and hedgerows on pest control, pollination services and crop yield","URL":"https://onlinelibrary.wiley.com/doi/10.1111/ele.13576","volume":"23","author":[{"family":"Albrecht","given":"Matthias"},{"family":"Kleijn","given":"David"},{"family":"Williams","given":"Neal M."},{"family":"Tschumi","given":"Matthias"},{"family":"Blaauw","given":"Brett R."},{"family":"Bommarco","given":"Riccardo"},{"family":"Campbell","given":"Alistair J."},{"family":"Dainese","given":"Matteo"},{"family":"Drummond","given":"Francis A."},{"family":"Entling","given":"Martin H."},{"family":"Ganser","given":"Dominik"},{"family":"Arjen De Groot","given":"G."},{"family":"Goulson","given":"Dave"},{"family":"Grab","given":"Heather"},{"family":"Hamilton","given":"Hannah"},{"family":"Herzog","given":"Felix"},{"family":"Isaacs","given":"Rufus"},{"family":"Jacot","given":"Katja"},{"family":"Jeanneret","given":"Philippe"},{"family":"Jonsson","given":"Mattias"},{"family":"Knop","given":"Eva"},{"family":"Kremen","given":"Claire"},{"family":"Landis","given":"Douglas A."},{"family":"Loeb","given":"Gregory M."},{"family":"Marini","given":"Lorenzo"},{"family":"McKerchar","given":"Megan"},{"family":"Morandin","given":"Lora"},{"family":"Pfister","given":"Sonja C."},{"family":"Potts","given":"Simon G."},{"family":"Rundlöf","given":"Maj"},{"family":"Sardiñas","given":"Hillary"},{"family":"Sciligo","given":"Amber"},{"family":"Thies","given":"Carsten"},{"family":"Tscharntke","given":"Teja"},{"family":"Venturini","given":"Eric"},{"family":"Veromann","given":"Eve"},{"family":"Vollhardt","given":"Ines M.G."},{"family":"Wäckers","given":"Felix"},{"family":"Ward","given":"Kimiora"},{"family":"Westbury","given":"Duncan B."},{"family":"Wilby","given":"Andrew"},{"family":"Woltz","given":"Megan"},{"family":"Wratten","given":"Steve"},{"family":"Sutter","given":"Louis"}],"editor":[{"family":"Irwin","given":"Rebecca"}],"accessed":{"date-parts":[["2024",11,14]]},"issued":{"date-parts":[["2020",10]]}}}],"schema":"https://github.com/citation-style-language/schema/raw/master/csl-citation.json"} </w:instrText>
            </w:r>
            <w:r w:rsidRPr="002E1DF2">
              <w:rPr>
                <w:rFonts w:cstheme="minorHAnsi"/>
                <w:sz w:val="24"/>
                <w:szCs w:val="24"/>
              </w:rPr>
              <w:fldChar w:fldCharType="separate"/>
            </w:r>
            <w:r w:rsidR="005D57A8" w:rsidRPr="005D57A8">
              <w:rPr>
                <w:rFonts w:ascii="Calibri" w:hAnsi="Calibri" w:cs="Calibri"/>
                <w:sz w:val="24"/>
              </w:rPr>
              <w:t>(Albrecht et al., 2020; Morandin et al., 2016)</w:t>
            </w:r>
            <w:r w:rsidRPr="002E1DF2">
              <w:rPr>
                <w:rFonts w:cstheme="minorHAnsi"/>
                <w:sz w:val="24"/>
                <w:szCs w:val="24"/>
              </w:rPr>
              <w:fldChar w:fldCharType="end"/>
            </w:r>
          </w:p>
        </w:tc>
      </w:tr>
      <w:tr w:rsidR="00D82120" w:rsidRPr="00DE7260" w14:paraId="2F05D9DB" w14:textId="77777777" w:rsidTr="006E6059">
        <w:tc>
          <w:tcPr>
            <w:cnfStyle w:val="001000000000" w:firstRow="0" w:lastRow="0" w:firstColumn="1" w:lastColumn="0" w:oddVBand="0" w:evenVBand="0" w:oddHBand="0" w:evenHBand="0" w:firstRowFirstColumn="0" w:firstRowLastColumn="0" w:lastRowFirstColumn="0" w:lastRowLastColumn="0"/>
            <w:tcW w:w="1701" w:type="dxa"/>
            <w:vMerge/>
            <w:tcBorders>
              <w:bottom w:val="single" w:sz="4" w:space="0" w:color="auto"/>
            </w:tcBorders>
            <w:vAlign w:val="center"/>
          </w:tcPr>
          <w:p w14:paraId="2B29E887" w14:textId="77777777" w:rsidR="00D82120" w:rsidRPr="009E535C" w:rsidRDefault="00D82120" w:rsidP="00A85C82">
            <w:pPr>
              <w:spacing w:line="360" w:lineRule="auto"/>
              <w:rPr>
                <w:rFonts w:cstheme="minorHAnsi"/>
                <w:b w:val="0"/>
                <w:sz w:val="24"/>
                <w:szCs w:val="24"/>
              </w:rPr>
            </w:pPr>
          </w:p>
        </w:tc>
        <w:tc>
          <w:tcPr>
            <w:tcW w:w="1418" w:type="dxa"/>
            <w:tcBorders>
              <w:top w:val="single" w:sz="4" w:space="0" w:color="auto"/>
              <w:bottom w:val="single" w:sz="4" w:space="0" w:color="auto"/>
            </w:tcBorders>
            <w:vAlign w:val="center"/>
          </w:tcPr>
          <w:p w14:paraId="01CA49DB" w14:textId="77777777" w:rsidR="00D82120" w:rsidRPr="009E535C"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9E535C">
              <w:rPr>
                <w:rFonts w:cstheme="minorHAnsi"/>
                <w:sz w:val="24"/>
                <w:szCs w:val="24"/>
              </w:rPr>
              <w:t>Pest control</w:t>
            </w:r>
          </w:p>
        </w:tc>
        <w:tc>
          <w:tcPr>
            <w:tcW w:w="2835" w:type="dxa"/>
            <w:tcBorders>
              <w:top w:val="single" w:sz="4" w:space="0" w:color="auto"/>
              <w:bottom w:val="single" w:sz="4" w:space="0" w:color="auto"/>
            </w:tcBorders>
            <w:vAlign w:val="center"/>
          </w:tcPr>
          <w:p w14:paraId="394959CA" w14:textId="3998D556" w:rsidR="004E0D48" w:rsidRPr="009E535C" w:rsidRDefault="00FD4A1C"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rPr>
            </w:pPr>
            <w:r w:rsidRPr="009E535C">
              <w:rPr>
                <w:rFonts w:cstheme="minorHAnsi"/>
                <w:b/>
                <w:sz w:val="24"/>
                <w:szCs w:val="24"/>
              </w:rPr>
              <w:t>40</w:t>
            </w:r>
            <w:r w:rsidR="00D82120" w:rsidRPr="009E535C">
              <w:rPr>
                <w:rFonts w:cstheme="minorHAnsi"/>
                <w:b/>
                <w:sz w:val="24"/>
                <w:szCs w:val="24"/>
              </w:rPr>
              <w:t xml:space="preserve">% </w:t>
            </w:r>
            <w:r w:rsidRPr="009E535C">
              <w:rPr>
                <w:rFonts w:cstheme="minorHAnsi"/>
                <w:sz w:val="24"/>
                <w:szCs w:val="24"/>
              </w:rPr>
              <w:t>(30%, 50%)</w:t>
            </w:r>
          </w:p>
          <w:p w14:paraId="487FFC9F" w14:textId="5154B24F" w:rsidR="00D82120" w:rsidRPr="00FD28D4" w:rsidRDefault="00D82120"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rPr>
            </w:pPr>
            <w:r w:rsidRPr="002E1DF2">
              <w:rPr>
                <w:rFonts w:cstheme="minorHAnsi"/>
                <w:sz w:val="24"/>
                <w:szCs w:val="24"/>
              </w:rPr>
              <w:t>ꓯ</w:t>
            </w:r>
            <w:r w:rsidR="00FD4A1C" w:rsidRPr="002E1DF2">
              <w:rPr>
                <w:rFonts w:cstheme="minorHAnsi"/>
                <w:sz w:val="24"/>
                <w:szCs w:val="24"/>
              </w:rPr>
              <w:t xml:space="preserve">4 </w:t>
            </w:r>
            <w:r w:rsidRPr="002E1DF2">
              <w:rPr>
                <w:rFonts w:cstheme="minorHAnsi"/>
                <w:sz w:val="24"/>
                <w:szCs w:val="24"/>
              </w:rPr>
              <w:t>≤</w:t>
            </w:r>
            <w:r w:rsidRPr="002E1DF2">
              <w:rPr>
                <w:rFonts w:cstheme="minorHAnsi"/>
                <w:i/>
                <w:sz w:val="24"/>
                <w:szCs w:val="24"/>
              </w:rPr>
              <w:t xml:space="preserve"> </w:t>
            </w:r>
            <w:r w:rsidRPr="00FD28D4">
              <w:rPr>
                <w:rFonts w:cstheme="minorHAnsi"/>
                <w:i/>
                <w:sz w:val="24"/>
                <w:szCs w:val="24"/>
              </w:rPr>
              <w:t xml:space="preserve">t </w:t>
            </w:r>
            <w:r w:rsidRPr="002E1DF2">
              <w:rPr>
                <w:rFonts w:cstheme="minorHAnsi"/>
                <w:sz w:val="24"/>
                <w:szCs w:val="24"/>
              </w:rPr>
              <w:t xml:space="preserve">≤ </w:t>
            </w:r>
            <w:r w:rsidRPr="00FD28D4">
              <w:rPr>
                <w:rFonts w:cstheme="minorHAnsi"/>
                <w:sz w:val="24"/>
                <w:szCs w:val="24"/>
              </w:rPr>
              <w:t>20</w:t>
            </w:r>
          </w:p>
        </w:tc>
        <w:tc>
          <w:tcPr>
            <w:tcW w:w="3108" w:type="dxa"/>
            <w:tcBorders>
              <w:top w:val="single" w:sz="4" w:space="0" w:color="auto"/>
              <w:bottom w:val="single" w:sz="4" w:space="0" w:color="auto"/>
            </w:tcBorders>
            <w:vAlign w:val="center"/>
          </w:tcPr>
          <w:p w14:paraId="58401F83" w14:textId="3DE64B58" w:rsidR="00D82120" w:rsidRPr="002E1DF2" w:rsidRDefault="006B61CB" w:rsidP="00A85C82">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2E1DF2">
              <w:rPr>
                <w:rFonts w:cstheme="minorHAnsi"/>
                <w:sz w:val="24"/>
              </w:rPr>
              <w:fldChar w:fldCharType="begin"/>
            </w:r>
            <w:r w:rsidR="005D57A8">
              <w:rPr>
                <w:rFonts w:cstheme="minorHAnsi"/>
                <w:sz w:val="24"/>
              </w:rPr>
              <w:instrText xml:space="preserve"> ADDIN ZOTERO_ITEM CSL_CITATION {"citationID":"RylvVQYW","properties":{"formattedCitation":"(Courson et al., 2024; Morandin et al., 2016; Morandin and Kremen, 2013)","plainCitation":"(Courson et al., 2024; Morandin et al., 2016; Morandin and Kremen, 2013)","noteIndex":0},"citationItems":[{"id":349,"uris":["http://zotero.org/users/13178736/items/CVVYR5JA"],"itemData":{"id":349,"type":"article-journal","abstract":"In intensive agricultural landscapes, restoration within farms could enhance biodiversity and ecosystem services such as pollination by native pollinators. Although governments and conservation groups are promoting small‐scale restoration on working farms, there are few studies that assess whether these practices enhance pollinator communities in restored areas. Further, there is no information on whether floral enhancements will deplete pollinators in adjacent fields by concentrating ambient populations or whether they result in a net increase in abundance in adjacent farm fields. We investigated whether field edges restored with native perennial plants in California's Central Valley agricultural region increased floral abundance and potential bee nesting sites, and native bee and syrphid fly abundance and diversity, in comparison to relatively unmanaged edges. Native bees and syrphid flies collected from flowers were more abundant, species‐rich, and diverse at hedgerow sites than in weedy, unmanaged edges. Abundance of bees collected passively in pan traps was negatively correlated with floral abundance, was significantly different from communities captured by net sampling from flowers, and did not distinguish between site types; we therefore focused on the results of net samples and visual observations. Uncommon species of native bees were sevenfold more abundant on hedgerow flowers than on flowers at weedy, unmanaged edges. Of the species on flowers at hedgerows, 40% were exclusive to hedgerow sites, but there were no species exclusively found on flowers at control sites. Hedgerows were especially important for supporting less‐common species of native bees in our intensive agricultural landscape. Hedgerows did not concentrate ambient native bee, honey bee, or syphid fly populations, and they acted as net exporters of native bees into adjacent fields. Within‐farm habitat restoration such as hedgerow creation may be essential for enhancing native pollinator abundance and diversity, and for pollination services to adjacent crops.","container-title":"Ecological Applications","DOI":"10.1890/12-1051.1","ISSN":"1051-0761, 1939-5582","issue":"4","journalAbbreviation":"Ecological Applications","language":"en","license":"http://onlinelibrary.wiley.com/termsAndConditions#vor","page":"829-839","source":"DOI.org (Crossref)","title":"Hedgerow restoration promotes pollinator populations and exports native bees to adjacent fields","URL":"https://esajournals.onlinelibrary.wiley.com/doi/10.1890/12-1051.1","volume":"23","author":[{"family":"Morandin","given":"Lora A."},{"family":"Kremen","given":"Claire"}],"accessed":{"date-parts":[["2025",1,6]]},"issued":{"date-parts":[["2013",6]]}}},{"id":311,"uris":["http://zotero.org/users/13178736/items/6JKG44VD"],"itemData":{"id":311,"type":"article-journal","container-title":"Journal of Economic Entomology","DOI":"10.1093/jee/tow086","ISSN":"0022-0493, 1938-291X","issue":"3","journalAbbreviation":"J Econ Entomol","language":"en","page":"1020-1027","source":"DOI.org (Crossref)","title":"Pest Control and Pollination Cost–Benefit Analysis of Hedgerow Restoration in a Simplified Agricultural Landscape","URL":"https://academic.oup.com/jee/article-lookup/doi/10.1093/jee/tow086","volume":"109","author":[{"family":"Morandin","given":"L. A."},{"family":"Long","given":"R. F."},{"family":"Kremen","given":"C."}],"accessed":{"date-parts":[["2024",11,13]]},"issued":{"date-parts":[["2016",6]]}}},{"id":505,"uris":["http://zotero.org/users/13178736/items/UKY7JKT9"],"itemData":{"id":505,"type":"article-journal","container-title":"Science of The Total Environment","DOI":"10.1016/j.scitotenv.2024.170182","ISSN":"00489697","journalAbbreviation":"Science of The Total Environment","language":"en","page":"170182","source":"DOI.org (Crossref)","title":"Reducing pest pressure and insecticide use by increasing hedgerows in the landscape","URL":"https://linkinghub.elsevier.com/retrieve/pii/S0048969724003176","volume":"916","author":[{"family":"Courson","given":"Emeric"},{"family":"Ricci","given":"Benoit"},{"family":"Muneret","given":"Lucile"},{"family":"Petit","given":"Sandrine"}],"accessed":{"date-parts":[["2025",8,8]]},"issued":{"date-parts":[["2024",3]]}}}],"schema":"https://github.com/citation-style-language/schema/raw/master/csl-citation.json"} </w:instrText>
            </w:r>
            <w:r w:rsidRPr="002E1DF2">
              <w:rPr>
                <w:rFonts w:cstheme="minorHAnsi"/>
                <w:sz w:val="24"/>
              </w:rPr>
              <w:fldChar w:fldCharType="separate"/>
            </w:r>
            <w:r w:rsidR="005D57A8" w:rsidRPr="005D57A8">
              <w:rPr>
                <w:rFonts w:ascii="Calibri" w:hAnsi="Calibri" w:cs="Calibri"/>
                <w:sz w:val="24"/>
              </w:rPr>
              <w:t>(Courson et al., 2024; Morandin et al., 2016; Morandin and Kremen, 2013)</w:t>
            </w:r>
            <w:r w:rsidRPr="002E1DF2">
              <w:rPr>
                <w:rFonts w:cstheme="minorHAnsi"/>
                <w:sz w:val="24"/>
              </w:rPr>
              <w:fldChar w:fldCharType="end"/>
            </w:r>
          </w:p>
        </w:tc>
      </w:tr>
      <w:tr w:rsidR="00D82120" w:rsidRPr="008464E7" w14:paraId="61ABAB39" w14:textId="77777777" w:rsidTr="00A81CBC">
        <w:tc>
          <w:tcPr>
            <w:cnfStyle w:val="001000000000" w:firstRow="0" w:lastRow="0" w:firstColumn="1" w:lastColumn="0" w:oddVBand="0" w:evenVBand="0" w:oddHBand="0" w:evenHBand="0" w:firstRowFirstColumn="0" w:firstRowLastColumn="0" w:lastRowFirstColumn="0" w:lastRowLastColumn="0"/>
            <w:tcW w:w="9062" w:type="dxa"/>
            <w:gridSpan w:val="4"/>
            <w:tcBorders>
              <w:top w:val="single" w:sz="4" w:space="0" w:color="auto"/>
              <w:bottom w:val="nil"/>
            </w:tcBorders>
          </w:tcPr>
          <w:p w14:paraId="0E83644E" w14:textId="77777777" w:rsidR="00D82120" w:rsidRPr="008464E7" w:rsidRDefault="00D82120" w:rsidP="008464E7">
            <w:pPr>
              <w:spacing w:line="276" w:lineRule="auto"/>
              <w:rPr>
                <w:b w:val="0"/>
                <w:sz w:val="24"/>
                <w:szCs w:val="24"/>
              </w:rPr>
            </w:pPr>
            <w:r w:rsidRPr="008464E7">
              <w:rPr>
                <w:b w:val="0"/>
                <w:szCs w:val="24"/>
                <w:vertAlign w:val="superscript"/>
              </w:rPr>
              <w:t>a</w:t>
            </w:r>
            <w:r w:rsidRPr="008464E7">
              <w:rPr>
                <w:b w:val="0"/>
                <w:szCs w:val="24"/>
              </w:rPr>
              <w:t xml:space="preserve"> the values in brackets were used for sensitivity analysis, whereas the values presented in bold were used in the baseline analysis.</w:t>
            </w:r>
          </w:p>
        </w:tc>
      </w:tr>
    </w:tbl>
    <w:p w14:paraId="11D48DF7" w14:textId="478034DA" w:rsidR="00D82120" w:rsidRDefault="00D82120" w:rsidP="00D82120">
      <w:pPr>
        <w:spacing w:line="360" w:lineRule="auto"/>
      </w:pPr>
    </w:p>
    <w:p w14:paraId="1C786CEF" w14:textId="540D316F" w:rsidR="003B4FC5" w:rsidRPr="00FB6446" w:rsidRDefault="003B4FC5" w:rsidP="009A6180">
      <w:pPr>
        <w:spacing w:after="0" w:line="360" w:lineRule="auto"/>
        <w:rPr>
          <w:szCs w:val="24"/>
        </w:rPr>
      </w:pPr>
      <w:r w:rsidRPr="00FB6446">
        <w:rPr>
          <w:b/>
          <w:szCs w:val="24"/>
        </w:rPr>
        <w:t>Table S7.</w:t>
      </w:r>
      <w:r w:rsidRPr="00FB6446">
        <w:rPr>
          <w:szCs w:val="24"/>
        </w:rPr>
        <w:t xml:space="preserve"> Carbon sequestration</w:t>
      </w:r>
      <w:r w:rsidR="009A6180" w:rsidRPr="00FB6446">
        <w:rPr>
          <w:szCs w:val="24"/>
        </w:rPr>
        <w:t xml:space="preserve"> benefits</w:t>
      </w:r>
    </w:p>
    <w:tbl>
      <w:tblPr>
        <w:tblStyle w:val="PlainTable2"/>
        <w:tblW w:w="0" w:type="auto"/>
        <w:tblLook w:val="04A0" w:firstRow="1" w:lastRow="0" w:firstColumn="1" w:lastColumn="0" w:noHBand="0" w:noVBand="1"/>
      </w:tblPr>
      <w:tblGrid>
        <w:gridCol w:w="1560"/>
        <w:gridCol w:w="992"/>
        <w:gridCol w:w="2835"/>
        <w:gridCol w:w="1843"/>
        <w:gridCol w:w="1832"/>
      </w:tblGrid>
      <w:tr w:rsidR="0087233F" w:rsidRPr="008D5BB1" w14:paraId="7AF9EF2E" w14:textId="2907D72A" w:rsidTr="004C275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60" w:type="dxa"/>
            <w:vMerge w:val="restart"/>
            <w:vAlign w:val="center"/>
          </w:tcPr>
          <w:p w14:paraId="2A73A648" w14:textId="21252A04" w:rsidR="0087233F" w:rsidRPr="005C68A7" w:rsidRDefault="0087233F" w:rsidP="005C68A7">
            <w:pPr>
              <w:spacing w:line="360" w:lineRule="auto"/>
              <w:jc w:val="center"/>
              <w:rPr>
                <w:rFonts w:cstheme="minorHAnsi"/>
                <w:sz w:val="24"/>
                <w:szCs w:val="24"/>
              </w:rPr>
            </w:pPr>
            <w:r w:rsidRPr="005C68A7">
              <w:rPr>
                <w:rFonts w:cstheme="minorHAnsi"/>
                <w:sz w:val="24"/>
                <w:szCs w:val="24"/>
              </w:rPr>
              <w:t>Landscape feature</w:t>
            </w:r>
          </w:p>
        </w:tc>
        <w:tc>
          <w:tcPr>
            <w:tcW w:w="992" w:type="dxa"/>
            <w:vMerge w:val="restart"/>
            <w:vAlign w:val="center"/>
          </w:tcPr>
          <w:p w14:paraId="31BEECAD" w14:textId="448A843A" w:rsidR="0087233F" w:rsidRPr="005C68A7" w:rsidRDefault="0087233F" w:rsidP="005C68A7">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Years</w:t>
            </w:r>
          </w:p>
        </w:tc>
        <w:tc>
          <w:tcPr>
            <w:tcW w:w="4678" w:type="dxa"/>
            <w:gridSpan w:val="2"/>
            <w:vAlign w:val="center"/>
          </w:tcPr>
          <w:p w14:paraId="502372DA" w14:textId="0B6BE73B" w:rsidR="0087233F" w:rsidRPr="0044758E" w:rsidRDefault="0087233F" w:rsidP="005C68A7">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vertAlign w:val="superscript"/>
              </w:rPr>
            </w:pPr>
            <w:r w:rsidRPr="008D5BB1">
              <w:rPr>
                <w:rFonts w:cstheme="minorHAnsi"/>
                <w:sz w:val="24"/>
                <w:szCs w:val="24"/>
              </w:rPr>
              <w:t>Aboveground Biomass</w:t>
            </w:r>
            <w:r w:rsidR="0044758E">
              <w:rPr>
                <w:rFonts w:cstheme="minorHAnsi"/>
                <w:sz w:val="24"/>
                <w:szCs w:val="24"/>
              </w:rPr>
              <w:t xml:space="preserve"> </w:t>
            </w:r>
            <w:r w:rsidR="0044758E">
              <w:rPr>
                <w:rFonts w:cstheme="minorHAnsi"/>
                <w:sz w:val="24"/>
                <w:szCs w:val="24"/>
                <w:vertAlign w:val="superscript"/>
              </w:rPr>
              <w:t>a</w:t>
            </w:r>
          </w:p>
        </w:tc>
        <w:tc>
          <w:tcPr>
            <w:tcW w:w="1832" w:type="dxa"/>
            <w:vMerge w:val="restart"/>
            <w:vAlign w:val="center"/>
          </w:tcPr>
          <w:p w14:paraId="2CD64040" w14:textId="6FCD45B7" w:rsidR="0087233F" w:rsidRPr="002D3373" w:rsidRDefault="0087233F" w:rsidP="003B7F30">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sz w:val="24"/>
                <w:szCs w:val="24"/>
                <w:vertAlign w:val="superscript"/>
              </w:rPr>
            </w:pPr>
            <w:r w:rsidRPr="00FD28D4">
              <w:rPr>
                <w:rFonts w:cstheme="minorHAnsi"/>
                <w:sz w:val="24"/>
                <w:szCs w:val="24"/>
              </w:rPr>
              <w:t xml:space="preserve">Annual Carbon value </w:t>
            </w:r>
            <w:r w:rsidR="002D3373">
              <w:rPr>
                <w:rFonts w:cstheme="minorHAnsi"/>
                <w:sz w:val="24"/>
                <w:szCs w:val="24"/>
                <w:vertAlign w:val="superscript"/>
              </w:rPr>
              <w:t>b</w:t>
            </w:r>
          </w:p>
        </w:tc>
      </w:tr>
      <w:tr w:rsidR="005C68A7" w:rsidRPr="008D5BB1" w14:paraId="4034C30D" w14:textId="77777777" w:rsidTr="004C275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60" w:type="dxa"/>
            <w:vMerge/>
            <w:tcBorders>
              <w:bottom w:val="single" w:sz="12" w:space="0" w:color="auto"/>
            </w:tcBorders>
          </w:tcPr>
          <w:p w14:paraId="0EB55866" w14:textId="77777777" w:rsidR="0087233F" w:rsidRPr="00FD28D4" w:rsidRDefault="0087233F" w:rsidP="0087233F">
            <w:pPr>
              <w:spacing w:line="360" w:lineRule="auto"/>
              <w:rPr>
                <w:rFonts w:cstheme="minorHAnsi"/>
                <w:b w:val="0"/>
                <w:sz w:val="24"/>
                <w:szCs w:val="24"/>
              </w:rPr>
            </w:pPr>
          </w:p>
        </w:tc>
        <w:tc>
          <w:tcPr>
            <w:tcW w:w="992" w:type="dxa"/>
            <w:vMerge/>
            <w:tcBorders>
              <w:bottom w:val="single" w:sz="12" w:space="0" w:color="auto"/>
            </w:tcBorders>
          </w:tcPr>
          <w:p w14:paraId="5E0CEEE9" w14:textId="77777777" w:rsidR="0087233F" w:rsidRPr="00FD28D4" w:rsidRDefault="0087233F" w:rsidP="0087233F">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24"/>
                <w:szCs w:val="24"/>
              </w:rPr>
            </w:pPr>
          </w:p>
        </w:tc>
        <w:tc>
          <w:tcPr>
            <w:tcW w:w="2835" w:type="dxa"/>
            <w:tcBorders>
              <w:bottom w:val="single" w:sz="12" w:space="0" w:color="auto"/>
            </w:tcBorders>
          </w:tcPr>
          <w:p w14:paraId="0290B7E0" w14:textId="32DEACE6" w:rsidR="0087233F" w:rsidRPr="00AD28CD" w:rsidRDefault="0087233F" w:rsidP="0044758E">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24"/>
                <w:szCs w:val="24"/>
                <w:vertAlign w:val="superscript"/>
              </w:rPr>
            </w:pPr>
            <w:r w:rsidRPr="008D5BB1">
              <w:rPr>
                <w:rFonts w:cstheme="minorHAnsi"/>
                <w:b/>
                <w:sz w:val="24"/>
                <w:szCs w:val="24"/>
              </w:rPr>
              <w:t>Carbon Sequestration rate</w:t>
            </w:r>
          </w:p>
        </w:tc>
        <w:tc>
          <w:tcPr>
            <w:tcW w:w="1843" w:type="dxa"/>
            <w:tcBorders>
              <w:bottom w:val="single" w:sz="12" w:space="0" w:color="auto"/>
            </w:tcBorders>
          </w:tcPr>
          <w:p w14:paraId="313640C7" w14:textId="37F9175A" w:rsidR="0087233F" w:rsidRPr="008D5BB1" w:rsidRDefault="0087233F" w:rsidP="0087233F">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8D5BB1">
              <w:rPr>
                <w:rFonts w:cstheme="minorHAnsi"/>
                <w:b/>
                <w:sz w:val="24"/>
                <w:szCs w:val="24"/>
              </w:rPr>
              <w:t>CO</w:t>
            </w:r>
            <w:r w:rsidRPr="008D5BB1">
              <w:rPr>
                <w:rFonts w:cstheme="minorHAnsi"/>
                <w:b/>
                <w:sz w:val="24"/>
                <w:szCs w:val="24"/>
                <w:vertAlign w:val="subscript"/>
              </w:rPr>
              <w:t>2</w:t>
            </w:r>
            <w:r w:rsidRPr="008D5BB1">
              <w:rPr>
                <w:rFonts w:cstheme="minorHAnsi"/>
                <w:b/>
                <w:sz w:val="24"/>
                <w:szCs w:val="24"/>
              </w:rPr>
              <w:t xml:space="preserve"> equivalent</w:t>
            </w:r>
          </w:p>
        </w:tc>
        <w:tc>
          <w:tcPr>
            <w:tcW w:w="1832" w:type="dxa"/>
            <w:vMerge/>
            <w:tcBorders>
              <w:bottom w:val="single" w:sz="12" w:space="0" w:color="auto"/>
            </w:tcBorders>
          </w:tcPr>
          <w:p w14:paraId="095FEDDC" w14:textId="77777777" w:rsidR="0087233F" w:rsidRPr="008D5BB1" w:rsidRDefault="0087233F" w:rsidP="0087233F">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24"/>
                <w:szCs w:val="24"/>
              </w:rPr>
            </w:pPr>
          </w:p>
        </w:tc>
      </w:tr>
      <w:tr w:rsidR="00FB292E" w:rsidRPr="008D5BB1" w14:paraId="1433623A" w14:textId="326B907F" w:rsidTr="004C2754">
        <w:tc>
          <w:tcPr>
            <w:cnfStyle w:val="001000000000" w:firstRow="0" w:lastRow="0" w:firstColumn="1" w:lastColumn="0" w:oddVBand="0" w:evenVBand="0" w:oddHBand="0" w:evenHBand="0" w:firstRowFirstColumn="0" w:firstRowLastColumn="0" w:lastRowFirstColumn="0" w:lastRowLastColumn="0"/>
            <w:tcW w:w="1560" w:type="dxa"/>
            <w:vMerge w:val="restart"/>
            <w:tcBorders>
              <w:top w:val="single" w:sz="12" w:space="0" w:color="auto"/>
            </w:tcBorders>
            <w:vAlign w:val="center"/>
          </w:tcPr>
          <w:p w14:paraId="6159BDAE" w14:textId="06B6E751" w:rsidR="00FB292E" w:rsidRPr="00FB292E" w:rsidRDefault="00FB292E" w:rsidP="00FB292E">
            <w:pPr>
              <w:spacing w:line="360" w:lineRule="auto"/>
              <w:rPr>
                <w:rFonts w:cstheme="minorHAnsi"/>
                <w:sz w:val="24"/>
                <w:szCs w:val="24"/>
              </w:rPr>
            </w:pPr>
            <w:r w:rsidRPr="00FB292E">
              <w:rPr>
                <w:rFonts w:cstheme="minorHAnsi"/>
                <w:sz w:val="24"/>
                <w:szCs w:val="24"/>
              </w:rPr>
              <w:t>Hedgerow</w:t>
            </w:r>
          </w:p>
        </w:tc>
        <w:tc>
          <w:tcPr>
            <w:tcW w:w="992" w:type="dxa"/>
            <w:tcBorders>
              <w:top w:val="single" w:sz="12" w:space="0" w:color="auto"/>
            </w:tcBorders>
          </w:tcPr>
          <w:p w14:paraId="4ACEB3B9" w14:textId="380803AE"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3-6</w:t>
            </w:r>
          </w:p>
        </w:tc>
        <w:tc>
          <w:tcPr>
            <w:tcW w:w="2835" w:type="dxa"/>
            <w:tcBorders>
              <w:top w:val="single" w:sz="12" w:space="0" w:color="auto"/>
            </w:tcBorders>
          </w:tcPr>
          <w:p w14:paraId="76D18F2E" w14:textId="41CF4FAE"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2.09</w:t>
            </w:r>
          </w:p>
        </w:tc>
        <w:tc>
          <w:tcPr>
            <w:tcW w:w="1843" w:type="dxa"/>
            <w:tcBorders>
              <w:top w:val="single" w:sz="12" w:space="0" w:color="auto"/>
            </w:tcBorders>
          </w:tcPr>
          <w:p w14:paraId="606EC2C8" w14:textId="2652FCD9"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7.6703</w:t>
            </w:r>
          </w:p>
        </w:tc>
        <w:tc>
          <w:tcPr>
            <w:tcW w:w="1832" w:type="dxa"/>
            <w:tcBorders>
              <w:top w:val="single" w:sz="12" w:space="0" w:color="auto"/>
            </w:tcBorders>
          </w:tcPr>
          <w:p w14:paraId="63932948" w14:textId="5B1F0FDE"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406.5259</w:t>
            </w:r>
          </w:p>
        </w:tc>
      </w:tr>
      <w:tr w:rsidR="00FB292E" w:rsidRPr="008D5BB1" w14:paraId="7E30D571" w14:textId="1FA3A47F" w:rsidTr="004C2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tcPr>
          <w:p w14:paraId="124C104F" w14:textId="77777777" w:rsidR="00FB292E" w:rsidRPr="008D5BB1" w:rsidRDefault="00FB292E" w:rsidP="0087233F">
            <w:pPr>
              <w:spacing w:line="360" w:lineRule="auto"/>
              <w:rPr>
                <w:rFonts w:cstheme="minorHAnsi"/>
                <w:b w:val="0"/>
                <w:sz w:val="24"/>
                <w:szCs w:val="24"/>
              </w:rPr>
            </w:pPr>
          </w:p>
        </w:tc>
        <w:tc>
          <w:tcPr>
            <w:tcW w:w="992" w:type="dxa"/>
          </w:tcPr>
          <w:p w14:paraId="0B1A53E2" w14:textId="14C376ED"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7-13</w:t>
            </w:r>
          </w:p>
        </w:tc>
        <w:tc>
          <w:tcPr>
            <w:tcW w:w="2835" w:type="dxa"/>
          </w:tcPr>
          <w:p w14:paraId="0C10CCE3" w14:textId="6700459E"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2.26</w:t>
            </w:r>
          </w:p>
        </w:tc>
        <w:tc>
          <w:tcPr>
            <w:tcW w:w="1843" w:type="dxa"/>
          </w:tcPr>
          <w:p w14:paraId="7B90D463" w14:textId="621E6010"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8.2942</w:t>
            </w:r>
          </w:p>
        </w:tc>
        <w:tc>
          <w:tcPr>
            <w:tcW w:w="1832" w:type="dxa"/>
          </w:tcPr>
          <w:p w14:paraId="63EA60D8" w14:textId="3A4E2033"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439.5926</w:t>
            </w:r>
          </w:p>
        </w:tc>
      </w:tr>
      <w:tr w:rsidR="00FB292E" w:rsidRPr="008D5BB1" w14:paraId="772F1BB9" w14:textId="31922DF7" w:rsidTr="004C2754">
        <w:tc>
          <w:tcPr>
            <w:cnfStyle w:val="001000000000" w:firstRow="0" w:lastRow="0" w:firstColumn="1" w:lastColumn="0" w:oddVBand="0" w:evenVBand="0" w:oddHBand="0" w:evenHBand="0" w:firstRowFirstColumn="0" w:firstRowLastColumn="0" w:lastRowFirstColumn="0" w:lastRowLastColumn="0"/>
            <w:tcW w:w="1560" w:type="dxa"/>
            <w:vMerge/>
          </w:tcPr>
          <w:p w14:paraId="32795D71" w14:textId="77777777" w:rsidR="00FB292E" w:rsidRPr="008D5BB1" w:rsidRDefault="00FB292E" w:rsidP="0087233F">
            <w:pPr>
              <w:spacing w:line="360" w:lineRule="auto"/>
              <w:rPr>
                <w:rFonts w:cstheme="minorHAnsi"/>
                <w:b w:val="0"/>
                <w:sz w:val="24"/>
                <w:szCs w:val="24"/>
              </w:rPr>
            </w:pPr>
          </w:p>
        </w:tc>
        <w:tc>
          <w:tcPr>
            <w:tcW w:w="992" w:type="dxa"/>
          </w:tcPr>
          <w:p w14:paraId="75028899" w14:textId="16F2248E"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 14</w:t>
            </w:r>
          </w:p>
        </w:tc>
        <w:tc>
          <w:tcPr>
            <w:tcW w:w="2835" w:type="dxa"/>
          </w:tcPr>
          <w:p w14:paraId="7D3F3988" w14:textId="2BBBEEF2"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0.43</w:t>
            </w:r>
          </w:p>
        </w:tc>
        <w:tc>
          <w:tcPr>
            <w:tcW w:w="1843" w:type="dxa"/>
          </w:tcPr>
          <w:p w14:paraId="7D8F2298" w14:textId="549103CB"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1.5781</w:t>
            </w:r>
          </w:p>
        </w:tc>
        <w:tc>
          <w:tcPr>
            <w:tcW w:w="1832" w:type="dxa"/>
          </w:tcPr>
          <w:p w14:paraId="4FFA1AFF" w14:textId="422E013B"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83.6393</w:t>
            </w:r>
          </w:p>
        </w:tc>
      </w:tr>
      <w:tr w:rsidR="00FB292E" w:rsidRPr="008D5BB1" w14:paraId="7F8280AB" w14:textId="48EA804D" w:rsidTr="004C2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tcPr>
          <w:p w14:paraId="654787CF" w14:textId="77777777" w:rsidR="00FB292E" w:rsidRPr="008D5BB1" w:rsidRDefault="00FB292E" w:rsidP="0087233F">
            <w:pPr>
              <w:spacing w:line="360" w:lineRule="auto"/>
              <w:rPr>
                <w:rFonts w:cstheme="minorHAnsi"/>
                <w:b w:val="0"/>
                <w:sz w:val="24"/>
                <w:szCs w:val="24"/>
              </w:rPr>
            </w:pPr>
          </w:p>
        </w:tc>
        <w:tc>
          <w:tcPr>
            <w:tcW w:w="992" w:type="dxa"/>
            <w:vMerge w:val="restart"/>
          </w:tcPr>
          <w:p w14:paraId="0431F6EE" w14:textId="4B8BB87B" w:rsidR="00FB292E" w:rsidRPr="008D5BB1" w:rsidRDefault="00FB292E" w:rsidP="0087233F">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24"/>
                <w:szCs w:val="24"/>
              </w:rPr>
            </w:pPr>
          </w:p>
        </w:tc>
        <w:tc>
          <w:tcPr>
            <w:tcW w:w="4678" w:type="dxa"/>
            <w:gridSpan w:val="2"/>
          </w:tcPr>
          <w:p w14:paraId="6193D5EB" w14:textId="537BDC64" w:rsidR="00FB292E" w:rsidRPr="008D5BB1" w:rsidRDefault="00FB292E" w:rsidP="005C46FD">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8D5BB1">
              <w:rPr>
                <w:rFonts w:cstheme="minorHAnsi"/>
                <w:b/>
                <w:sz w:val="24"/>
                <w:szCs w:val="24"/>
              </w:rPr>
              <w:t>Below ground</w:t>
            </w:r>
          </w:p>
        </w:tc>
        <w:tc>
          <w:tcPr>
            <w:tcW w:w="1832" w:type="dxa"/>
            <w:vMerge w:val="restart"/>
          </w:tcPr>
          <w:p w14:paraId="6748F7BE" w14:textId="2555E20B" w:rsidR="00FB292E" w:rsidRPr="008D5BB1" w:rsidRDefault="00FB292E" w:rsidP="0087233F">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24"/>
                <w:szCs w:val="24"/>
              </w:rPr>
            </w:pPr>
          </w:p>
        </w:tc>
      </w:tr>
      <w:tr w:rsidR="00FB292E" w:rsidRPr="008D5BB1" w14:paraId="24181A25" w14:textId="755511D5" w:rsidTr="004C2754">
        <w:tc>
          <w:tcPr>
            <w:cnfStyle w:val="001000000000" w:firstRow="0" w:lastRow="0" w:firstColumn="1" w:lastColumn="0" w:oddVBand="0" w:evenVBand="0" w:oddHBand="0" w:evenHBand="0" w:firstRowFirstColumn="0" w:firstRowLastColumn="0" w:lastRowFirstColumn="0" w:lastRowLastColumn="0"/>
            <w:tcW w:w="1560" w:type="dxa"/>
            <w:vMerge/>
          </w:tcPr>
          <w:p w14:paraId="4C8F1A54" w14:textId="77777777" w:rsidR="00FB292E" w:rsidRPr="008D5BB1" w:rsidRDefault="00FB292E" w:rsidP="0087233F">
            <w:pPr>
              <w:spacing w:line="360" w:lineRule="auto"/>
              <w:rPr>
                <w:rFonts w:cstheme="minorHAnsi"/>
                <w:b w:val="0"/>
                <w:sz w:val="24"/>
                <w:szCs w:val="24"/>
              </w:rPr>
            </w:pPr>
          </w:p>
        </w:tc>
        <w:tc>
          <w:tcPr>
            <w:tcW w:w="992" w:type="dxa"/>
            <w:vMerge/>
            <w:tcBorders>
              <w:bottom w:val="single" w:sz="12" w:space="0" w:color="auto"/>
            </w:tcBorders>
          </w:tcPr>
          <w:p w14:paraId="28F1EC3F" w14:textId="77777777" w:rsidR="00FB292E" w:rsidRPr="008D5BB1" w:rsidRDefault="00FB292E" w:rsidP="0087233F">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rPr>
            </w:pPr>
          </w:p>
        </w:tc>
        <w:tc>
          <w:tcPr>
            <w:tcW w:w="2835" w:type="dxa"/>
            <w:tcBorders>
              <w:bottom w:val="single" w:sz="12" w:space="0" w:color="auto"/>
            </w:tcBorders>
          </w:tcPr>
          <w:p w14:paraId="6400FDA8" w14:textId="7D14CCC8" w:rsidR="00FB292E" w:rsidRPr="006D41A8" w:rsidRDefault="00FB292E" w:rsidP="0087233F">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vertAlign w:val="superscript"/>
              </w:rPr>
            </w:pPr>
            <w:r w:rsidRPr="008D5BB1">
              <w:rPr>
                <w:rFonts w:cstheme="minorHAnsi"/>
                <w:b/>
                <w:sz w:val="24"/>
                <w:szCs w:val="24"/>
              </w:rPr>
              <w:t>Soil Organic Carbon</w:t>
            </w:r>
            <w:r w:rsidR="006D41A8">
              <w:rPr>
                <w:rFonts w:cstheme="minorHAnsi"/>
                <w:b/>
                <w:sz w:val="24"/>
                <w:szCs w:val="24"/>
              </w:rPr>
              <w:t xml:space="preserve"> </w:t>
            </w:r>
            <w:r w:rsidR="006D41A8">
              <w:rPr>
                <w:rFonts w:cstheme="minorHAnsi"/>
                <w:b/>
                <w:sz w:val="24"/>
                <w:szCs w:val="24"/>
                <w:vertAlign w:val="superscript"/>
              </w:rPr>
              <w:t>c</w:t>
            </w:r>
          </w:p>
        </w:tc>
        <w:tc>
          <w:tcPr>
            <w:tcW w:w="1843" w:type="dxa"/>
            <w:tcBorders>
              <w:bottom w:val="single" w:sz="12" w:space="0" w:color="auto"/>
            </w:tcBorders>
          </w:tcPr>
          <w:p w14:paraId="15100EE5" w14:textId="7B603886" w:rsidR="00FB292E" w:rsidRPr="008D5BB1" w:rsidRDefault="00FB292E" w:rsidP="0087233F">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rPr>
            </w:pPr>
            <w:r w:rsidRPr="008D5BB1">
              <w:rPr>
                <w:rFonts w:cstheme="minorHAnsi"/>
                <w:b/>
                <w:sz w:val="24"/>
                <w:szCs w:val="24"/>
              </w:rPr>
              <w:t>CO</w:t>
            </w:r>
            <w:r w:rsidRPr="008D5BB1">
              <w:rPr>
                <w:rFonts w:cstheme="minorHAnsi"/>
                <w:b/>
                <w:sz w:val="24"/>
                <w:szCs w:val="24"/>
                <w:vertAlign w:val="subscript"/>
              </w:rPr>
              <w:t>2</w:t>
            </w:r>
            <w:r w:rsidRPr="008D5BB1">
              <w:rPr>
                <w:rFonts w:cstheme="minorHAnsi"/>
                <w:b/>
                <w:sz w:val="24"/>
                <w:szCs w:val="24"/>
              </w:rPr>
              <w:t xml:space="preserve"> equivalent</w:t>
            </w:r>
          </w:p>
        </w:tc>
        <w:tc>
          <w:tcPr>
            <w:tcW w:w="1832" w:type="dxa"/>
            <w:vMerge/>
            <w:tcBorders>
              <w:bottom w:val="single" w:sz="12" w:space="0" w:color="auto"/>
            </w:tcBorders>
          </w:tcPr>
          <w:p w14:paraId="5B9A021A" w14:textId="77777777" w:rsidR="00FB292E" w:rsidRPr="008D5BB1" w:rsidRDefault="00FB292E" w:rsidP="0087233F">
            <w:pPr>
              <w:spacing w:line="360" w:lineRule="auto"/>
              <w:cnfStyle w:val="000000000000" w:firstRow="0" w:lastRow="0" w:firstColumn="0" w:lastColumn="0" w:oddVBand="0" w:evenVBand="0" w:oddHBand="0" w:evenHBand="0" w:firstRowFirstColumn="0" w:firstRowLastColumn="0" w:lastRowFirstColumn="0" w:lastRowLastColumn="0"/>
              <w:rPr>
                <w:rFonts w:cstheme="minorHAnsi"/>
                <w:b/>
                <w:sz w:val="24"/>
                <w:szCs w:val="24"/>
              </w:rPr>
            </w:pPr>
          </w:p>
        </w:tc>
      </w:tr>
      <w:tr w:rsidR="00FB292E" w:rsidRPr="008D5BB1" w14:paraId="7C5B1DB5" w14:textId="77777777" w:rsidTr="004C2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tcPr>
          <w:p w14:paraId="31B3EB71" w14:textId="77777777" w:rsidR="00FB292E" w:rsidRPr="008D5BB1" w:rsidRDefault="00FB292E" w:rsidP="0087233F">
            <w:pPr>
              <w:spacing w:line="360" w:lineRule="auto"/>
              <w:rPr>
                <w:rFonts w:cstheme="minorHAnsi"/>
                <w:b w:val="0"/>
                <w:sz w:val="24"/>
                <w:szCs w:val="24"/>
              </w:rPr>
            </w:pPr>
          </w:p>
        </w:tc>
        <w:tc>
          <w:tcPr>
            <w:tcW w:w="992" w:type="dxa"/>
            <w:tcBorders>
              <w:top w:val="single" w:sz="12" w:space="0" w:color="auto"/>
            </w:tcBorders>
          </w:tcPr>
          <w:p w14:paraId="5E5C24D1" w14:textId="40D51E07"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2-4</w:t>
            </w:r>
          </w:p>
        </w:tc>
        <w:tc>
          <w:tcPr>
            <w:tcW w:w="2835" w:type="dxa"/>
            <w:tcBorders>
              <w:top w:val="single" w:sz="12" w:space="0" w:color="auto"/>
            </w:tcBorders>
          </w:tcPr>
          <w:p w14:paraId="0FFD4CCE" w14:textId="625DEFA3"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3.71</w:t>
            </w:r>
          </w:p>
        </w:tc>
        <w:tc>
          <w:tcPr>
            <w:tcW w:w="1843" w:type="dxa"/>
            <w:tcBorders>
              <w:top w:val="single" w:sz="12" w:space="0" w:color="auto"/>
            </w:tcBorders>
          </w:tcPr>
          <w:p w14:paraId="03783D60" w14:textId="5B91529F"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13.6157</w:t>
            </w:r>
          </w:p>
        </w:tc>
        <w:tc>
          <w:tcPr>
            <w:tcW w:w="1832" w:type="dxa"/>
            <w:tcBorders>
              <w:top w:val="single" w:sz="12" w:space="0" w:color="auto"/>
            </w:tcBorders>
          </w:tcPr>
          <w:p w14:paraId="36D74ABE" w14:textId="775C2CFE"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721.6321</w:t>
            </w:r>
          </w:p>
        </w:tc>
      </w:tr>
      <w:tr w:rsidR="00FB292E" w:rsidRPr="008D5BB1" w14:paraId="626FA331" w14:textId="77777777" w:rsidTr="004C2754">
        <w:tc>
          <w:tcPr>
            <w:cnfStyle w:val="001000000000" w:firstRow="0" w:lastRow="0" w:firstColumn="1" w:lastColumn="0" w:oddVBand="0" w:evenVBand="0" w:oddHBand="0" w:evenHBand="0" w:firstRowFirstColumn="0" w:firstRowLastColumn="0" w:lastRowFirstColumn="0" w:lastRowLastColumn="0"/>
            <w:tcW w:w="1560" w:type="dxa"/>
            <w:vMerge/>
          </w:tcPr>
          <w:p w14:paraId="4F37A073" w14:textId="77777777" w:rsidR="00FB292E" w:rsidRPr="008D5BB1" w:rsidRDefault="00FB292E" w:rsidP="0087233F">
            <w:pPr>
              <w:spacing w:line="360" w:lineRule="auto"/>
              <w:rPr>
                <w:rFonts w:cstheme="minorHAnsi"/>
                <w:b w:val="0"/>
                <w:sz w:val="24"/>
                <w:szCs w:val="24"/>
              </w:rPr>
            </w:pPr>
          </w:p>
        </w:tc>
        <w:tc>
          <w:tcPr>
            <w:tcW w:w="992" w:type="dxa"/>
          </w:tcPr>
          <w:p w14:paraId="2413407C" w14:textId="64121EE7"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5-9</w:t>
            </w:r>
            <w:r w:rsidR="004C2754">
              <w:rPr>
                <w:rFonts w:cstheme="minorHAnsi"/>
                <w:sz w:val="24"/>
                <w:szCs w:val="24"/>
              </w:rPr>
              <w:t>*</w:t>
            </w:r>
          </w:p>
        </w:tc>
        <w:tc>
          <w:tcPr>
            <w:tcW w:w="2835" w:type="dxa"/>
          </w:tcPr>
          <w:p w14:paraId="119D8D52" w14:textId="31D52521"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3.2</w:t>
            </w:r>
          </w:p>
        </w:tc>
        <w:tc>
          <w:tcPr>
            <w:tcW w:w="1843" w:type="dxa"/>
          </w:tcPr>
          <w:p w14:paraId="64434613" w14:textId="3B8DB520"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11.744</w:t>
            </w:r>
          </w:p>
        </w:tc>
        <w:tc>
          <w:tcPr>
            <w:tcW w:w="1832" w:type="dxa"/>
          </w:tcPr>
          <w:p w14:paraId="03E42517" w14:textId="1770F91A"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622.432</w:t>
            </w:r>
          </w:p>
        </w:tc>
      </w:tr>
      <w:tr w:rsidR="00FB292E" w:rsidRPr="008D5BB1" w14:paraId="400A21BA" w14:textId="77777777" w:rsidTr="004C2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tcPr>
          <w:p w14:paraId="10EF3CDD" w14:textId="77777777" w:rsidR="00FB292E" w:rsidRPr="008D5BB1" w:rsidRDefault="00FB292E" w:rsidP="0087233F">
            <w:pPr>
              <w:spacing w:line="360" w:lineRule="auto"/>
              <w:rPr>
                <w:rFonts w:cstheme="minorHAnsi"/>
                <w:b w:val="0"/>
                <w:sz w:val="24"/>
                <w:szCs w:val="24"/>
              </w:rPr>
            </w:pPr>
          </w:p>
        </w:tc>
        <w:tc>
          <w:tcPr>
            <w:tcW w:w="992" w:type="dxa"/>
          </w:tcPr>
          <w:p w14:paraId="44FE94FF" w14:textId="35C1C100"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10</w:t>
            </w:r>
          </w:p>
        </w:tc>
        <w:tc>
          <w:tcPr>
            <w:tcW w:w="2835" w:type="dxa"/>
          </w:tcPr>
          <w:p w14:paraId="75A6C2A4" w14:textId="5CBCA434"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2.69</w:t>
            </w:r>
          </w:p>
        </w:tc>
        <w:tc>
          <w:tcPr>
            <w:tcW w:w="1843" w:type="dxa"/>
          </w:tcPr>
          <w:p w14:paraId="1985FCC6" w14:textId="157CF38C"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9.8723</w:t>
            </w:r>
          </w:p>
        </w:tc>
        <w:tc>
          <w:tcPr>
            <w:tcW w:w="1832" w:type="dxa"/>
          </w:tcPr>
          <w:p w14:paraId="443F00AF" w14:textId="411599CA"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523.2319</w:t>
            </w:r>
          </w:p>
        </w:tc>
      </w:tr>
      <w:tr w:rsidR="00FB292E" w:rsidRPr="008D5BB1" w14:paraId="4705A305" w14:textId="77777777" w:rsidTr="004C2754">
        <w:tc>
          <w:tcPr>
            <w:cnfStyle w:val="001000000000" w:firstRow="0" w:lastRow="0" w:firstColumn="1" w:lastColumn="0" w:oddVBand="0" w:evenVBand="0" w:oddHBand="0" w:evenHBand="0" w:firstRowFirstColumn="0" w:firstRowLastColumn="0" w:lastRowFirstColumn="0" w:lastRowLastColumn="0"/>
            <w:tcW w:w="1560" w:type="dxa"/>
            <w:vMerge/>
          </w:tcPr>
          <w:p w14:paraId="6EF7B27B" w14:textId="77777777" w:rsidR="00FB292E" w:rsidRPr="008D5BB1" w:rsidRDefault="00FB292E" w:rsidP="0087233F">
            <w:pPr>
              <w:spacing w:line="360" w:lineRule="auto"/>
              <w:rPr>
                <w:rFonts w:cstheme="minorHAnsi"/>
                <w:b w:val="0"/>
                <w:sz w:val="24"/>
                <w:szCs w:val="24"/>
              </w:rPr>
            </w:pPr>
          </w:p>
        </w:tc>
        <w:tc>
          <w:tcPr>
            <w:tcW w:w="992" w:type="dxa"/>
          </w:tcPr>
          <w:p w14:paraId="2F870AE0" w14:textId="7BDE2F75"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11-19</w:t>
            </w:r>
            <w:r w:rsidR="004C2754">
              <w:rPr>
                <w:rFonts w:cstheme="minorHAnsi"/>
                <w:sz w:val="24"/>
                <w:szCs w:val="24"/>
              </w:rPr>
              <w:t>*</w:t>
            </w:r>
          </w:p>
        </w:tc>
        <w:tc>
          <w:tcPr>
            <w:tcW w:w="2835" w:type="dxa"/>
          </w:tcPr>
          <w:p w14:paraId="6AB90651" w14:textId="6F3CA693"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2.47</w:t>
            </w:r>
          </w:p>
        </w:tc>
        <w:tc>
          <w:tcPr>
            <w:tcW w:w="1843" w:type="dxa"/>
          </w:tcPr>
          <w:p w14:paraId="5734548D" w14:textId="2C329C11"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9.0649</w:t>
            </w:r>
          </w:p>
        </w:tc>
        <w:tc>
          <w:tcPr>
            <w:tcW w:w="1832" w:type="dxa"/>
          </w:tcPr>
          <w:p w14:paraId="0D9C7A1F" w14:textId="2889C149" w:rsidR="00FB292E" w:rsidRPr="005C68A7" w:rsidRDefault="00FB292E"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480.4397</w:t>
            </w:r>
          </w:p>
        </w:tc>
      </w:tr>
      <w:tr w:rsidR="00FB292E" w:rsidRPr="008D5BB1" w14:paraId="50497BA2" w14:textId="77777777" w:rsidTr="004C2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tcBorders>
              <w:bottom w:val="single" w:sz="12" w:space="0" w:color="auto"/>
            </w:tcBorders>
          </w:tcPr>
          <w:p w14:paraId="5FD2B938" w14:textId="77777777" w:rsidR="00FB292E" w:rsidRPr="008D5BB1" w:rsidRDefault="00FB292E" w:rsidP="0087233F">
            <w:pPr>
              <w:spacing w:line="360" w:lineRule="auto"/>
              <w:rPr>
                <w:rFonts w:cstheme="minorHAnsi"/>
                <w:b w:val="0"/>
                <w:sz w:val="24"/>
                <w:szCs w:val="24"/>
              </w:rPr>
            </w:pPr>
          </w:p>
        </w:tc>
        <w:tc>
          <w:tcPr>
            <w:tcW w:w="992" w:type="dxa"/>
            <w:tcBorders>
              <w:bottom w:val="single" w:sz="12" w:space="0" w:color="auto"/>
            </w:tcBorders>
          </w:tcPr>
          <w:p w14:paraId="3218932E" w14:textId="56C8423C"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20</w:t>
            </w:r>
            <w:r w:rsidR="004C2754">
              <w:rPr>
                <w:rFonts w:cstheme="minorHAnsi"/>
                <w:sz w:val="24"/>
                <w:szCs w:val="24"/>
              </w:rPr>
              <w:t>*</w:t>
            </w:r>
          </w:p>
        </w:tc>
        <w:tc>
          <w:tcPr>
            <w:tcW w:w="2835" w:type="dxa"/>
            <w:tcBorders>
              <w:bottom w:val="single" w:sz="12" w:space="0" w:color="auto"/>
            </w:tcBorders>
          </w:tcPr>
          <w:p w14:paraId="73D30C85" w14:textId="3C9D5816"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2.24</w:t>
            </w:r>
          </w:p>
        </w:tc>
        <w:tc>
          <w:tcPr>
            <w:tcW w:w="1843" w:type="dxa"/>
            <w:tcBorders>
              <w:bottom w:val="single" w:sz="12" w:space="0" w:color="auto"/>
            </w:tcBorders>
          </w:tcPr>
          <w:p w14:paraId="02944F18" w14:textId="72F2D5A7"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8.2208</w:t>
            </w:r>
          </w:p>
        </w:tc>
        <w:tc>
          <w:tcPr>
            <w:tcW w:w="1832" w:type="dxa"/>
            <w:tcBorders>
              <w:bottom w:val="single" w:sz="12" w:space="0" w:color="auto"/>
            </w:tcBorders>
          </w:tcPr>
          <w:p w14:paraId="0EAAFA1A" w14:textId="0744706B" w:rsidR="00FB292E" w:rsidRPr="005C68A7" w:rsidRDefault="00FB292E" w:rsidP="00A50BE4">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5C68A7">
              <w:rPr>
                <w:rFonts w:cstheme="minorHAnsi"/>
                <w:sz w:val="24"/>
                <w:szCs w:val="24"/>
              </w:rPr>
              <w:t>435.7024</w:t>
            </w:r>
          </w:p>
        </w:tc>
      </w:tr>
      <w:tr w:rsidR="009F6DC7" w:rsidRPr="008D5BB1" w14:paraId="5D2D8347" w14:textId="77777777" w:rsidTr="004C2754">
        <w:tc>
          <w:tcPr>
            <w:cnfStyle w:val="001000000000" w:firstRow="0" w:lastRow="0" w:firstColumn="1" w:lastColumn="0" w:oddVBand="0" w:evenVBand="0" w:oddHBand="0" w:evenHBand="0" w:firstRowFirstColumn="0" w:firstRowLastColumn="0" w:lastRowFirstColumn="0" w:lastRowLastColumn="0"/>
            <w:tcW w:w="1560" w:type="dxa"/>
            <w:tcBorders>
              <w:top w:val="single" w:sz="12" w:space="0" w:color="auto"/>
            </w:tcBorders>
          </w:tcPr>
          <w:p w14:paraId="18DE2BEE" w14:textId="6FB6C1C7" w:rsidR="009F6DC7" w:rsidRPr="00A50BE4" w:rsidRDefault="009F6DC7" w:rsidP="0087233F">
            <w:pPr>
              <w:spacing w:line="360" w:lineRule="auto"/>
              <w:rPr>
                <w:rFonts w:cstheme="minorHAnsi"/>
                <w:sz w:val="24"/>
                <w:szCs w:val="24"/>
              </w:rPr>
            </w:pPr>
            <w:r w:rsidRPr="00A50BE4">
              <w:rPr>
                <w:rFonts w:cstheme="minorHAnsi"/>
                <w:sz w:val="24"/>
                <w:szCs w:val="24"/>
              </w:rPr>
              <w:t>Flower strips</w:t>
            </w:r>
          </w:p>
        </w:tc>
        <w:tc>
          <w:tcPr>
            <w:tcW w:w="992" w:type="dxa"/>
            <w:tcBorders>
              <w:top w:val="single" w:sz="12" w:space="0" w:color="auto"/>
            </w:tcBorders>
          </w:tcPr>
          <w:p w14:paraId="1E47FE4A" w14:textId="6CD14420" w:rsidR="009F6DC7" w:rsidRPr="005C68A7" w:rsidRDefault="009F6DC7"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2-20</w:t>
            </w:r>
          </w:p>
        </w:tc>
        <w:tc>
          <w:tcPr>
            <w:tcW w:w="2835" w:type="dxa"/>
            <w:tcBorders>
              <w:top w:val="single" w:sz="12" w:space="0" w:color="auto"/>
            </w:tcBorders>
          </w:tcPr>
          <w:p w14:paraId="4AF31288" w14:textId="73ED629D" w:rsidR="009F6DC7" w:rsidRPr="005C68A7" w:rsidRDefault="000670A1"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0.48</w:t>
            </w:r>
          </w:p>
        </w:tc>
        <w:tc>
          <w:tcPr>
            <w:tcW w:w="1843" w:type="dxa"/>
            <w:tcBorders>
              <w:top w:val="single" w:sz="12" w:space="0" w:color="auto"/>
            </w:tcBorders>
          </w:tcPr>
          <w:p w14:paraId="6A1AC757" w14:textId="6C1AA3BE" w:rsidR="009F6DC7" w:rsidRPr="005C68A7" w:rsidRDefault="000670A1"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1.7616</w:t>
            </w:r>
          </w:p>
        </w:tc>
        <w:tc>
          <w:tcPr>
            <w:tcW w:w="1832" w:type="dxa"/>
            <w:tcBorders>
              <w:top w:val="single" w:sz="12" w:space="0" w:color="auto"/>
            </w:tcBorders>
          </w:tcPr>
          <w:p w14:paraId="205E4FF1" w14:textId="5C44F9B1" w:rsidR="009F6DC7" w:rsidRPr="005C68A7" w:rsidRDefault="000670A1" w:rsidP="00A50BE4">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5C68A7">
              <w:rPr>
                <w:rFonts w:cstheme="minorHAnsi"/>
                <w:sz w:val="24"/>
                <w:szCs w:val="24"/>
              </w:rPr>
              <w:t>93.3648</w:t>
            </w:r>
          </w:p>
        </w:tc>
      </w:tr>
    </w:tbl>
    <w:p w14:paraId="13C4DFD4" w14:textId="5402C12D" w:rsidR="00960F28" w:rsidRPr="002D3373" w:rsidRDefault="00AD28CD" w:rsidP="002D3373">
      <w:pPr>
        <w:spacing w:after="0" w:line="276" w:lineRule="auto"/>
        <w:rPr>
          <w:szCs w:val="24"/>
        </w:rPr>
      </w:pPr>
      <w:r w:rsidRPr="002D3373">
        <w:rPr>
          <w:szCs w:val="24"/>
          <w:vertAlign w:val="superscript"/>
        </w:rPr>
        <w:lastRenderedPageBreak/>
        <w:t xml:space="preserve">a </w:t>
      </w:r>
      <w:r w:rsidRPr="002D3373">
        <w:rPr>
          <w:szCs w:val="24"/>
        </w:rPr>
        <w:t>Aboveground biomass Carbon Sequestration rate measured in Mg C ha</w:t>
      </w:r>
      <w:r w:rsidRPr="002D3373">
        <w:rPr>
          <w:szCs w:val="24"/>
          <w:vertAlign w:val="superscript"/>
        </w:rPr>
        <w:t>−1</w:t>
      </w:r>
      <w:r w:rsidRPr="002D3373">
        <w:rPr>
          <w:szCs w:val="24"/>
        </w:rPr>
        <w:t xml:space="preserve"> yr</w:t>
      </w:r>
      <w:r w:rsidRPr="002D3373">
        <w:rPr>
          <w:szCs w:val="24"/>
          <w:vertAlign w:val="superscript"/>
        </w:rPr>
        <w:t>−1</w:t>
      </w:r>
      <w:r w:rsidRPr="002D3373">
        <w:rPr>
          <w:szCs w:val="24"/>
        </w:rPr>
        <w:t xml:space="preserve"> </w:t>
      </w:r>
      <w:r w:rsidR="0044758E" w:rsidRPr="002D3373">
        <w:rPr>
          <w:szCs w:val="24"/>
        </w:rPr>
        <w:fldChar w:fldCharType="begin"/>
      </w:r>
      <w:r w:rsidR="005D57A8">
        <w:rPr>
          <w:szCs w:val="24"/>
        </w:rPr>
        <w:instrText xml:space="preserve"> ADDIN ZOTERO_ITEM CSL_CITATION {"citationID":"PawYXCb9","properties":{"formattedCitation":"(Biffi et al., 2023)","plainCitation":"(Biffi et al., 2023)","noteIndex":0},"citationItems":[{"id":385,"uris":["http://zotero.org/users/13178736/items/WFZPNWPR"],"itemData":{"id":385,"type":"article-journal","container-title":"Science of The Total Environment","DOI":"10.1016/j.scitotenv.2023.164482","ISSN":"00489697","journalAbbreviation":"Science of The Total Environment","language":"en","page":"164482","source":"DOI.org (Crossref)","title":"Planting hedgerows: Biomass carbon sequestration and contribution towards net-zero targets","title-short":"Planting hedgerows","URL":"https://linkinghub.elsevier.com/retrieve/pii/S0048969723031030","volume":"892","author":[{"family":"Biffi","given":"Sofia"},{"family":"Chapman","given":"Pippa J."},{"family":"Grayson","given":"Richard P."},{"family":"Ziv","given":"Guy"}],"accessed":{"date-parts":[["2025",2,10]]},"issued":{"date-parts":[["2023",9]]}}}],"schema":"https://github.com/citation-style-language/schema/raw/master/csl-citation.json"} </w:instrText>
      </w:r>
      <w:r w:rsidR="0044758E" w:rsidRPr="002D3373">
        <w:rPr>
          <w:szCs w:val="24"/>
        </w:rPr>
        <w:fldChar w:fldCharType="separate"/>
      </w:r>
      <w:r w:rsidR="005D57A8" w:rsidRPr="005D57A8">
        <w:rPr>
          <w:rFonts w:ascii="Calibri" w:hAnsi="Calibri" w:cs="Calibri"/>
        </w:rPr>
        <w:t>(Biffi et al., 2023)</w:t>
      </w:r>
      <w:r w:rsidR="0044758E" w:rsidRPr="002D3373">
        <w:rPr>
          <w:szCs w:val="24"/>
        </w:rPr>
        <w:fldChar w:fldCharType="end"/>
      </w:r>
      <w:r w:rsidR="0044758E" w:rsidRPr="002D3373">
        <w:rPr>
          <w:szCs w:val="24"/>
        </w:rPr>
        <w:t>.</w:t>
      </w:r>
      <w:r w:rsidR="002D3373" w:rsidRPr="002D3373">
        <w:rPr>
          <w:szCs w:val="24"/>
        </w:rPr>
        <w:t xml:space="preserve"> CO</w:t>
      </w:r>
      <w:r w:rsidR="002D3373" w:rsidRPr="00DA0655">
        <w:rPr>
          <w:szCs w:val="24"/>
          <w:vertAlign w:val="subscript"/>
        </w:rPr>
        <w:t xml:space="preserve">2 </w:t>
      </w:r>
      <w:r w:rsidR="002D3373" w:rsidRPr="002D3373">
        <w:rPr>
          <w:szCs w:val="24"/>
        </w:rPr>
        <w:t>equivalent (1Mg C=3.67Mg Co2) in Mg CO₂ ha⁻¹ yr⁻¹.</w:t>
      </w:r>
    </w:p>
    <w:p w14:paraId="33B7C252" w14:textId="2E3AE84E" w:rsidR="002D3373" w:rsidRDefault="002D3373" w:rsidP="002D3373">
      <w:pPr>
        <w:spacing w:after="0" w:line="276" w:lineRule="auto"/>
        <w:rPr>
          <w:rFonts w:cstheme="minorHAnsi"/>
          <w:szCs w:val="24"/>
        </w:rPr>
      </w:pPr>
      <w:r w:rsidRPr="002D3373">
        <w:rPr>
          <w:szCs w:val="24"/>
          <w:vertAlign w:val="superscript"/>
        </w:rPr>
        <w:t xml:space="preserve">b </w:t>
      </w:r>
      <w:r w:rsidRPr="002D3373">
        <w:rPr>
          <w:rFonts w:cstheme="minorHAnsi"/>
          <w:szCs w:val="24"/>
        </w:rPr>
        <w:t>Annual Carbon value in euros/ha</w:t>
      </w:r>
      <w:r w:rsidR="006D41A8">
        <w:rPr>
          <w:rFonts w:cstheme="minorHAnsi"/>
          <w:szCs w:val="24"/>
        </w:rPr>
        <w:t>.</w:t>
      </w:r>
      <w:r w:rsidR="00D278DE">
        <w:rPr>
          <w:rFonts w:cstheme="minorHAnsi"/>
          <w:szCs w:val="24"/>
        </w:rPr>
        <w:t xml:space="preserve"> </w:t>
      </w:r>
      <w:r w:rsidR="00D278DE" w:rsidRPr="00D278DE">
        <w:rPr>
          <w:rFonts w:cstheme="minorHAnsi"/>
          <w:szCs w:val="24"/>
        </w:rPr>
        <w:t>Average Carbon price (EU ETS) 2021</w:t>
      </w:r>
      <w:r w:rsidR="00D278DE">
        <w:rPr>
          <w:rFonts w:cstheme="minorHAnsi"/>
          <w:szCs w:val="24"/>
        </w:rPr>
        <w:t xml:space="preserve"> = 53 </w:t>
      </w:r>
      <w:r w:rsidR="00D278DE" w:rsidRPr="00D278DE">
        <w:rPr>
          <w:rFonts w:cstheme="minorHAnsi"/>
          <w:szCs w:val="24"/>
        </w:rPr>
        <w:t>€/tCO₂ (Mg CO2)</w:t>
      </w:r>
      <w:r w:rsidR="00D278DE">
        <w:rPr>
          <w:rFonts w:cstheme="minorHAnsi"/>
          <w:szCs w:val="24"/>
        </w:rPr>
        <w:t xml:space="preserve"> </w:t>
      </w:r>
      <w:r w:rsidR="00E62C43">
        <w:rPr>
          <w:rFonts w:cstheme="minorHAnsi"/>
          <w:szCs w:val="24"/>
        </w:rPr>
        <w:fldChar w:fldCharType="begin"/>
      </w:r>
      <w:r w:rsidR="005D57A8">
        <w:rPr>
          <w:rFonts w:cstheme="minorHAnsi"/>
          <w:szCs w:val="24"/>
        </w:rPr>
        <w:instrText xml:space="preserve"> ADDIN ZOTERO_ITEM CSL_CITATION {"citationID":"DKsYNY0n","properties":{"formattedCitation":"(Statista, 2025)","plainCitation":"(Statista, 2025)","noteIndex":0},"citationItems":[{"id":498,"uris":["http://zotero.org/users/13178736/items/KUY26AE5"],"itemData":{"id":498,"type":"report","title":"Annual average price of European Union Emissions Trading System (EU ETS) allowances from 2020 to 2024","URL":"https://www.statista.com","author":[{"family":"Statista","given":""}],"accessed":{"date-parts":[["2025",6,22]]},"issued":{"date-parts":[["2025"]]}}}],"schema":"https://github.com/citation-style-language/schema/raw/master/csl-citation.json"} </w:instrText>
      </w:r>
      <w:r w:rsidR="00E62C43">
        <w:rPr>
          <w:rFonts w:cstheme="minorHAnsi"/>
          <w:szCs w:val="24"/>
        </w:rPr>
        <w:fldChar w:fldCharType="separate"/>
      </w:r>
      <w:r w:rsidR="005D57A8" w:rsidRPr="005D57A8">
        <w:rPr>
          <w:rFonts w:ascii="Calibri" w:hAnsi="Calibri" w:cs="Calibri"/>
        </w:rPr>
        <w:t>(Statista, 2025)</w:t>
      </w:r>
      <w:r w:rsidR="00E62C43">
        <w:rPr>
          <w:rFonts w:cstheme="minorHAnsi"/>
          <w:szCs w:val="24"/>
        </w:rPr>
        <w:fldChar w:fldCharType="end"/>
      </w:r>
      <w:r w:rsidR="006C50C0">
        <w:rPr>
          <w:rFonts w:cstheme="minorHAnsi"/>
          <w:szCs w:val="24"/>
        </w:rPr>
        <w:t>.</w:t>
      </w:r>
    </w:p>
    <w:p w14:paraId="0FA7C918" w14:textId="3BB7E14C" w:rsidR="006D41A8" w:rsidRPr="00BB304A" w:rsidRDefault="006D41A8" w:rsidP="002D3373">
      <w:pPr>
        <w:spacing w:after="0" w:line="276" w:lineRule="auto"/>
        <w:rPr>
          <w:rFonts w:cstheme="minorHAnsi"/>
          <w:szCs w:val="24"/>
        </w:rPr>
      </w:pPr>
      <w:r w:rsidRPr="006D41A8">
        <w:rPr>
          <w:rFonts w:cstheme="minorHAnsi"/>
          <w:szCs w:val="24"/>
          <w:vertAlign w:val="superscript"/>
        </w:rPr>
        <w:t>c</w:t>
      </w:r>
      <w:r>
        <w:rPr>
          <w:rFonts w:cstheme="minorHAnsi"/>
          <w:szCs w:val="24"/>
          <w:vertAlign w:val="superscript"/>
        </w:rPr>
        <w:t xml:space="preserve"> </w:t>
      </w:r>
      <w:r w:rsidR="00BB304A" w:rsidRPr="00BB304A">
        <w:rPr>
          <w:rFonts w:cstheme="minorHAnsi"/>
          <w:szCs w:val="24"/>
        </w:rPr>
        <w:t>Soil Organic Carbon</w:t>
      </w:r>
      <w:r w:rsidR="00BB304A">
        <w:rPr>
          <w:rFonts w:cstheme="minorHAnsi"/>
          <w:szCs w:val="24"/>
        </w:rPr>
        <w:t xml:space="preserve"> in </w:t>
      </w:r>
      <w:r w:rsidR="00BB304A" w:rsidRPr="00BB304A">
        <w:rPr>
          <w:rFonts w:cstheme="minorHAnsi"/>
          <w:szCs w:val="24"/>
        </w:rPr>
        <w:t>Mg C ha</w:t>
      </w:r>
      <w:r w:rsidR="00BB304A" w:rsidRPr="00A8784B">
        <w:rPr>
          <w:rFonts w:cstheme="minorHAnsi"/>
          <w:szCs w:val="24"/>
          <w:vertAlign w:val="superscript"/>
        </w:rPr>
        <w:t>−1</w:t>
      </w:r>
      <w:r w:rsidR="00BB304A" w:rsidRPr="00BB304A">
        <w:rPr>
          <w:rFonts w:cstheme="minorHAnsi"/>
          <w:szCs w:val="24"/>
        </w:rPr>
        <w:t xml:space="preserve"> year</w:t>
      </w:r>
      <w:r w:rsidR="00BB304A" w:rsidRPr="00A8784B">
        <w:rPr>
          <w:rFonts w:cstheme="minorHAnsi"/>
          <w:szCs w:val="24"/>
          <w:vertAlign w:val="superscript"/>
        </w:rPr>
        <w:t>−1</w:t>
      </w:r>
      <w:r w:rsidR="006576C6">
        <w:rPr>
          <w:rFonts w:cstheme="minorHAnsi"/>
          <w:szCs w:val="24"/>
        </w:rPr>
        <w:t>; d</w:t>
      </w:r>
      <w:r w:rsidR="00250285">
        <w:rPr>
          <w:rFonts w:cstheme="minorHAnsi"/>
          <w:szCs w:val="24"/>
        </w:rPr>
        <w:t>ata for hedgerows</w:t>
      </w:r>
      <w:r w:rsidR="00842E6E">
        <w:rPr>
          <w:rFonts w:cstheme="minorHAnsi"/>
          <w:szCs w:val="24"/>
        </w:rPr>
        <w:t xml:space="preserve"> </w:t>
      </w:r>
      <w:r w:rsidR="00653DB7">
        <w:rPr>
          <w:rFonts w:cstheme="minorHAnsi"/>
          <w:szCs w:val="24"/>
        </w:rPr>
        <w:fldChar w:fldCharType="begin"/>
      </w:r>
      <w:r w:rsidR="005D57A8">
        <w:rPr>
          <w:rFonts w:cstheme="minorHAnsi"/>
          <w:szCs w:val="24"/>
        </w:rPr>
        <w:instrText xml:space="preserve"> ADDIN ZOTERO_ITEM CSL_CITATION {"citationID":"o8HZzPjE","properties":{"formattedCitation":"(Biffi et al., 2022)","plainCitation":"(Biffi et al., 2022)","noteIndex":0},"citationItems":[{"id":494,"uris":["http://zotero.org/users/13178736/items/2BAT23KH"],"itemData":{"id":494,"type":"article-journal","container-title":"Journal of Environmental Management","DOI":"10.1016/j.jenvman.2022.114484","ISSN":"0301-4797","language":"en","license":"https://www.elsevier.com/tdm/userlicense/1.0/","note":"publisher: Elsevier BV","page":"114484","source":"Crossref","title":"Soil carbon sequestration potential of planting hedgerows in agricultural landscapes","URL":"https://linkinghub.elsevier.com/retrieve/pii/S0301479722000573","volume":"307","author":[{"family":"Biffi","given":"Sofia"},{"family":"Chapman","given":"Pippa J."},{"family":"Grayson","given":"Richard P."},{"family":"Ziv","given":"Guy"}],"accessed":{"date-parts":[["2025",7,25]]},"issued":{"date-parts":[["2022",4]]}}}],"schema":"https://github.com/citation-style-language/schema/raw/master/csl-citation.json"} </w:instrText>
      </w:r>
      <w:r w:rsidR="00653DB7">
        <w:rPr>
          <w:rFonts w:cstheme="minorHAnsi"/>
          <w:szCs w:val="24"/>
        </w:rPr>
        <w:fldChar w:fldCharType="separate"/>
      </w:r>
      <w:r w:rsidR="005D57A8" w:rsidRPr="005D57A8">
        <w:rPr>
          <w:rFonts w:ascii="Calibri" w:hAnsi="Calibri" w:cs="Calibri"/>
        </w:rPr>
        <w:t>(Biffi et al., 2022)</w:t>
      </w:r>
      <w:r w:rsidR="00653DB7">
        <w:rPr>
          <w:rFonts w:cstheme="minorHAnsi"/>
          <w:szCs w:val="24"/>
        </w:rPr>
        <w:fldChar w:fldCharType="end"/>
      </w:r>
      <w:r w:rsidR="00FC3645">
        <w:rPr>
          <w:rFonts w:cstheme="minorHAnsi"/>
          <w:szCs w:val="24"/>
        </w:rPr>
        <w:t xml:space="preserve"> – (*) linear extrapolation</w:t>
      </w:r>
      <w:r w:rsidR="006576C6">
        <w:rPr>
          <w:rFonts w:cstheme="minorHAnsi"/>
          <w:szCs w:val="24"/>
        </w:rPr>
        <w:t>, data</w:t>
      </w:r>
      <w:r w:rsidR="00DB71EE">
        <w:rPr>
          <w:rFonts w:cstheme="minorHAnsi"/>
          <w:szCs w:val="24"/>
        </w:rPr>
        <w:t xml:space="preserve"> for flower strips </w:t>
      </w:r>
      <w:r w:rsidR="00502181">
        <w:rPr>
          <w:rFonts w:cstheme="minorHAnsi"/>
          <w:szCs w:val="24"/>
        </w:rPr>
        <w:fldChar w:fldCharType="begin"/>
      </w:r>
      <w:r w:rsidR="005D57A8">
        <w:rPr>
          <w:rFonts w:cstheme="minorHAnsi"/>
          <w:szCs w:val="24"/>
        </w:rPr>
        <w:instrText xml:space="preserve"> ADDIN ZOTERO_ITEM CSL_CITATION {"citationID":"S7215moQ","properties":{"formattedCitation":"(Harbo et al., 2023)","plainCitation":"(Harbo et al., 2023)","noteIndex":0},"citationItems":[{"id":387,"uris":["http://zotero.org/users/13178736/items/JKZNAXPN"],"itemData":{"id":387,"type":"article-journal","abstract":"Abstract\n            \n              Purpose\n              Flower strips have been shown to increase insect biodiversity and improve agricultural yields through increased pollination and pest predation. Less is known about their potential to increase soil organic carbon (SOC). We aimed to investigate the biomass production and SOC sequestration potential of flower strips as a sustainable management option of temperate agricultural soils.\n            \n            \n              Methods\n              23 flower strips across varying soil types and climatic regions in Germany were sampled for aboveground and belowground peak biomass in order to estimate the annual carbon input to the soil. Those were used as 23 scenarios to model the potential SOC sequestration of the flower strips compared to a business-as-usual scenario for 1533 sites of the German Agricultural Soil Inventory using the RothC model.\n            \n            \n              Results\n              \n                On average, flower strips sequestered 0.48 ± 0.36 Mg C ha\n                −1\n                 year\n                −1\n                in the initial 20-year period after establishment. Converting 1 % of the total German cropland area into flower strips would thus lead to a mitigation of 0.24 Tg CO\n                2\n                year\n                −1\n                , which equals 0.4 % of current agricultural greenhouse gas emissions in Germany.\n              \n              We found a negative correlation between C sequestration rate and the number of plant species in the flower strips, mainly related to grasses outcompeting herbaceous species.\n            \n            \n              Conclusion\n              Flower strips are one overlooked option for increasing SOC stocks of croplands that has multiple benefits for agro-ecosystems. However, within a flower strip it might not be possible to maximise both plant biodiversity and SOC sequestration.","container-title":"Plant and Soil","DOI":"10.1007/s11104-022-05718-5","ISSN":"0032-079X, 1573-5036","issue":"1-2","journalAbbreviation":"Plant Soil","language":"en","page":"647-663","source":"DOI.org (Crossref)","title":"Flower strips as a carbon sequestration measure in temperate croplands","URL":"https://link.springer.com/10.1007/s11104-022-05718-5","volume":"482","author":[{"family":"Harbo","given":"Laura Sofie"},{"family":"Schulz","given":"Gesa"},{"family":"Heinemann","given":"Henrike"},{"family":"Dechow","given":"Rene"},{"family":"Poeplau","given":"Christopher"}],"accessed":{"date-parts":[["2025",2,10]]},"issued":{"date-parts":[["2023",1]]}}}],"schema":"https://github.com/citation-style-language/schema/raw/master/csl-citation.json"} </w:instrText>
      </w:r>
      <w:r w:rsidR="00502181">
        <w:rPr>
          <w:rFonts w:cstheme="minorHAnsi"/>
          <w:szCs w:val="24"/>
        </w:rPr>
        <w:fldChar w:fldCharType="separate"/>
      </w:r>
      <w:r w:rsidR="005D57A8" w:rsidRPr="005D57A8">
        <w:rPr>
          <w:rFonts w:ascii="Calibri" w:hAnsi="Calibri" w:cs="Calibri"/>
        </w:rPr>
        <w:t>(Harbo et al., 2023)</w:t>
      </w:r>
      <w:r w:rsidR="00502181">
        <w:rPr>
          <w:rFonts w:cstheme="minorHAnsi"/>
          <w:szCs w:val="24"/>
        </w:rPr>
        <w:fldChar w:fldCharType="end"/>
      </w:r>
      <w:r w:rsidR="009E535C">
        <w:rPr>
          <w:rFonts w:cstheme="minorHAnsi"/>
          <w:szCs w:val="24"/>
        </w:rPr>
        <w:t>.</w:t>
      </w:r>
    </w:p>
    <w:p w14:paraId="7CFA5FE1" w14:textId="77777777" w:rsidR="009069CD" w:rsidRDefault="009069CD" w:rsidP="00C21C7C">
      <w:pPr>
        <w:spacing w:line="360" w:lineRule="auto"/>
        <w:rPr>
          <w:szCs w:val="24"/>
        </w:rPr>
      </w:pPr>
      <w:bookmarkStart w:id="6" w:name="_Toc201518485"/>
    </w:p>
    <w:p w14:paraId="2256F18F" w14:textId="4BC26DC8" w:rsidR="00D82120" w:rsidRPr="00CB4165" w:rsidRDefault="00D82120" w:rsidP="00C21C7C">
      <w:pPr>
        <w:spacing w:line="360" w:lineRule="auto"/>
        <w:rPr>
          <w:rFonts w:cstheme="minorHAnsi"/>
          <w:b/>
          <w:sz w:val="24"/>
          <w:szCs w:val="24"/>
        </w:rPr>
      </w:pPr>
      <w:r w:rsidRPr="00CB4165">
        <w:rPr>
          <w:rFonts w:cstheme="minorHAnsi"/>
          <w:b/>
          <w:sz w:val="24"/>
          <w:szCs w:val="24"/>
        </w:rPr>
        <w:t>Conservation and ES benefits of landscape features</w:t>
      </w:r>
      <w:bookmarkEnd w:id="6"/>
    </w:p>
    <w:p w14:paraId="7C7DB098" w14:textId="387D05F7" w:rsidR="00D82120" w:rsidRDefault="001D0318" w:rsidP="00C21C7C">
      <w:pPr>
        <w:spacing w:line="360" w:lineRule="auto"/>
        <w:rPr>
          <w:sz w:val="24"/>
          <w:szCs w:val="24"/>
        </w:rPr>
      </w:pPr>
      <w:r w:rsidRPr="00CB4165">
        <w:rPr>
          <w:rFonts w:cstheme="minorHAnsi"/>
          <w:spacing w:val="1"/>
          <w:sz w:val="24"/>
          <w:szCs w:val="24"/>
        </w:rPr>
        <w:t xml:space="preserve">Discrete choice experiment (DCE) surveys are rooted in consumer theory </w:t>
      </w:r>
      <w:r w:rsidR="002B32B5">
        <w:rPr>
          <w:rFonts w:cstheme="minorHAnsi"/>
          <w:spacing w:val="1"/>
          <w:sz w:val="24"/>
          <w:szCs w:val="24"/>
        </w:rPr>
        <w:fldChar w:fldCharType="begin"/>
      </w:r>
      <w:r w:rsidR="005D57A8">
        <w:rPr>
          <w:rFonts w:cstheme="minorHAnsi"/>
          <w:spacing w:val="1"/>
          <w:sz w:val="24"/>
          <w:szCs w:val="24"/>
        </w:rPr>
        <w:instrText xml:space="preserve"> ADDIN ZOTERO_ITEM CSL_CITATION {"citationID":"j5QKlDm0","properties":{"formattedCitation":"(Lancaster, 1966)","plainCitation":"(Lancaster, 1966)","noteIndex":0},"citationItems":[{"id":240,"uris":["http://zotero.org/users/13178736/items/VY7CM3B5"],"itemData":{"id":240,"type":"article-journal","container-title":"Journal of Political Economy","DOI":"10.1086/259131","ISSN":"0022-3808, 1537-534X","issue":"2","journalAbbreviation":"Journal of Political Economy","language":"en","page":"132-157","source":"DOI.org (Crossref)","title":"A New Approach to Consumer Theory","URL":"https://www.journals.uchicago.edu/doi/10.1086/259131","volume":"74","author":[{"family":"Lancaster","given":"Kelvin J."}],"accessed":{"date-parts":[["2024",4,17]]},"issued":{"date-parts":[["1966",4]]}}}],"schema":"https://github.com/citation-style-language/schema/raw/master/csl-citation.json"} </w:instrText>
      </w:r>
      <w:r w:rsidR="002B32B5">
        <w:rPr>
          <w:rFonts w:cstheme="minorHAnsi"/>
          <w:spacing w:val="1"/>
          <w:sz w:val="24"/>
          <w:szCs w:val="24"/>
        </w:rPr>
        <w:fldChar w:fldCharType="separate"/>
      </w:r>
      <w:r w:rsidR="005D57A8" w:rsidRPr="005D57A8">
        <w:rPr>
          <w:rFonts w:ascii="Calibri" w:hAnsi="Calibri" w:cs="Calibri"/>
          <w:sz w:val="24"/>
        </w:rPr>
        <w:t>(Lancaster, 1966)</w:t>
      </w:r>
      <w:r w:rsidR="002B32B5">
        <w:rPr>
          <w:rFonts w:cstheme="minorHAnsi"/>
          <w:spacing w:val="1"/>
          <w:sz w:val="24"/>
          <w:szCs w:val="24"/>
        </w:rPr>
        <w:fldChar w:fldCharType="end"/>
      </w:r>
      <w:r w:rsidRPr="00CB4165">
        <w:rPr>
          <w:rFonts w:cstheme="minorHAnsi"/>
          <w:spacing w:val="1"/>
          <w:sz w:val="24"/>
          <w:szCs w:val="24"/>
        </w:rPr>
        <w:t xml:space="preserve">, which asserts that individuals derive utility from an option’s attributes (characteristics), and the random utility framework </w:t>
      </w:r>
      <w:r w:rsidR="002B32B5">
        <w:rPr>
          <w:rFonts w:cstheme="minorHAnsi"/>
          <w:spacing w:val="1"/>
          <w:sz w:val="24"/>
          <w:szCs w:val="24"/>
        </w:rPr>
        <w:fldChar w:fldCharType="begin"/>
      </w:r>
      <w:r w:rsidR="005D57A8">
        <w:rPr>
          <w:rFonts w:cstheme="minorHAnsi"/>
          <w:spacing w:val="1"/>
          <w:sz w:val="24"/>
          <w:szCs w:val="24"/>
        </w:rPr>
        <w:instrText xml:space="preserve"> ADDIN ZOTERO_ITEM CSL_CITATION {"citationID":"Iw6AFiUS","properties":{"formattedCitation":"(McFadden, 1974)","plainCitation":"(McFadden, 1974)","noteIndex":0},"citationItems":[{"id":164,"uris":["http://zotero.org/users/13178736/items/YEHWKLWQ"],"itemData":{"id":164,"type":"chapter","container-title":"Frontiers in econometrics","event-place":"New York","page":"105–42","publisher":"Academic Press","publisher-place":"New York","title":"Conditional logit analysis of qualitative choice behavior","author":[{"family":"McFadden","given":"Daniel"}],"editor":[{"family":"Zarembka","given":"Paul"}],"issued":{"date-parts":[["1974"]]}}}],"schema":"https://github.com/citation-style-language/schema/raw/master/csl-citation.json"} </w:instrText>
      </w:r>
      <w:r w:rsidR="002B32B5">
        <w:rPr>
          <w:rFonts w:cstheme="minorHAnsi"/>
          <w:spacing w:val="1"/>
          <w:sz w:val="24"/>
          <w:szCs w:val="24"/>
        </w:rPr>
        <w:fldChar w:fldCharType="separate"/>
      </w:r>
      <w:r w:rsidR="005D57A8" w:rsidRPr="005D57A8">
        <w:rPr>
          <w:rFonts w:ascii="Calibri" w:hAnsi="Calibri" w:cs="Calibri"/>
          <w:sz w:val="24"/>
        </w:rPr>
        <w:t>(McFadden, 1974)</w:t>
      </w:r>
      <w:r w:rsidR="002B32B5">
        <w:rPr>
          <w:rFonts w:cstheme="minorHAnsi"/>
          <w:spacing w:val="1"/>
          <w:sz w:val="24"/>
          <w:szCs w:val="24"/>
        </w:rPr>
        <w:fldChar w:fldCharType="end"/>
      </w:r>
      <w:r w:rsidRPr="00CB4165">
        <w:rPr>
          <w:rFonts w:cstheme="minorHAnsi"/>
          <w:spacing w:val="1"/>
          <w:sz w:val="24"/>
          <w:szCs w:val="24"/>
        </w:rPr>
        <w:t xml:space="preserve">, which models decision-making under uncertainty. In the DCE, respondents revealed their preferences by comparing and valuing among hypothetical alternatives. Based on the random utility framework, </w:t>
      </w:r>
      <w:r w:rsidR="00D82120" w:rsidRPr="00CB4165">
        <w:rPr>
          <w:rFonts w:cstheme="minorHAnsi"/>
          <w:sz w:val="24"/>
          <w:szCs w:val="24"/>
        </w:rPr>
        <w:t>the</w:t>
      </w:r>
      <w:r w:rsidR="00D82120">
        <w:rPr>
          <w:sz w:val="24"/>
          <w:szCs w:val="24"/>
        </w:rPr>
        <w:t xml:space="preserve"> utility that an individual </w:t>
      </w:r>
      <w:r w:rsidR="00D82120" w:rsidRPr="00F160ED">
        <w:rPr>
          <w:rFonts w:ascii="Cambria" w:hAnsi="Cambria"/>
          <w:i/>
          <w:sz w:val="24"/>
          <w:szCs w:val="24"/>
        </w:rPr>
        <w:t>n</w:t>
      </w:r>
      <w:r w:rsidR="00D82120">
        <w:rPr>
          <w:sz w:val="24"/>
          <w:szCs w:val="24"/>
        </w:rPr>
        <w:t xml:space="preserve"> obtains from choosing an alternative </w:t>
      </w:r>
      <w:r w:rsidR="00D82120" w:rsidRPr="00F160ED">
        <w:rPr>
          <w:rFonts w:ascii="Cambria" w:hAnsi="Cambria"/>
          <w:i/>
          <w:sz w:val="24"/>
          <w:szCs w:val="24"/>
        </w:rPr>
        <w:t>j</w:t>
      </w:r>
      <w:r w:rsidR="00D82120">
        <w:rPr>
          <w:sz w:val="24"/>
          <w:szCs w:val="24"/>
        </w:rPr>
        <w:t xml:space="preserve"> in a choice situation </w:t>
      </w:r>
      <w:r w:rsidR="00D82120" w:rsidRPr="00F160ED">
        <w:rPr>
          <w:rFonts w:ascii="Cambria" w:hAnsi="Cambria"/>
          <w:i/>
          <w:sz w:val="24"/>
          <w:szCs w:val="24"/>
        </w:rPr>
        <w:t>s</w:t>
      </w:r>
      <w:r w:rsidR="00D82120">
        <w:rPr>
          <w:sz w:val="24"/>
          <w:szCs w:val="24"/>
        </w:rPr>
        <w:t xml:space="preserve"> is made of a deterministic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nsj</m:t>
            </m:r>
          </m:sub>
        </m:sSub>
      </m:oMath>
      <w:r w:rsidR="00D82120" w:rsidRPr="00806209">
        <w:rPr>
          <w:i/>
          <w:sz w:val="24"/>
          <w:szCs w:val="24"/>
        </w:rPr>
        <w:t xml:space="preserve"> </w:t>
      </w:r>
      <w:r w:rsidR="00D82120">
        <w:rPr>
          <w:sz w:val="24"/>
          <w:szCs w:val="24"/>
        </w:rPr>
        <w:t xml:space="preserve">and a random </w:t>
      </w:r>
      <m:oMath>
        <m:sSub>
          <m:sSubPr>
            <m:ctrlPr>
              <w:rPr>
                <w:rFonts w:ascii="Cambria Math" w:hAnsi="Cambria Math"/>
                <w:i/>
                <w:sz w:val="24"/>
                <w:szCs w:val="24"/>
              </w:rPr>
            </m:ctrlPr>
          </m:sSubPr>
          <m:e>
            <m:r>
              <w:rPr>
                <w:rFonts w:ascii="Cambria Math" w:hAnsi="Cambria Math" w:cstheme="minorHAnsi"/>
                <w:sz w:val="24"/>
                <w:szCs w:val="24"/>
              </w:rPr>
              <m:t>ε</m:t>
            </m:r>
          </m:e>
          <m:sub>
            <m:r>
              <w:rPr>
                <w:rFonts w:ascii="Cambria Math" w:hAnsi="Cambria Math"/>
                <w:sz w:val="24"/>
                <w:szCs w:val="24"/>
              </w:rPr>
              <m:t>nsj</m:t>
            </m:r>
          </m:sub>
        </m:sSub>
      </m:oMath>
      <w:r w:rsidR="00D82120">
        <w:rPr>
          <w:sz w:val="24"/>
          <w:szCs w:val="24"/>
        </w:rPr>
        <w:t xml:space="preserve"> components:</w:t>
      </w:r>
    </w:p>
    <w:p w14:paraId="7CECB984" w14:textId="50339BCE" w:rsidR="00D82120" w:rsidRPr="001A6678" w:rsidRDefault="00D82120" w:rsidP="00D82120">
      <w:pPr>
        <w:spacing w:line="360" w:lineRule="auto"/>
        <w:jc w:val="center"/>
        <w:rPr>
          <w:rFonts w:cstheme="minorHAnsi"/>
          <w:sz w:val="24"/>
          <w:szCs w:val="24"/>
        </w:rPr>
      </w:pPr>
      <w:r>
        <w:rPr>
          <w:i/>
          <w:sz w:val="24"/>
          <w:szCs w:val="24"/>
        </w:rPr>
        <w:t xml:space="preserve">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nsj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nsj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cstheme="minorHAnsi"/>
                <w:sz w:val="24"/>
                <w:szCs w:val="24"/>
              </w:rPr>
              <m:t>ε</m:t>
            </m:r>
          </m:e>
          <m:sub>
            <m:r>
              <w:rPr>
                <w:rFonts w:ascii="Cambria Math" w:hAnsi="Cambria Math"/>
                <w:sz w:val="24"/>
                <w:szCs w:val="24"/>
              </w:rPr>
              <m:t>nsj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cstheme="minorHAnsi"/>
                <w:sz w:val="24"/>
                <w:szCs w:val="24"/>
              </w:rPr>
              <m:t>ASC</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n</m:t>
            </m:r>
          </m:sub>
        </m:sSub>
        <m:sSub>
          <m:sSubPr>
            <m:ctrlPr>
              <w:rPr>
                <w:rFonts w:ascii="Cambria Math" w:hAnsi="Cambria Math" w:cstheme="minorHAnsi"/>
                <w:i/>
                <w:sz w:val="24"/>
                <w:szCs w:val="24"/>
                <w:vertAlign w:val="subscript"/>
              </w:rPr>
            </m:ctrlPr>
          </m:sSubPr>
          <m:e>
            <m:r>
              <w:rPr>
                <w:rFonts w:ascii="Cambria Math" w:hAnsi="Cambria Math" w:cstheme="minorHAnsi"/>
                <w:sz w:val="24"/>
                <w:szCs w:val="24"/>
                <w:vertAlign w:val="subscript"/>
              </w:rPr>
              <m:t>X</m:t>
            </m:r>
          </m:e>
          <m:sub>
            <m:r>
              <w:rPr>
                <w:rFonts w:ascii="Cambria Math" w:hAnsi="Cambria Math" w:cstheme="minorHAnsi"/>
                <w:sz w:val="24"/>
                <w:szCs w:val="24"/>
                <w:vertAlign w:val="subscript"/>
              </w:rPr>
              <m:t>nsj</m:t>
            </m:r>
          </m:sub>
        </m:sSub>
        <m:r>
          <w:rPr>
            <w:rFonts w:ascii="Cambria Math" w:hAnsi="Cambria Math" w:cstheme="minorHAnsi"/>
            <w:sz w:val="24"/>
            <w:szCs w:val="24"/>
          </w:rPr>
          <m:t>+</m:t>
        </m:r>
        <m:sSub>
          <m:sSubPr>
            <m:ctrlPr>
              <w:rPr>
                <w:rFonts w:ascii="Cambria Math" w:hAnsi="Cambria Math"/>
                <w:i/>
                <w:sz w:val="24"/>
                <w:szCs w:val="24"/>
              </w:rPr>
            </m:ctrlPr>
          </m:sSubPr>
          <m:e>
            <m:r>
              <w:rPr>
                <w:rFonts w:ascii="Cambria Math" w:hAnsi="Cambria Math" w:cstheme="minorHAnsi"/>
                <w:sz w:val="24"/>
                <w:szCs w:val="24"/>
              </w:rPr>
              <m:t>ε</m:t>
            </m:r>
          </m:e>
          <m:sub>
            <m:r>
              <w:rPr>
                <w:rFonts w:ascii="Cambria Math" w:hAnsi="Cambria Math"/>
                <w:sz w:val="24"/>
                <w:szCs w:val="24"/>
              </w:rPr>
              <m:t>nsj</m:t>
            </m:r>
          </m:sub>
        </m:sSub>
        <m:r>
          <m:rPr>
            <m:sty m:val="p"/>
          </m:rPr>
          <w:rPr>
            <w:rFonts w:ascii="Cambria Math" w:hAnsi="Cambria Math" w:cstheme="minorHAnsi"/>
            <w:sz w:val="24"/>
            <w:szCs w:val="24"/>
          </w:rPr>
          <m:t xml:space="preserve">                                   (S4)</m:t>
        </m:r>
      </m:oMath>
    </w:p>
    <w:p w14:paraId="2095F85D" w14:textId="759232A9" w:rsidR="00D82120" w:rsidRDefault="00D82120" w:rsidP="00D82120">
      <w:pPr>
        <w:spacing w:line="360" w:lineRule="auto"/>
        <w:rPr>
          <w:sz w:val="24"/>
          <w:szCs w:val="24"/>
        </w:rPr>
      </w:pPr>
      <w:r w:rsidRPr="001A6678">
        <w:rPr>
          <w:sz w:val="24"/>
          <w:szCs w:val="24"/>
        </w:rPr>
        <w:t xml:space="preserve">where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n</m:t>
            </m:r>
          </m:sub>
        </m:sSub>
      </m:oMath>
      <w:r w:rsidRPr="001A6678">
        <w:rPr>
          <w:sz w:val="24"/>
          <w:szCs w:val="24"/>
        </w:rPr>
        <w:t xml:space="preserve"> </w:t>
      </w:r>
      <w:r>
        <w:rPr>
          <w:sz w:val="24"/>
          <w:szCs w:val="24"/>
        </w:rPr>
        <w:t>denotes the</w:t>
      </w:r>
      <w:r w:rsidRPr="005761C9">
        <w:rPr>
          <w:sz w:val="24"/>
          <w:szCs w:val="24"/>
        </w:rPr>
        <w:t xml:space="preserve"> pa</w:t>
      </w:r>
      <w:r>
        <w:rPr>
          <w:sz w:val="24"/>
          <w:szCs w:val="24"/>
        </w:rPr>
        <w:t>rameter estimates for</w:t>
      </w:r>
      <w:r w:rsidRPr="001A6678">
        <w:rPr>
          <w:sz w:val="24"/>
          <w:szCs w:val="24"/>
        </w:rPr>
        <w:t xml:space="preserve"> individual </w:t>
      </w:r>
      <w:r w:rsidRPr="00B8536B">
        <w:rPr>
          <w:rFonts w:ascii="Cambria" w:hAnsi="Cambria"/>
          <w:i/>
          <w:sz w:val="24"/>
          <w:szCs w:val="24"/>
        </w:rPr>
        <w:t>n</w:t>
      </w:r>
      <w:r w:rsidRPr="001A6678">
        <w:rPr>
          <w:sz w:val="24"/>
          <w:szCs w:val="24"/>
        </w:rPr>
        <w:t xml:space="preserve">. </w:t>
      </w:r>
      <m:oMath>
        <m:sSub>
          <m:sSubPr>
            <m:ctrlPr>
              <w:rPr>
                <w:rFonts w:ascii="Cambria Math" w:hAnsi="Cambria Math" w:cstheme="minorHAnsi"/>
                <w:i/>
                <w:sz w:val="24"/>
                <w:szCs w:val="24"/>
                <w:vertAlign w:val="subscript"/>
              </w:rPr>
            </m:ctrlPr>
          </m:sSubPr>
          <m:e>
            <m:r>
              <w:rPr>
                <w:rFonts w:ascii="Cambria Math" w:hAnsi="Cambria Math" w:cstheme="minorHAnsi"/>
                <w:sz w:val="24"/>
                <w:szCs w:val="24"/>
                <w:vertAlign w:val="subscript"/>
              </w:rPr>
              <m:t>X</m:t>
            </m:r>
          </m:e>
          <m:sub>
            <m:r>
              <w:rPr>
                <w:rFonts w:ascii="Cambria Math" w:hAnsi="Cambria Math" w:cstheme="minorHAnsi"/>
                <w:sz w:val="24"/>
                <w:szCs w:val="24"/>
                <w:vertAlign w:val="subscript"/>
              </w:rPr>
              <m:t>nsj</m:t>
            </m:r>
          </m:sub>
        </m:sSub>
      </m:oMath>
      <w:r w:rsidRPr="001A6678">
        <w:rPr>
          <w:sz w:val="24"/>
          <w:szCs w:val="24"/>
        </w:rPr>
        <w:t xml:space="preserve"> </w:t>
      </w:r>
      <w:r>
        <w:rPr>
          <w:sz w:val="24"/>
          <w:szCs w:val="24"/>
        </w:rPr>
        <w:t>depicts</w:t>
      </w:r>
      <w:r w:rsidRPr="001A6678">
        <w:rPr>
          <w:sz w:val="24"/>
          <w:szCs w:val="24"/>
        </w:rPr>
        <w:t xml:space="preserve"> the vector of attributes of </w:t>
      </w:r>
      <w:r>
        <w:rPr>
          <w:sz w:val="24"/>
          <w:szCs w:val="24"/>
        </w:rPr>
        <w:t>alternative</w:t>
      </w:r>
      <w:r w:rsidRPr="001A6678">
        <w:rPr>
          <w:sz w:val="24"/>
          <w:szCs w:val="24"/>
        </w:rPr>
        <w:t xml:space="preserve"> </w:t>
      </w:r>
      <w:r w:rsidRPr="00761C35">
        <w:rPr>
          <w:i/>
          <w:sz w:val="24"/>
          <w:szCs w:val="24"/>
        </w:rPr>
        <w:t>j</w:t>
      </w:r>
      <w:r w:rsidRPr="001A6678">
        <w:rPr>
          <w:sz w:val="24"/>
          <w:szCs w:val="24"/>
        </w:rPr>
        <w:t xml:space="preserve"> within the choice </w:t>
      </w:r>
      <w:r>
        <w:rPr>
          <w:sz w:val="24"/>
          <w:szCs w:val="24"/>
        </w:rPr>
        <w:t xml:space="preserve">situation </w:t>
      </w:r>
      <w:r w:rsidRPr="00761C35">
        <w:rPr>
          <w:i/>
          <w:sz w:val="24"/>
          <w:szCs w:val="24"/>
        </w:rPr>
        <w:t>s</w:t>
      </w:r>
      <w:r w:rsidRPr="001A6678">
        <w:rPr>
          <w:sz w:val="24"/>
          <w:szCs w:val="24"/>
        </w:rPr>
        <w:t xml:space="preserve">, while </w:t>
      </w:r>
      <m:oMath>
        <m:sSub>
          <m:sSubPr>
            <m:ctrlPr>
              <w:rPr>
                <w:rFonts w:ascii="Cambria Math" w:hAnsi="Cambria Math"/>
                <w:i/>
                <w:sz w:val="24"/>
                <w:szCs w:val="24"/>
              </w:rPr>
            </m:ctrlPr>
          </m:sSubPr>
          <m:e>
            <m:r>
              <w:rPr>
                <w:rFonts w:ascii="Cambria Math" w:hAnsi="Cambria Math" w:cstheme="minorHAnsi"/>
                <w:sz w:val="24"/>
                <w:szCs w:val="24"/>
              </w:rPr>
              <m:t>ASC</m:t>
            </m:r>
          </m:e>
          <m:sub>
            <m:r>
              <w:rPr>
                <w:rFonts w:ascii="Cambria Math" w:hAnsi="Cambria Math"/>
                <w:sz w:val="24"/>
                <w:szCs w:val="24"/>
              </w:rPr>
              <m:t>j</m:t>
            </m:r>
          </m:sub>
        </m:sSub>
      </m:oMath>
      <w:r>
        <w:rPr>
          <w:sz w:val="24"/>
          <w:szCs w:val="24"/>
        </w:rPr>
        <w:t xml:space="preserve"> represents </w:t>
      </w:r>
      <w:r w:rsidRPr="001A6678">
        <w:rPr>
          <w:sz w:val="24"/>
          <w:szCs w:val="24"/>
        </w:rPr>
        <w:t>the average unobserved effects on utility of an alternative</w:t>
      </w:r>
      <w:r>
        <w:rPr>
          <w:sz w:val="24"/>
          <w:szCs w:val="24"/>
        </w:rPr>
        <w:t xml:space="preserve"> </w:t>
      </w:r>
      <w:r w:rsidRPr="00761C35">
        <w:rPr>
          <w:i/>
          <w:sz w:val="24"/>
          <w:szCs w:val="24"/>
        </w:rPr>
        <w:t>j</w:t>
      </w:r>
      <w:r w:rsidRPr="001A6678">
        <w:rPr>
          <w:sz w:val="24"/>
          <w:szCs w:val="24"/>
        </w:rPr>
        <w:t xml:space="preserve">, and </w:t>
      </w:r>
      <w:r>
        <w:rPr>
          <w:sz w:val="24"/>
          <w:szCs w:val="24"/>
        </w:rPr>
        <w:t>are</w:t>
      </w:r>
      <w:r w:rsidRPr="001A6678">
        <w:rPr>
          <w:sz w:val="24"/>
          <w:szCs w:val="24"/>
        </w:rPr>
        <w:t xml:space="preserve"> estimated up to J-1 only. The random component </w:t>
      </w:r>
      <m:oMath>
        <m:sSub>
          <m:sSubPr>
            <m:ctrlPr>
              <w:rPr>
                <w:rFonts w:ascii="Cambria Math" w:hAnsi="Cambria Math"/>
                <w:i/>
                <w:sz w:val="24"/>
                <w:szCs w:val="24"/>
              </w:rPr>
            </m:ctrlPr>
          </m:sSubPr>
          <m:e>
            <m:r>
              <w:rPr>
                <w:rFonts w:ascii="Cambria Math" w:hAnsi="Cambria Math" w:cstheme="minorHAnsi"/>
                <w:sz w:val="24"/>
                <w:szCs w:val="24"/>
              </w:rPr>
              <m:t>ε</m:t>
            </m:r>
          </m:e>
          <m:sub>
            <m:r>
              <w:rPr>
                <w:rFonts w:ascii="Cambria Math" w:hAnsi="Cambria Math"/>
                <w:sz w:val="24"/>
                <w:szCs w:val="24"/>
              </w:rPr>
              <m:t>nsj</m:t>
            </m:r>
          </m:sub>
        </m:sSub>
      </m:oMath>
      <w:r>
        <w:rPr>
          <w:sz w:val="24"/>
          <w:szCs w:val="24"/>
        </w:rPr>
        <w:t xml:space="preserve"> is </w:t>
      </w:r>
      <w:r w:rsidRPr="001A6678">
        <w:rPr>
          <w:sz w:val="24"/>
          <w:szCs w:val="24"/>
        </w:rPr>
        <w:t xml:space="preserve">assumed to be </w:t>
      </w:r>
      <w:r>
        <w:rPr>
          <w:sz w:val="24"/>
          <w:szCs w:val="24"/>
        </w:rPr>
        <w:t xml:space="preserve">IID </w:t>
      </w:r>
      <w:r w:rsidRPr="001A6678">
        <w:rPr>
          <w:sz w:val="24"/>
          <w:szCs w:val="24"/>
        </w:rPr>
        <w:t>type 1 extreme value</w:t>
      </w:r>
      <w:r>
        <w:rPr>
          <w:sz w:val="24"/>
          <w:szCs w:val="24"/>
        </w:rPr>
        <w:t xml:space="preserve"> –</w:t>
      </w:r>
      <w:r w:rsidRPr="001A6678">
        <w:rPr>
          <w:sz w:val="24"/>
          <w:szCs w:val="24"/>
        </w:rPr>
        <w:t xml:space="preserve"> </w:t>
      </w:r>
      <w:r>
        <w:rPr>
          <w:sz w:val="24"/>
          <w:szCs w:val="24"/>
        </w:rPr>
        <w:t>and represents the</w:t>
      </w:r>
      <w:r w:rsidRPr="001A6678">
        <w:rPr>
          <w:sz w:val="24"/>
          <w:szCs w:val="24"/>
        </w:rPr>
        <w:t xml:space="preserve"> idiosyncrasies affecting the utility and not observed within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nsj</m:t>
            </m:r>
          </m:sub>
        </m:sSub>
      </m:oMath>
      <w:r>
        <w:rPr>
          <w:sz w:val="24"/>
          <w:szCs w:val="24"/>
        </w:rPr>
        <w:t xml:space="preserve"> </w:t>
      </w:r>
      <w:r w:rsidR="0087370E">
        <w:rPr>
          <w:rFonts w:ascii="Calibri" w:hAnsi="Calibri" w:cs="Calibri"/>
          <w:sz w:val="24"/>
        </w:rPr>
        <w:fldChar w:fldCharType="begin"/>
      </w:r>
      <w:r w:rsidR="005D57A8">
        <w:rPr>
          <w:rFonts w:ascii="Calibri" w:hAnsi="Calibri" w:cs="Calibri"/>
          <w:sz w:val="24"/>
        </w:rPr>
        <w:instrText xml:space="preserve"> ADDIN ZOTERO_ITEM CSL_CITATION {"citationID":"maoRLTC4","properties":{"formattedCitation":"(Hensher et al., 2015)","plainCitation":"(Hensher et al., 2015)","noteIndex":0},"citationItems":[{"id":50,"uris":["http://zotero.org/users/13178736/items/EKM8GEPR"],"itemData":{"id":50,"type":"book","abstract":"The second edition of this popular book brings students fully up to date with the latest methods and techniques in choice analysis. Comprehensive yet accessible, it offers a unique introduction to anyone interested in understanding how to model and forecast the range of choices made by individuals and groups. In addition to a complete rewrite of several chapters, new topics covered include ordered choice, scaled MNL, generalized mixed logit, latent class models, group decision making, heuristics and attribute processing strategies, expected utility theory, and prospect theoretic applications. Many additional case studies are used to illustrate the applications of choice analysis with extensive command syntax provided for all Nlogit applications and datasets available online. With its unique blend of theory, estimation, and application, this book has broad appeal to all those interested in choice modeling methods and will be a valuable resource for students as well as researchers, professionals, and consultants.","edition":"2","ISBN":"978-1-107-09264-8","note":"DOI: 10.1017/CBO9781316136232","publisher":"Cambridge University Press","source":"DOI.org (Crossref)","title":"Applied Choice Analysis","URL":"https://www.cambridge.org/core/product/identifier/9781316136232/type/book","author":[{"family":"Hensher","given":"David A."},{"family":"Rose","given":"John M."},{"family":"Greene","given":"William H."}],"accessed":{"date-parts":[["2023",12,7]]},"issued":{"date-parts":[["2015",4,30]]}}}],"schema":"https://github.com/citation-style-language/schema/raw/master/csl-citation.json"} </w:instrText>
      </w:r>
      <w:r w:rsidR="0087370E">
        <w:rPr>
          <w:rFonts w:ascii="Calibri" w:hAnsi="Calibri" w:cs="Calibri"/>
          <w:sz w:val="24"/>
        </w:rPr>
        <w:fldChar w:fldCharType="separate"/>
      </w:r>
      <w:r w:rsidR="005D57A8" w:rsidRPr="005D57A8">
        <w:rPr>
          <w:rFonts w:ascii="Calibri" w:hAnsi="Calibri" w:cs="Calibri"/>
          <w:sz w:val="24"/>
        </w:rPr>
        <w:t>(Hensher et al., 2015)</w:t>
      </w:r>
      <w:r w:rsidR="0087370E">
        <w:rPr>
          <w:rFonts w:ascii="Calibri" w:hAnsi="Calibri" w:cs="Calibri"/>
          <w:sz w:val="24"/>
        </w:rPr>
        <w:fldChar w:fldCharType="end"/>
      </w:r>
      <w:r>
        <w:rPr>
          <w:sz w:val="24"/>
          <w:szCs w:val="24"/>
        </w:rPr>
        <w:t xml:space="preserve">. For the </w:t>
      </w:r>
      <w:r w:rsidRPr="001A6678">
        <w:rPr>
          <w:sz w:val="24"/>
          <w:szCs w:val="24"/>
        </w:rPr>
        <w:t>MNL model</w:t>
      </w:r>
      <w:r>
        <w:rPr>
          <w:sz w:val="24"/>
          <w:szCs w:val="24"/>
        </w:rPr>
        <w:t>, t</w:t>
      </w:r>
      <w:r w:rsidRPr="001A6678">
        <w:rPr>
          <w:sz w:val="24"/>
          <w:szCs w:val="24"/>
        </w:rPr>
        <w:t xml:space="preserve">he choice probability of an individual </w:t>
      </w:r>
      <w:r w:rsidRPr="00BF43B8">
        <w:rPr>
          <w:i/>
          <w:sz w:val="24"/>
          <w:szCs w:val="24"/>
        </w:rPr>
        <w:t>n</w:t>
      </w:r>
      <w:r w:rsidRPr="001A6678">
        <w:rPr>
          <w:sz w:val="24"/>
          <w:szCs w:val="24"/>
        </w:rPr>
        <w:t xml:space="preserve"> </w:t>
      </w:r>
      <w:r>
        <w:rPr>
          <w:sz w:val="24"/>
          <w:szCs w:val="24"/>
        </w:rPr>
        <w:t xml:space="preserve">can thus be expressed as </w:t>
      </w:r>
      <w:r w:rsidR="00651D74">
        <w:rPr>
          <w:rFonts w:ascii="Calibri" w:hAnsi="Calibri" w:cs="Calibri"/>
          <w:sz w:val="24"/>
        </w:rPr>
        <w:fldChar w:fldCharType="begin"/>
      </w:r>
      <w:r w:rsidR="00651D74">
        <w:rPr>
          <w:rFonts w:ascii="Calibri" w:hAnsi="Calibri" w:cs="Calibri"/>
          <w:sz w:val="24"/>
        </w:rPr>
        <w:instrText xml:space="preserve"> ADDIN ZOTERO_ITEM CSL_CITATION {"citationID":"zbl1JrMO","properties":{"formattedCitation":"(Hensher et al., 2015)","plainCitation":"(Hensher et al., 2015)","noteIndex":0},"citationItems":[{"id":50,"uris":["http://zotero.org/users/13178736/items/EKM8GEPR"],"itemData":{"id":50,"type":"book","abstract":"The second edition of this popular book brings students fully up to date with the latest methods and techniques in choice analysis. Comprehensive yet accessible, it offers a unique introduction to anyone interested in understanding how to model and forecast the range of choices made by individuals and groups. In addition to a complete rewrite of several chapters, new topics covered include ordered choice, scaled MNL, generalized mixed logit, latent class models, group decision making, heuristics and attribute processing strategies, expected utility theory, and prospect theoretic applications. Many additional case studies are used to illustrate the applications of choice analysis with extensive command syntax provided for all Nlogit applications and datasets available online. With its unique blend of theory, estimation, and application, this book has broad appeal to all those interested in choice modeling methods and will be a valuable resource for students as well as researchers, professionals, and consultants.","edition":"2","ISBN":"978-1-107-09264-8","note":"DOI: 10.1017/CBO9781316136232","publisher":"Cambridge University Press","source":"DOI.org (Crossref)","title":"Applied Choice Analysis","URL":"https://www.cambridge.org/core/product/identifier/9781316136232/type/book","author":[{"family":"Hensher","given":"David A."},{"family":"Rose","given":"John M."},{"family":"Greene","given":"William H."}],"accessed":{"date-parts":[["2023",12,7]]},"issued":{"date-parts":[["2015",4,30]]}}}],"schema":"https://github.com/citation-style-language/schema/raw/master/csl-citation.json"} </w:instrText>
      </w:r>
      <w:r w:rsidR="00651D74">
        <w:rPr>
          <w:rFonts w:ascii="Calibri" w:hAnsi="Calibri" w:cs="Calibri"/>
          <w:sz w:val="24"/>
        </w:rPr>
        <w:fldChar w:fldCharType="separate"/>
      </w:r>
      <w:r w:rsidR="00651D74" w:rsidRPr="00651D74">
        <w:rPr>
          <w:rFonts w:ascii="Calibri" w:hAnsi="Calibri" w:cs="Calibri"/>
          <w:sz w:val="24"/>
        </w:rPr>
        <w:t>(Hensher et al., 2015)</w:t>
      </w:r>
      <w:r w:rsidR="00651D74">
        <w:rPr>
          <w:rFonts w:ascii="Calibri" w:hAnsi="Calibri" w:cs="Calibri"/>
          <w:sz w:val="24"/>
        </w:rPr>
        <w:fldChar w:fldCharType="end"/>
      </w:r>
      <w:r w:rsidRPr="001A6678">
        <w:rPr>
          <w:sz w:val="24"/>
          <w:szCs w:val="24"/>
        </w:rPr>
        <w:t>:</w:t>
      </w:r>
    </w:p>
    <w:p w14:paraId="3465C18E" w14:textId="00AAE132" w:rsidR="00D82120" w:rsidRDefault="00BB671E" w:rsidP="00D82120">
      <w:pPr>
        <w:spacing w:line="360" w:lineRule="auto"/>
        <w:jc w:val="center"/>
        <w:rPr>
          <w:sz w:val="24"/>
          <w:szCs w:val="24"/>
        </w:rPr>
      </w:pPr>
      <m:oMathPara>
        <m:oMath>
          <m:sSub>
            <m:sSubPr>
              <m:ctrlPr>
                <w:rPr>
                  <w:rFonts w:ascii="Cambria Math" w:hAnsi="Cambria Math"/>
                  <w:i/>
                  <w:sz w:val="24"/>
                  <w:szCs w:val="24"/>
                </w:rPr>
              </m:ctrlPr>
            </m:sSubPr>
            <m:e>
              <m:r>
                <w:rPr>
                  <w:rFonts w:ascii="Cambria Math" w:hAnsi="Cambria Math"/>
                  <w:sz w:val="24"/>
                  <w:szCs w:val="24"/>
                </w:rPr>
                <m:t xml:space="preserve">                                         P</m:t>
              </m:r>
            </m:e>
            <m:sub>
              <m:r>
                <w:rPr>
                  <w:rFonts w:ascii="Cambria Math" w:hAnsi="Cambria Math"/>
                  <w:sz w:val="24"/>
                  <w:szCs w:val="24"/>
                </w:rPr>
                <m:t>nsj</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exp⁡(</m:t>
              </m:r>
              <m:sSub>
                <m:sSubPr>
                  <m:ctrlPr>
                    <w:rPr>
                      <w:rFonts w:ascii="Cambria Math" w:hAnsi="Cambria Math"/>
                      <w:i/>
                      <w:sz w:val="24"/>
                      <w:szCs w:val="24"/>
                    </w:rPr>
                  </m:ctrlPr>
                </m:sSubPr>
                <m:e>
                  <m:r>
                    <w:rPr>
                      <w:rFonts w:ascii="Cambria Math" w:hAnsi="Cambria Math"/>
                      <w:sz w:val="24"/>
                      <w:szCs w:val="24"/>
                    </w:rPr>
                    <m:t>ASC</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n</m:t>
                  </m:r>
                </m:sub>
              </m:sSub>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nsj</m:t>
                  </m:r>
                </m:sub>
              </m:sSub>
              <m:r>
                <w:rPr>
                  <w:rFonts w:ascii="Cambria Math" w:hAnsi="Cambria Math"/>
                  <w:sz w:val="24"/>
                  <w:szCs w:val="24"/>
                </w:rPr>
                <m:t>)</m:t>
              </m:r>
            </m:num>
            <m:den>
              <m:nary>
                <m:naryPr>
                  <m:chr m:val="∑"/>
                  <m:limLoc m:val="subSup"/>
                  <m:ctrlPr>
                    <w:rPr>
                      <w:rFonts w:ascii="Cambria Math" w:hAnsi="Cambria Math"/>
                      <w:i/>
                      <w:sz w:val="24"/>
                      <w:szCs w:val="24"/>
                    </w:rPr>
                  </m:ctrlPr>
                </m:naryPr>
                <m:sub>
                  <m:r>
                    <w:rPr>
                      <w:rFonts w:ascii="Cambria Math" w:hAnsi="Cambria Math"/>
                      <w:sz w:val="24"/>
                      <w:szCs w:val="24"/>
                    </w:rPr>
                    <m:t>j=1</m:t>
                  </m:r>
                </m:sub>
                <m:sup>
                  <m:r>
                    <w:rPr>
                      <w:rFonts w:ascii="Cambria Math" w:hAnsi="Cambria Math"/>
                      <w:sz w:val="24"/>
                      <w:szCs w:val="24"/>
                    </w:rPr>
                    <m:t>J</m:t>
                  </m:r>
                </m:sup>
                <m:e>
                  <m:r>
                    <w:rPr>
                      <w:rFonts w:ascii="Cambria Math" w:hAnsi="Cambria Math"/>
                      <w:sz w:val="24"/>
                      <w:szCs w:val="24"/>
                    </w:rPr>
                    <m:t>exp⁡(</m:t>
                  </m:r>
                </m:e>
              </m:nary>
              <m:sSub>
                <m:sSubPr>
                  <m:ctrlPr>
                    <w:rPr>
                      <w:rFonts w:ascii="Cambria Math" w:hAnsi="Cambria Math"/>
                      <w:i/>
                      <w:sz w:val="24"/>
                      <w:szCs w:val="24"/>
                    </w:rPr>
                  </m:ctrlPr>
                </m:sSubPr>
                <m:e>
                  <m:r>
                    <w:rPr>
                      <w:rFonts w:ascii="Cambria Math" w:hAnsi="Cambria Math"/>
                      <w:sz w:val="24"/>
                      <w:szCs w:val="24"/>
                    </w:rPr>
                    <m:t>ASC</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n</m:t>
                  </m:r>
                </m:sub>
              </m:sSub>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nsj</m:t>
                  </m:r>
                </m:sub>
              </m:sSub>
              <m:r>
                <w:rPr>
                  <w:rFonts w:ascii="Cambria Math" w:hAnsi="Cambria Math"/>
                  <w:sz w:val="24"/>
                  <w:szCs w:val="24"/>
                </w:rPr>
                <m:t>)</m:t>
              </m:r>
            </m:den>
          </m:f>
          <m:r>
            <w:rPr>
              <w:rFonts w:ascii="Cambria Math" w:eastAsiaTheme="minorEastAsia" w:hAnsi="Cambria Math"/>
              <w:sz w:val="24"/>
              <w:szCs w:val="24"/>
            </w:rPr>
            <m:t xml:space="preserve">                                                    </m:t>
          </m:r>
          <m:r>
            <m:rPr>
              <m:sty m:val="p"/>
            </m:rPr>
            <w:rPr>
              <w:rFonts w:ascii="Cambria Math" w:eastAsiaTheme="minorEastAsia" w:hAnsi="Cambria Math"/>
              <w:sz w:val="24"/>
              <w:szCs w:val="24"/>
            </w:rPr>
            <m:t>(S5)</m:t>
          </m:r>
        </m:oMath>
      </m:oMathPara>
    </w:p>
    <w:p w14:paraId="3EBF4026" w14:textId="275452C8" w:rsidR="00D82120" w:rsidRDefault="00D82120" w:rsidP="00D82120">
      <w:pPr>
        <w:spacing w:before="240" w:line="360" w:lineRule="auto"/>
        <w:rPr>
          <w:sz w:val="24"/>
          <w:szCs w:val="24"/>
        </w:rPr>
      </w:pPr>
      <w:r w:rsidRPr="00862CD1">
        <w:rPr>
          <w:sz w:val="24"/>
          <w:szCs w:val="24"/>
        </w:rPr>
        <w:t xml:space="preserve">In contrast to the MNL model, which estimates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n</m:t>
            </m:r>
          </m:sub>
        </m:sSub>
      </m:oMath>
      <w:r>
        <w:rPr>
          <w:rFonts w:eastAsiaTheme="minorEastAsia"/>
          <w:sz w:val="24"/>
          <w:szCs w:val="24"/>
        </w:rPr>
        <w:t xml:space="preserve"> </w:t>
      </w:r>
      <w:r w:rsidRPr="00862CD1">
        <w:rPr>
          <w:sz w:val="24"/>
          <w:szCs w:val="24"/>
        </w:rPr>
        <w:t xml:space="preserve">as a deterministic parameter, the </w:t>
      </w:r>
      <w:r>
        <w:rPr>
          <w:sz w:val="24"/>
          <w:szCs w:val="24"/>
        </w:rPr>
        <w:t>RP</w:t>
      </w:r>
      <w:r w:rsidRPr="00862CD1">
        <w:rPr>
          <w:sz w:val="24"/>
          <w:szCs w:val="24"/>
        </w:rPr>
        <w:t xml:space="preserve">L model allows for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n</m:t>
            </m:r>
          </m:sub>
        </m:sSub>
      </m:oMath>
      <w:r w:rsidRPr="00862CD1">
        <w:rPr>
          <w:sz w:val="24"/>
          <w:szCs w:val="24"/>
        </w:rPr>
        <w:t xml:space="preserve"> to be </w:t>
      </w:r>
      <w:r>
        <w:rPr>
          <w:sz w:val="24"/>
          <w:szCs w:val="24"/>
        </w:rPr>
        <w:t xml:space="preserve">estimated as a random parameter – </w:t>
      </w:r>
      <w:r w:rsidRPr="00862CD1">
        <w:rPr>
          <w:sz w:val="24"/>
          <w:szCs w:val="24"/>
        </w:rPr>
        <w:t xml:space="preserve">using a </w:t>
      </w:r>
      <w:r>
        <w:rPr>
          <w:sz w:val="24"/>
          <w:szCs w:val="24"/>
        </w:rPr>
        <w:t>certain</w:t>
      </w:r>
      <w:r w:rsidRPr="00862CD1">
        <w:rPr>
          <w:sz w:val="24"/>
          <w:szCs w:val="24"/>
        </w:rPr>
        <w:t xml:space="preserve"> statistical distribution. The specification of the </w:t>
      </w:r>
      <w:r w:rsidRPr="00831BF7">
        <w:rPr>
          <w:sz w:val="24"/>
          <w:szCs w:val="24"/>
        </w:rPr>
        <w:t>RPL</w:t>
      </w:r>
      <w:r w:rsidRPr="00862CD1">
        <w:rPr>
          <w:sz w:val="24"/>
          <w:szCs w:val="24"/>
        </w:rPr>
        <w:t xml:space="preserve"> model is conducted on the assumption that the multivariate random parameters have a continuous distribution over the sampled individuals.</w:t>
      </w:r>
      <w:r>
        <w:rPr>
          <w:sz w:val="24"/>
          <w:szCs w:val="24"/>
        </w:rPr>
        <w:t xml:space="preserve"> Thus, </w:t>
      </w:r>
      <w:r w:rsidRPr="00BB60DA">
        <w:rPr>
          <w:sz w:val="24"/>
          <w:szCs w:val="24"/>
        </w:rPr>
        <w:t xml:space="preserve">the choice probability for </w:t>
      </w:r>
      <w:r w:rsidRPr="00831BF7">
        <w:rPr>
          <w:sz w:val="24"/>
          <w:szCs w:val="24"/>
        </w:rPr>
        <w:t>RPL</w:t>
      </w:r>
      <w:r w:rsidRPr="00BB60DA">
        <w:rPr>
          <w:sz w:val="24"/>
          <w:szCs w:val="24"/>
        </w:rPr>
        <w:t xml:space="preserve"> model can be</w:t>
      </w:r>
      <w:r>
        <w:rPr>
          <w:sz w:val="24"/>
          <w:szCs w:val="24"/>
        </w:rPr>
        <w:t xml:space="preserve"> expressed as </w:t>
      </w:r>
      <w:r w:rsidR="00516C7E">
        <w:rPr>
          <w:rFonts w:ascii="Calibri" w:hAnsi="Calibri" w:cs="Calibri"/>
          <w:sz w:val="24"/>
        </w:rPr>
        <w:fldChar w:fldCharType="begin"/>
      </w:r>
      <w:r w:rsidR="005D57A8">
        <w:rPr>
          <w:rFonts w:ascii="Calibri" w:hAnsi="Calibri" w:cs="Calibri"/>
          <w:sz w:val="24"/>
        </w:rPr>
        <w:instrText xml:space="preserve"> ADDIN ZOTERO_ITEM CSL_CITATION {"citationID":"jkOlroCp","properties":{"formattedCitation":"(Hensher et al., 2015; Train, 2009)","plainCitation":"(Hensher et al., 2015; Train, 2009)","noteIndex":0},"citationItems":[{"id":122,"uris":["http://zotero.org/users/13178736/items/NIELI2YT"],"itemData":{"id":122,"type":"book","abstract":"This book describes the new generation of discrete choice methods, focusing on the many advances that are made possible by simulation. Researchers use these statistical methods to examine the choices that consumers, households, firms, and other agents make. Each of the major models is covered: logit, generalized extreme value, or GEV (including nested and cross-nested logits), probit, and mixed logit, plus a variety of specifications that build on these basics. Recent advances in Bayesian procedures are explored, including the use of the Metropolis-Hastings algorithm and its variant Gibbs sampling. This second edition adds chapters on endogeneity and expectation-maximization (EM) algorithms. No other book incorporates all these fields, which have arisen in the past 25 years. The procedures are applicable in many fields, including energy, transportation, environmental studies, health, labor, and marketing.","edition":"2","ISBN":"978-0-521-76655-5","note":"DOI: 10.1017/CBO9780511805271","publisher":"Cambridge University Press","source":"DOI.org (Crossref)","title":"Discrete Choice Methods with Simulation","URL":"https://www.cambridge.org/core/product/identifier/9780511805271/type/book","author":[{"family":"Train","given":"Kenneth E."}],"accessed":{"date-parts":[["2024",2,18]]},"issued":{"date-parts":[["2009"]]}}},{"id":50,"uris":["http://zotero.org/users/13178736/items/EKM8GEPR"],"itemData":{"id":50,"type":"book","abstract":"The second edition of this popular book brings students fully up to date with the latest methods and techniques in choice analysis. Comprehensive yet accessible, it offers a unique introduction to anyone interested in understanding how to model and forecast the range of choices made by individuals and groups. In addition to a complete rewrite of several chapters, new topics covered include ordered choice, scaled MNL, generalized mixed logit, latent class models, group decision making, heuristics and attribute processing strategies, expected utility theory, and prospect theoretic applications. Many additional case studies are used to illustrate the applications of choice analysis with extensive command syntax provided for all Nlogit applications and datasets available online. With its unique blend of theory, estimation, and application, this book has broad appeal to all those interested in choice modeling methods and will be a valuable resource for students as well as researchers, professionals, and consultants.","edition":"2","ISBN":"978-1-107-09264-8","note":"DOI: 10.1017/CBO9781316136232","publisher":"Cambridge University Press","source":"DOI.org (Crossref)","title":"Applied Choice Analysis","URL":"https://www.cambridge.org/core/product/identifier/9781316136232/type/book","author":[{"family":"Hensher","given":"David A."},{"family":"Rose","given":"John M."},{"family":"Greene","given":"William H."}],"accessed":{"date-parts":[["2023",12,7]]},"issued":{"date-parts":[["2015",4,30]]}}}],"schema":"https://github.com/citation-style-language/schema/raw/master/csl-citation.json"} </w:instrText>
      </w:r>
      <w:r w:rsidR="00516C7E">
        <w:rPr>
          <w:rFonts w:ascii="Calibri" w:hAnsi="Calibri" w:cs="Calibri"/>
          <w:sz w:val="24"/>
        </w:rPr>
        <w:fldChar w:fldCharType="separate"/>
      </w:r>
      <w:r w:rsidR="005D57A8" w:rsidRPr="005D57A8">
        <w:rPr>
          <w:rFonts w:ascii="Calibri" w:hAnsi="Calibri" w:cs="Calibri"/>
          <w:sz w:val="24"/>
        </w:rPr>
        <w:t>(Hensher et al., 2015; Train, 2009)</w:t>
      </w:r>
      <w:r w:rsidR="00516C7E">
        <w:rPr>
          <w:rFonts w:ascii="Calibri" w:hAnsi="Calibri" w:cs="Calibri"/>
          <w:sz w:val="24"/>
        </w:rPr>
        <w:fldChar w:fldCharType="end"/>
      </w:r>
      <w:r w:rsidR="00516C7E">
        <w:rPr>
          <w:rFonts w:ascii="Calibri" w:hAnsi="Calibri" w:cs="Calibri"/>
          <w:sz w:val="24"/>
        </w:rPr>
        <w:t>:</w:t>
      </w:r>
    </w:p>
    <w:p w14:paraId="4A0CCA4B" w14:textId="30995E74" w:rsidR="00D82120" w:rsidRDefault="00BB671E" w:rsidP="00D82120">
      <w:pPr>
        <w:spacing w:line="360" w:lineRule="auto"/>
        <w:rPr>
          <w:sz w:val="24"/>
          <w:szCs w:val="24"/>
        </w:rPr>
      </w:pPr>
      <m:oMathPara>
        <m:oMath>
          <m:sSub>
            <m:sSubPr>
              <m:ctrlPr>
                <w:rPr>
                  <w:rFonts w:ascii="Cambria Math" w:hAnsi="Cambria Math" w:cstheme="minorHAnsi"/>
                  <w:i/>
                  <w:sz w:val="24"/>
                  <w:szCs w:val="24"/>
                </w:rPr>
              </m:ctrlPr>
            </m:sSubPr>
            <m:e>
              <m:r>
                <w:rPr>
                  <w:rFonts w:ascii="Cambria Math" w:hAnsi="Cambria Math" w:cstheme="minorHAnsi"/>
                  <w:sz w:val="24"/>
                  <w:szCs w:val="24"/>
                </w:rPr>
                <m:t xml:space="preserve">                       P</m:t>
              </m:r>
            </m:e>
            <m:sub>
              <m:r>
                <w:rPr>
                  <w:rFonts w:ascii="Cambria Math" w:hAnsi="Cambria Math" w:cstheme="minorHAnsi"/>
                  <w:sz w:val="24"/>
                  <w:szCs w:val="24"/>
                </w:rPr>
                <m:t>ntj</m:t>
              </m:r>
            </m:sub>
          </m:sSub>
          <m:r>
            <w:rPr>
              <w:rFonts w:ascii="Cambria Math" w:hAnsi="Cambria Math" w:cstheme="minorHAnsi"/>
              <w:sz w:val="24"/>
              <w:szCs w:val="24"/>
            </w:rPr>
            <m:t>=</m:t>
          </m:r>
          <m:nary>
            <m:naryPr>
              <m:limLoc m:val="undOvr"/>
              <m:subHide m:val="1"/>
              <m:supHide m:val="1"/>
              <m:ctrlPr>
                <w:rPr>
                  <w:rFonts w:ascii="Cambria Math" w:hAnsi="Cambria Math" w:cstheme="minorHAnsi"/>
                  <w:i/>
                  <w:sz w:val="24"/>
                  <w:szCs w:val="24"/>
                </w:rPr>
              </m:ctrlPr>
            </m:naryPr>
            <m:sub/>
            <m:sup/>
            <m:e>
              <m:d>
                <m:dPr>
                  <m:ctrlPr>
                    <w:rPr>
                      <w:rFonts w:ascii="Cambria Math" w:hAnsi="Cambria Math" w:cstheme="minorHAnsi"/>
                      <w:i/>
                      <w:sz w:val="24"/>
                      <w:szCs w:val="24"/>
                    </w:rPr>
                  </m:ctrlPr>
                </m:dPr>
                <m:e>
                  <m:f>
                    <m:fPr>
                      <m:ctrlPr>
                        <w:rPr>
                          <w:rFonts w:ascii="Cambria Math" w:hAnsi="Cambria Math" w:cstheme="minorHAnsi"/>
                          <w:i/>
                          <w:sz w:val="24"/>
                          <w:szCs w:val="24"/>
                        </w:rPr>
                      </m:ctrlPr>
                    </m:fPr>
                    <m:num>
                      <m:func>
                        <m:funcPr>
                          <m:ctrlPr>
                            <w:rPr>
                              <w:rFonts w:ascii="Cambria Math" w:hAnsi="Cambria Math" w:cstheme="minorHAnsi"/>
                              <w:i/>
                              <w:sz w:val="24"/>
                              <w:szCs w:val="24"/>
                            </w:rPr>
                          </m:ctrlPr>
                        </m:funcPr>
                        <m:fName>
                          <m:r>
                            <w:rPr>
                              <w:rFonts w:ascii="Cambria Math" w:hAnsi="Cambria Math" w:cstheme="minorHAnsi"/>
                              <w:sz w:val="24"/>
                              <w:szCs w:val="24"/>
                            </w:rPr>
                            <m:t>exp</m:t>
                          </m:r>
                        </m:fName>
                        <m:e>
                          <m:d>
                            <m:dPr>
                              <m:ctrlPr>
                                <w:rPr>
                                  <w:rFonts w:ascii="Cambria Math" w:hAnsi="Cambria Math" w:cstheme="minorHAnsi"/>
                                  <w:i/>
                                  <w:sz w:val="24"/>
                                  <w:szCs w:val="24"/>
                                </w:rPr>
                              </m:ctrlPr>
                            </m:dPr>
                            <m:e>
                              <m:sSub>
                                <m:sSubPr>
                                  <m:ctrlPr>
                                    <w:rPr>
                                      <w:rFonts w:ascii="Cambria Math" w:hAnsi="Cambria Math"/>
                                      <w:i/>
                                      <w:sz w:val="24"/>
                                      <w:szCs w:val="24"/>
                                    </w:rPr>
                                  </m:ctrlPr>
                                </m:sSubPr>
                                <m:e>
                                  <m:r>
                                    <w:rPr>
                                      <w:rFonts w:ascii="Cambria Math" w:hAnsi="Cambria Math"/>
                                      <w:sz w:val="24"/>
                                      <w:szCs w:val="24"/>
                                    </w:rPr>
                                    <m:t>ASC</m:t>
                                  </m:r>
                                </m:e>
                                <m:sub>
                                  <m:r>
                                    <w:rPr>
                                      <w:rFonts w:ascii="Cambria Math" w:hAnsi="Cambria Math"/>
                                      <w:sz w:val="24"/>
                                      <w:szCs w:val="24"/>
                                    </w:rPr>
                                    <m:t>j</m:t>
                                  </m:r>
                                </m:sub>
                              </m:sSub>
                              <m:r>
                                <w:rPr>
                                  <w:rFonts w:ascii="Cambria Math" w:hAnsi="Cambria Math" w:cstheme="minorHAnsi"/>
                                  <w:sz w:val="24"/>
                                  <w:szCs w:val="24"/>
                                </w:rPr>
                                <m:t>+</m:t>
                              </m:r>
                              <m:sSub>
                                <m:sSubPr>
                                  <m:ctrlPr>
                                    <w:rPr>
                                      <w:rFonts w:ascii="Cambria Math" w:hAnsi="Cambria Math" w:cstheme="minorHAnsi"/>
                                      <w:i/>
                                      <w:sz w:val="24"/>
                                      <w:szCs w:val="24"/>
                                    </w:rPr>
                                  </m:ctrlPr>
                                </m:sSubPr>
                                <m:e>
                                  <m:r>
                                    <w:rPr>
                                      <w:rFonts w:ascii="Cambria Math" w:hAnsi="Cambria Math" w:cstheme="minorHAnsi"/>
                                      <w:sz w:val="24"/>
                                      <w:szCs w:val="24"/>
                                    </w:rPr>
                                    <m:t>β</m:t>
                                  </m:r>
                                </m:e>
                                <m:sub>
                                  <m:r>
                                    <w:rPr>
                                      <w:rFonts w:ascii="Cambria Math" w:hAnsi="Cambria Math" w:cstheme="minorHAnsi"/>
                                      <w:sz w:val="24"/>
                                      <w:szCs w:val="24"/>
                                    </w:rPr>
                                    <m:t>n</m:t>
                                  </m:r>
                                </m:sub>
                              </m:sSub>
                              <m:sSub>
                                <m:sSubPr>
                                  <m:ctrlPr>
                                    <w:rPr>
                                      <w:rFonts w:ascii="Cambria Math" w:hAnsi="Cambria Math" w:cstheme="minorHAnsi"/>
                                      <w:i/>
                                      <w:sz w:val="24"/>
                                      <w:szCs w:val="24"/>
                                    </w:rPr>
                                  </m:ctrlPr>
                                </m:sSubPr>
                                <m:e>
                                  <m:r>
                                    <w:rPr>
                                      <w:rFonts w:ascii="Cambria Math" w:hAnsi="Cambria Math" w:cstheme="minorHAnsi"/>
                                      <w:sz w:val="24"/>
                                      <w:szCs w:val="24"/>
                                    </w:rPr>
                                    <m:t>X</m:t>
                                  </m:r>
                                </m:e>
                                <m:sub>
                                  <m:r>
                                    <w:rPr>
                                      <w:rFonts w:ascii="Cambria Math" w:hAnsi="Cambria Math" w:cstheme="minorHAnsi"/>
                                      <w:sz w:val="24"/>
                                      <w:szCs w:val="24"/>
                                    </w:rPr>
                                    <m:t>nsj</m:t>
                                  </m:r>
                                </m:sub>
                              </m:sSub>
                            </m:e>
                          </m:d>
                        </m:e>
                      </m:func>
                    </m:num>
                    <m:den>
                      <m:nary>
                        <m:naryPr>
                          <m:chr m:val="∑"/>
                          <m:limLoc m:val="subSup"/>
                          <m:ctrlPr>
                            <w:rPr>
                              <w:rFonts w:ascii="Cambria Math" w:hAnsi="Cambria Math" w:cstheme="minorHAnsi"/>
                              <w:i/>
                              <w:sz w:val="24"/>
                              <w:szCs w:val="24"/>
                            </w:rPr>
                          </m:ctrlPr>
                        </m:naryPr>
                        <m:sub>
                          <m:r>
                            <w:rPr>
                              <w:rFonts w:ascii="Cambria Math" w:hAnsi="Cambria Math" w:cstheme="minorHAnsi"/>
                              <w:sz w:val="24"/>
                              <w:szCs w:val="24"/>
                            </w:rPr>
                            <m:t>j=1</m:t>
                          </m:r>
                        </m:sub>
                        <m:sup>
                          <m:r>
                            <w:rPr>
                              <w:rFonts w:ascii="Cambria Math" w:hAnsi="Cambria Math" w:cstheme="minorHAnsi"/>
                              <w:sz w:val="24"/>
                              <w:szCs w:val="24"/>
                            </w:rPr>
                            <m:t>J</m:t>
                          </m:r>
                        </m:sup>
                        <m:e>
                          <m:r>
                            <w:rPr>
                              <w:rFonts w:ascii="Cambria Math" w:hAnsi="Cambria Math" w:cstheme="minorHAnsi"/>
                              <w:sz w:val="24"/>
                              <w:szCs w:val="24"/>
                            </w:rPr>
                            <m:t>exp⁡(</m:t>
                          </m:r>
                        </m:e>
                      </m:nary>
                      <m:sSub>
                        <m:sSubPr>
                          <m:ctrlPr>
                            <w:rPr>
                              <w:rFonts w:ascii="Cambria Math" w:hAnsi="Cambria Math"/>
                              <w:i/>
                              <w:sz w:val="24"/>
                              <w:szCs w:val="24"/>
                            </w:rPr>
                          </m:ctrlPr>
                        </m:sSubPr>
                        <m:e>
                          <m:r>
                            <w:rPr>
                              <w:rFonts w:ascii="Cambria Math" w:hAnsi="Cambria Math"/>
                              <w:sz w:val="24"/>
                              <w:szCs w:val="24"/>
                            </w:rPr>
                            <m:t>ASC</m:t>
                          </m:r>
                        </m:e>
                        <m:sub>
                          <m:r>
                            <w:rPr>
                              <w:rFonts w:ascii="Cambria Math" w:hAnsi="Cambria Math"/>
                              <w:sz w:val="24"/>
                              <w:szCs w:val="24"/>
                            </w:rPr>
                            <m:t>j</m:t>
                          </m:r>
                        </m:sub>
                      </m:sSub>
                      <m:r>
                        <w:rPr>
                          <w:rFonts w:ascii="Cambria Math" w:hAnsi="Cambria Math" w:cstheme="minorHAnsi"/>
                          <w:sz w:val="24"/>
                          <w:szCs w:val="24"/>
                        </w:rPr>
                        <m:t>+</m:t>
                      </m:r>
                      <m:sSub>
                        <m:sSubPr>
                          <m:ctrlPr>
                            <w:rPr>
                              <w:rFonts w:ascii="Cambria Math" w:hAnsi="Cambria Math" w:cstheme="minorHAnsi"/>
                              <w:i/>
                              <w:sz w:val="24"/>
                              <w:szCs w:val="24"/>
                            </w:rPr>
                          </m:ctrlPr>
                        </m:sSubPr>
                        <m:e>
                          <m:r>
                            <w:rPr>
                              <w:rFonts w:ascii="Cambria Math" w:hAnsi="Cambria Math" w:cstheme="minorHAnsi"/>
                              <w:sz w:val="24"/>
                              <w:szCs w:val="24"/>
                            </w:rPr>
                            <m:t>β</m:t>
                          </m:r>
                        </m:e>
                        <m:sub>
                          <m:r>
                            <w:rPr>
                              <w:rFonts w:ascii="Cambria Math" w:hAnsi="Cambria Math" w:cstheme="minorHAnsi"/>
                              <w:sz w:val="24"/>
                              <w:szCs w:val="24"/>
                            </w:rPr>
                            <m:t>n</m:t>
                          </m:r>
                        </m:sub>
                      </m:sSub>
                      <m:sSub>
                        <m:sSubPr>
                          <m:ctrlPr>
                            <w:rPr>
                              <w:rFonts w:ascii="Cambria Math" w:hAnsi="Cambria Math" w:cstheme="minorHAnsi"/>
                              <w:i/>
                              <w:sz w:val="24"/>
                              <w:szCs w:val="24"/>
                            </w:rPr>
                          </m:ctrlPr>
                        </m:sSubPr>
                        <m:e>
                          <m:r>
                            <w:rPr>
                              <w:rFonts w:ascii="Cambria Math" w:hAnsi="Cambria Math" w:cstheme="minorHAnsi"/>
                              <w:sz w:val="24"/>
                              <w:szCs w:val="24"/>
                            </w:rPr>
                            <m:t>X</m:t>
                          </m:r>
                        </m:e>
                        <m:sub>
                          <m:r>
                            <w:rPr>
                              <w:rFonts w:ascii="Cambria Math" w:hAnsi="Cambria Math" w:cstheme="minorHAnsi"/>
                              <w:sz w:val="24"/>
                              <w:szCs w:val="24"/>
                            </w:rPr>
                            <m:t>nsj</m:t>
                          </m:r>
                        </m:sub>
                      </m:sSub>
                      <m:r>
                        <w:rPr>
                          <w:rFonts w:ascii="Cambria Math" w:hAnsi="Cambria Math" w:cstheme="minorHAnsi"/>
                          <w:sz w:val="24"/>
                          <w:szCs w:val="24"/>
                        </w:rPr>
                        <m:t>)</m:t>
                      </m:r>
                    </m:den>
                  </m:f>
                </m:e>
              </m:d>
              <m:r>
                <w:rPr>
                  <w:rFonts w:ascii="Cambria Math" w:hAnsi="Cambria Math"/>
                </w:rPr>
                <m:t>ƒ(</m:t>
              </m:r>
              <m:r>
                <w:rPr>
                  <w:rFonts w:ascii="Cambria Math" w:hAnsi="Cambria Math" w:cstheme="minorHAnsi"/>
                  <w:sz w:val="24"/>
                  <w:szCs w:val="24"/>
                </w:rPr>
                <m:t>β</m:t>
              </m:r>
              <m:r>
                <w:rPr>
                  <w:rFonts w:ascii="Cambria Math" w:hAnsi="Cambria Math"/>
                </w:rPr>
                <m:t>|Ω)dβ</m:t>
              </m:r>
            </m:e>
          </m:nary>
          <m:r>
            <w:rPr>
              <w:rFonts w:ascii="Cambria Math" w:hAnsi="Cambria Math" w:cstheme="minorHAnsi"/>
              <w:sz w:val="24"/>
              <w:szCs w:val="24"/>
            </w:rPr>
            <m:t xml:space="preserve">                                          </m:t>
          </m:r>
          <m:r>
            <m:rPr>
              <m:sty m:val="p"/>
            </m:rPr>
            <w:rPr>
              <w:rFonts w:ascii="Cambria Math" w:hAnsi="Cambria Math" w:cstheme="minorHAnsi"/>
              <w:sz w:val="24"/>
              <w:szCs w:val="24"/>
            </w:rPr>
            <m:t>(S6)</m:t>
          </m:r>
        </m:oMath>
      </m:oMathPara>
    </w:p>
    <w:p w14:paraId="67B98CF0" w14:textId="77777777" w:rsidR="00D82120" w:rsidRPr="00EF6531" w:rsidRDefault="00D82120" w:rsidP="00D82120">
      <w:pPr>
        <w:spacing w:before="240" w:line="360" w:lineRule="auto"/>
        <w:rPr>
          <w:sz w:val="24"/>
        </w:rPr>
      </w:pPr>
      <w:r w:rsidRPr="00D427CC">
        <w:rPr>
          <w:sz w:val="24"/>
        </w:rPr>
        <w:t xml:space="preserve">where </w:t>
      </w:r>
      <w:r w:rsidRPr="00D427CC">
        <w:rPr>
          <w:i/>
          <w:sz w:val="24"/>
        </w:rPr>
        <w:t>ƒ(β|Ω)</w:t>
      </w:r>
      <w:r w:rsidRPr="00D427CC">
        <w:rPr>
          <w:sz w:val="24"/>
        </w:rPr>
        <w:t xml:space="preserve"> </w:t>
      </w:r>
      <w:r>
        <w:rPr>
          <w:sz w:val="24"/>
        </w:rPr>
        <w:t>represents</w:t>
      </w:r>
      <w:r w:rsidRPr="00D427CC">
        <w:rPr>
          <w:sz w:val="24"/>
        </w:rPr>
        <w:t xml:space="preserve"> the multivariate probability density function of the </w:t>
      </w:r>
      <w:r>
        <w:rPr>
          <w:sz w:val="24"/>
        </w:rPr>
        <w:t>marginal utilities</w:t>
      </w:r>
      <w:r w:rsidRPr="00D427CC">
        <w:rPr>
          <w:sz w:val="24"/>
        </w:rPr>
        <w:t xml:space="preserve"> with a pre-specified distribution.</w:t>
      </w:r>
    </w:p>
    <w:p w14:paraId="1C283564" w14:textId="43A4B12B" w:rsidR="00D82120" w:rsidRDefault="00D82120" w:rsidP="00D82120">
      <w:pPr>
        <w:spacing w:line="360" w:lineRule="auto"/>
      </w:pPr>
    </w:p>
    <w:p w14:paraId="4D950363" w14:textId="43B18EF5" w:rsidR="004009FD" w:rsidRPr="006E0B7F" w:rsidRDefault="00243370" w:rsidP="004009FD">
      <w:pPr>
        <w:spacing w:line="360" w:lineRule="auto"/>
        <w:rPr>
          <w:b/>
          <w:sz w:val="28"/>
        </w:rPr>
      </w:pPr>
      <w:r w:rsidRPr="006E0B7F">
        <w:rPr>
          <w:b/>
          <w:sz w:val="28"/>
        </w:rPr>
        <w:t xml:space="preserve">Results: </w:t>
      </w:r>
      <w:r w:rsidR="004009FD" w:rsidRPr="006E0B7F">
        <w:rPr>
          <w:b/>
          <w:sz w:val="28"/>
        </w:rPr>
        <w:t>Conservation and ES benefits of landscape features</w:t>
      </w:r>
    </w:p>
    <w:p w14:paraId="68AFC06F" w14:textId="1CA9C258" w:rsidR="004009FD" w:rsidRDefault="006E0B7F" w:rsidP="004009FD">
      <w:pPr>
        <w:spacing w:line="360" w:lineRule="auto"/>
        <w:rPr>
          <w:rFonts w:cstheme="minorHAnsi"/>
          <w:sz w:val="24"/>
          <w:szCs w:val="24"/>
        </w:rPr>
      </w:pPr>
      <w:r>
        <w:rPr>
          <w:sz w:val="24"/>
        </w:rPr>
        <w:t>Table S8 reports the</w:t>
      </w:r>
      <w:r w:rsidR="004009FD" w:rsidRPr="00B4172D">
        <w:rPr>
          <w:sz w:val="24"/>
        </w:rPr>
        <w:t xml:space="preserve"> parameter estimates (marginal utilities) used for the WTP</w:t>
      </w:r>
      <w:r>
        <w:rPr>
          <w:sz w:val="24"/>
        </w:rPr>
        <w:t xml:space="preserve"> estimation for MNL and RPL models. We note</w:t>
      </w:r>
      <w:r w:rsidR="004009FD" w:rsidRPr="00B4172D">
        <w:rPr>
          <w:sz w:val="24"/>
        </w:rPr>
        <w:t xml:space="preserve"> that both parametric models are statistically significant </w:t>
      </w:r>
      <w:r w:rsidR="004009FD">
        <w:rPr>
          <w:sz w:val="24"/>
        </w:rPr>
        <w:t xml:space="preserve">(MNL – </w:t>
      </w:r>
      <w:r w:rsidR="004009FD" w:rsidRPr="00297F22">
        <w:rPr>
          <w:rFonts w:cstheme="minorHAnsi"/>
          <w:i/>
          <w:sz w:val="24"/>
        </w:rPr>
        <w:t>χ</w:t>
      </w:r>
      <w:r w:rsidR="004009FD" w:rsidRPr="00297F22">
        <w:rPr>
          <w:rFonts w:cstheme="minorHAnsi"/>
          <w:i/>
          <w:sz w:val="24"/>
          <w:vertAlign w:val="superscript"/>
        </w:rPr>
        <w:t>2</w:t>
      </w:r>
      <w:r w:rsidR="004009FD">
        <w:rPr>
          <w:rFonts w:cstheme="minorHAnsi"/>
          <w:sz w:val="24"/>
        </w:rPr>
        <w:t xml:space="preserve"> (</w:t>
      </w:r>
      <w:r w:rsidR="004009FD" w:rsidRPr="00A5329C">
        <w:rPr>
          <w:rFonts w:cstheme="minorHAnsi"/>
          <w:i/>
          <w:sz w:val="24"/>
        </w:rPr>
        <w:t>11, N</w:t>
      </w:r>
      <w:r w:rsidR="004009FD">
        <w:rPr>
          <w:rFonts w:cstheme="minorHAnsi"/>
          <w:i/>
          <w:sz w:val="24"/>
        </w:rPr>
        <w:t xml:space="preserve"> </w:t>
      </w:r>
      <w:r w:rsidR="004009FD" w:rsidRPr="00A5329C">
        <w:rPr>
          <w:rFonts w:cstheme="minorHAnsi"/>
          <w:i/>
          <w:sz w:val="24"/>
        </w:rPr>
        <w:t>=</w:t>
      </w:r>
      <w:r w:rsidR="004009FD" w:rsidRPr="00A5329C">
        <w:rPr>
          <w:i/>
        </w:rPr>
        <w:t xml:space="preserve"> </w:t>
      </w:r>
      <w:r w:rsidR="004009FD" w:rsidRPr="00A5329C">
        <w:rPr>
          <w:rFonts w:cstheme="minorHAnsi"/>
          <w:i/>
          <w:sz w:val="24"/>
        </w:rPr>
        <w:t>869</w:t>
      </w:r>
      <w:r w:rsidR="004009FD">
        <w:rPr>
          <w:rFonts w:cstheme="minorHAnsi"/>
          <w:sz w:val="24"/>
        </w:rPr>
        <w:t xml:space="preserve">) = </w:t>
      </w:r>
      <w:r w:rsidR="004009FD" w:rsidRPr="00104D5F">
        <w:rPr>
          <w:sz w:val="24"/>
        </w:rPr>
        <w:t>2373</w:t>
      </w:r>
      <w:r w:rsidR="004009FD">
        <w:rPr>
          <w:sz w:val="24"/>
        </w:rPr>
        <w:t xml:space="preserve">.2985, </w:t>
      </w:r>
      <w:r w:rsidR="004009FD" w:rsidRPr="00A5329C">
        <w:rPr>
          <w:i/>
          <w:sz w:val="24"/>
        </w:rPr>
        <w:t>P &lt; 0.01</w:t>
      </w:r>
      <w:r w:rsidR="004009FD">
        <w:rPr>
          <w:sz w:val="24"/>
        </w:rPr>
        <w:t xml:space="preserve">; RPL – </w:t>
      </w:r>
      <w:r w:rsidR="004009FD" w:rsidRPr="00297F22">
        <w:rPr>
          <w:rFonts w:cstheme="minorHAnsi"/>
          <w:i/>
          <w:sz w:val="24"/>
        </w:rPr>
        <w:t>χ</w:t>
      </w:r>
      <w:r w:rsidR="004009FD" w:rsidRPr="00297F22">
        <w:rPr>
          <w:rFonts w:cstheme="minorHAnsi"/>
          <w:i/>
          <w:sz w:val="24"/>
          <w:vertAlign w:val="superscript"/>
        </w:rPr>
        <w:t>2</w:t>
      </w:r>
      <w:r w:rsidR="004009FD">
        <w:rPr>
          <w:rFonts w:cstheme="minorHAnsi"/>
          <w:sz w:val="24"/>
        </w:rPr>
        <w:t xml:space="preserve"> (</w:t>
      </w:r>
      <w:r w:rsidR="004009FD" w:rsidRPr="00A5329C">
        <w:rPr>
          <w:rFonts w:cstheme="minorHAnsi"/>
          <w:i/>
          <w:sz w:val="24"/>
        </w:rPr>
        <w:t>11, N</w:t>
      </w:r>
      <w:r w:rsidR="004009FD">
        <w:rPr>
          <w:rFonts w:cstheme="minorHAnsi"/>
          <w:i/>
          <w:sz w:val="24"/>
        </w:rPr>
        <w:t xml:space="preserve"> </w:t>
      </w:r>
      <w:r w:rsidR="004009FD" w:rsidRPr="00A5329C">
        <w:rPr>
          <w:rFonts w:cstheme="minorHAnsi"/>
          <w:i/>
          <w:sz w:val="24"/>
        </w:rPr>
        <w:t>=</w:t>
      </w:r>
      <w:r w:rsidR="004009FD" w:rsidRPr="00A5329C">
        <w:rPr>
          <w:i/>
        </w:rPr>
        <w:t xml:space="preserve"> </w:t>
      </w:r>
      <w:r w:rsidR="004009FD" w:rsidRPr="00A5329C">
        <w:rPr>
          <w:rFonts w:cstheme="minorHAnsi"/>
          <w:i/>
          <w:sz w:val="24"/>
        </w:rPr>
        <w:t>869</w:t>
      </w:r>
      <w:r w:rsidR="004009FD">
        <w:rPr>
          <w:rFonts w:cstheme="minorHAnsi"/>
          <w:sz w:val="24"/>
        </w:rPr>
        <w:t xml:space="preserve">) = </w:t>
      </w:r>
      <w:r w:rsidR="004009FD" w:rsidRPr="00FA762D">
        <w:rPr>
          <w:rFonts w:cstheme="minorHAnsi"/>
          <w:sz w:val="24"/>
          <w:szCs w:val="24"/>
        </w:rPr>
        <w:t>3599.9208</w:t>
      </w:r>
      <w:r w:rsidR="004009FD">
        <w:rPr>
          <w:rFonts w:cstheme="minorHAnsi"/>
          <w:sz w:val="24"/>
          <w:szCs w:val="24"/>
        </w:rPr>
        <w:t>,</w:t>
      </w:r>
      <w:r w:rsidR="004009FD">
        <w:rPr>
          <w:sz w:val="24"/>
        </w:rPr>
        <w:t xml:space="preserve"> </w:t>
      </w:r>
      <w:r w:rsidR="004009FD" w:rsidRPr="00A5329C">
        <w:rPr>
          <w:i/>
          <w:sz w:val="24"/>
        </w:rPr>
        <w:t>P &lt; 0.01</w:t>
      </w:r>
      <w:r w:rsidR="004009FD">
        <w:rPr>
          <w:i/>
          <w:sz w:val="24"/>
        </w:rPr>
        <w:t xml:space="preserve">, </w:t>
      </w:r>
      <w:r w:rsidR="004009FD" w:rsidRPr="009E3388">
        <w:rPr>
          <w:sz w:val="24"/>
        </w:rPr>
        <w:t>and pseudo</w:t>
      </w:r>
      <w:r w:rsidR="004009FD">
        <w:rPr>
          <w:i/>
          <w:sz w:val="24"/>
        </w:rPr>
        <w:t xml:space="preserve"> R</w:t>
      </w:r>
      <w:r w:rsidR="004009FD">
        <w:rPr>
          <w:i/>
          <w:sz w:val="24"/>
          <w:vertAlign w:val="superscript"/>
        </w:rPr>
        <w:t>2</w:t>
      </w:r>
      <w:r w:rsidR="004009FD">
        <w:rPr>
          <w:i/>
          <w:sz w:val="24"/>
        </w:rPr>
        <w:t xml:space="preserve"> </w:t>
      </w:r>
      <w:r w:rsidR="004009FD" w:rsidRPr="009E3388">
        <w:rPr>
          <w:sz w:val="24"/>
        </w:rPr>
        <w:t xml:space="preserve">= </w:t>
      </w:r>
      <w:r w:rsidR="004009FD" w:rsidRPr="009E3388">
        <w:rPr>
          <w:rFonts w:cstheme="minorHAnsi"/>
          <w:sz w:val="24"/>
          <w:szCs w:val="24"/>
        </w:rPr>
        <w:t>0.1868</w:t>
      </w:r>
      <w:r w:rsidR="004009FD">
        <w:rPr>
          <w:rFonts w:cstheme="minorHAnsi"/>
          <w:sz w:val="24"/>
          <w:szCs w:val="24"/>
        </w:rPr>
        <w:t xml:space="preserve">), </w:t>
      </w:r>
      <w:r w:rsidR="004009FD" w:rsidRPr="002B5C9E">
        <w:rPr>
          <w:rFonts w:cstheme="minorHAnsi"/>
          <w:sz w:val="24"/>
          <w:szCs w:val="24"/>
        </w:rPr>
        <w:t>as are the parameter estimates, thus permitting the estimation of meaningful WTP values</w:t>
      </w:r>
      <w:r w:rsidRPr="002B5C9E">
        <w:rPr>
          <w:rFonts w:cstheme="minorHAnsi"/>
          <w:sz w:val="24"/>
          <w:szCs w:val="24"/>
        </w:rPr>
        <w:t>. For both</w:t>
      </w:r>
      <w:r w:rsidR="004009FD" w:rsidRPr="002B5C9E">
        <w:rPr>
          <w:rFonts w:cstheme="minorHAnsi"/>
          <w:sz w:val="24"/>
          <w:szCs w:val="24"/>
        </w:rPr>
        <w:t xml:space="preserve"> model</w:t>
      </w:r>
      <w:r w:rsidRPr="002B5C9E">
        <w:rPr>
          <w:rFonts w:cstheme="minorHAnsi"/>
          <w:sz w:val="24"/>
          <w:szCs w:val="24"/>
        </w:rPr>
        <w:t>s, the</w:t>
      </w:r>
      <w:r w:rsidR="004009FD" w:rsidRPr="002B5C9E">
        <w:rPr>
          <w:rFonts w:cstheme="minorHAnsi"/>
          <w:sz w:val="24"/>
          <w:szCs w:val="24"/>
        </w:rPr>
        <w:t xml:space="preserve"> results indicate that the flower strips-plus-hedgerows commands the highest WTP, with flower strips exceeding hedgerows. Likewise, the annual WTP </w:t>
      </w:r>
      <w:r w:rsidR="002B5C9E" w:rsidRPr="002B5C9E">
        <w:rPr>
          <w:rFonts w:cstheme="minorHAnsi"/>
          <w:sz w:val="24"/>
          <w:szCs w:val="24"/>
        </w:rPr>
        <w:t xml:space="preserve">(Table S9) </w:t>
      </w:r>
      <w:r w:rsidR="004009FD" w:rsidRPr="002B5C9E">
        <w:rPr>
          <w:rFonts w:cstheme="minorHAnsi"/>
          <w:sz w:val="24"/>
          <w:szCs w:val="24"/>
        </w:rPr>
        <w:t>is highest for flower strips-plus-hedgerows, followed by flower strips and hedgerows.</w:t>
      </w:r>
    </w:p>
    <w:p w14:paraId="641429A1" w14:textId="77777777" w:rsidR="00BB3716" w:rsidRDefault="00BB3716" w:rsidP="00051CA7">
      <w:pPr>
        <w:spacing w:after="0" w:line="360" w:lineRule="auto"/>
        <w:rPr>
          <w:rFonts w:cstheme="minorHAnsi"/>
          <w:sz w:val="24"/>
          <w:szCs w:val="24"/>
        </w:rPr>
      </w:pPr>
    </w:p>
    <w:p w14:paraId="40FCD0D0" w14:textId="77777777" w:rsidR="00AF3098" w:rsidRPr="002A1CFF" w:rsidRDefault="00AF3098" w:rsidP="00AF3098">
      <w:pPr>
        <w:pStyle w:val="Caption"/>
        <w:keepNext/>
        <w:spacing w:after="0" w:line="360" w:lineRule="auto"/>
        <w:rPr>
          <w:i w:val="0"/>
          <w:color w:val="auto"/>
          <w:sz w:val="22"/>
        </w:rPr>
      </w:pPr>
      <w:bookmarkStart w:id="7" w:name="_Toc201247050"/>
      <w:r w:rsidRPr="002A1CFF">
        <w:rPr>
          <w:b/>
          <w:i w:val="0"/>
          <w:color w:val="auto"/>
          <w:sz w:val="22"/>
        </w:rPr>
        <w:t>Table S8.</w:t>
      </w:r>
      <w:r w:rsidRPr="002A1CFF">
        <w:rPr>
          <w:i w:val="0"/>
          <w:color w:val="auto"/>
          <w:sz w:val="22"/>
        </w:rPr>
        <w:t xml:space="preserve"> Parameters estimates for the MNL model and RPL model.</w:t>
      </w:r>
      <w:bookmarkEnd w:id="7"/>
    </w:p>
    <w:tbl>
      <w:tblPr>
        <w:tblStyle w:val="PlainTable2"/>
        <w:tblW w:w="8500" w:type="dxa"/>
        <w:tblLook w:val="06A0" w:firstRow="1" w:lastRow="0" w:firstColumn="1" w:lastColumn="0" w:noHBand="1" w:noVBand="1"/>
      </w:tblPr>
      <w:tblGrid>
        <w:gridCol w:w="2659"/>
        <w:gridCol w:w="2168"/>
        <w:gridCol w:w="1831"/>
        <w:gridCol w:w="1842"/>
      </w:tblGrid>
      <w:tr w:rsidR="00AF3098" w:rsidRPr="00296196" w14:paraId="2B802D23" w14:textId="77777777" w:rsidTr="002C4A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59" w:type="dxa"/>
            <w:vMerge w:val="restart"/>
            <w:tcBorders>
              <w:top w:val="single" w:sz="12" w:space="0" w:color="auto"/>
            </w:tcBorders>
          </w:tcPr>
          <w:p w14:paraId="3DE3831F" w14:textId="77777777" w:rsidR="00AF3098" w:rsidRPr="00FA762D" w:rsidRDefault="00AF3098" w:rsidP="002C4A3C">
            <w:pPr>
              <w:spacing w:line="360" w:lineRule="auto"/>
              <w:rPr>
                <w:rFonts w:cstheme="minorHAnsi"/>
                <w:b w:val="0"/>
                <w:sz w:val="24"/>
                <w:szCs w:val="24"/>
              </w:rPr>
            </w:pPr>
          </w:p>
        </w:tc>
        <w:tc>
          <w:tcPr>
            <w:tcW w:w="2168" w:type="dxa"/>
            <w:tcBorders>
              <w:top w:val="single" w:sz="12" w:space="0" w:color="auto"/>
              <w:bottom w:val="single" w:sz="4" w:space="0" w:color="auto"/>
            </w:tcBorders>
            <w:vAlign w:val="center"/>
          </w:tcPr>
          <w:p w14:paraId="5C2A01A5" w14:textId="77777777" w:rsidR="00AF3098" w:rsidRPr="00AC6D54" w:rsidRDefault="00AF3098" w:rsidP="002C4A3C">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AC6D54">
              <w:rPr>
                <w:rFonts w:cstheme="minorHAnsi"/>
                <w:sz w:val="24"/>
                <w:szCs w:val="24"/>
              </w:rPr>
              <w:t>MNL Model</w:t>
            </w:r>
          </w:p>
        </w:tc>
        <w:tc>
          <w:tcPr>
            <w:tcW w:w="3673" w:type="dxa"/>
            <w:gridSpan w:val="2"/>
            <w:tcBorders>
              <w:top w:val="single" w:sz="12" w:space="0" w:color="auto"/>
              <w:bottom w:val="single" w:sz="4" w:space="0" w:color="auto"/>
            </w:tcBorders>
            <w:vAlign w:val="center"/>
          </w:tcPr>
          <w:p w14:paraId="528DF86C" w14:textId="77777777" w:rsidR="00AF3098" w:rsidRPr="00AC6D54" w:rsidRDefault="00AF3098" w:rsidP="002C4A3C">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AC6D54">
              <w:rPr>
                <w:rFonts w:cstheme="minorHAnsi"/>
                <w:sz w:val="24"/>
                <w:szCs w:val="24"/>
              </w:rPr>
              <w:t>RPL Model</w:t>
            </w:r>
          </w:p>
        </w:tc>
      </w:tr>
      <w:tr w:rsidR="00AF3098" w:rsidRPr="00296196" w14:paraId="6E0E4F2F" w14:textId="77777777" w:rsidTr="002C4A3C">
        <w:tc>
          <w:tcPr>
            <w:cnfStyle w:val="001000000000" w:firstRow="0" w:lastRow="0" w:firstColumn="1" w:lastColumn="0" w:oddVBand="0" w:evenVBand="0" w:oddHBand="0" w:evenHBand="0" w:firstRowFirstColumn="0" w:firstRowLastColumn="0" w:lastRowFirstColumn="0" w:lastRowLastColumn="0"/>
            <w:tcW w:w="2659" w:type="dxa"/>
            <w:vMerge/>
            <w:tcBorders>
              <w:bottom w:val="single" w:sz="12" w:space="0" w:color="auto"/>
            </w:tcBorders>
          </w:tcPr>
          <w:p w14:paraId="6F5072C0" w14:textId="77777777" w:rsidR="00AF3098" w:rsidRPr="00FA762D" w:rsidRDefault="00AF3098" w:rsidP="002C4A3C">
            <w:pPr>
              <w:spacing w:line="360" w:lineRule="auto"/>
              <w:rPr>
                <w:rFonts w:cstheme="minorHAnsi"/>
                <w:b w:val="0"/>
                <w:sz w:val="24"/>
                <w:szCs w:val="24"/>
              </w:rPr>
            </w:pPr>
          </w:p>
        </w:tc>
        <w:tc>
          <w:tcPr>
            <w:tcW w:w="2168" w:type="dxa"/>
            <w:tcBorders>
              <w:top w:val="single" w:sz="4" w:space="0" w:color="auto"/>
              <w:bottom w:val="single" w:sz="12" w:space="0" w:color="auto"/>
            </w:tcBorders>
            <w:vAlign w:val="center"/>
          </w:tcPr>
          <w:p w14:paraId="7C4F242F" w14:textId="77777777" w:rsidR="00AF3098" w:rsidRPr="00AC6D54"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b/>
                <w:i/>
                <w:sz w:val="24"/>
                <w:szCs w:val="24"/>
              </w:rPr>
            </w:pPr>
            <w:r w:rsidRPr="00AC6D54">
              <w:rPr>
                <w:rFonts w:cstheme="minorHAnsi"/>
                <w:b/>
                <w:i/>
                <w:sz w:val="24"/>
                <w:szCs w:val="24"/>
              </w:rPr>
              <w:t>Coefficient</w:t>
            </w:r>
          </w:p>
        </w:tc>
        <w:tc>
          <w:tcPr>
            <w:tcW w:w="1831" w:type="dxa"/>
            <w:tcBorders>
              <w:top w:val="single" w:sz="4" w:space="0" w:color="auto"/>
              <w:bottom w:val="single" w:sz="12" w:space="0" w:color="auto"/>
            </w:tcBorders>
            <w:vAlign w:val="center"/>
          </w:tcPr>
          <w:p w14:paraId="032C29C5" w14:textId="77777777" w:rsidR="00AF3098" w:rsidRPr="00AC6D54"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b/>
                <w:i/>
                <w:sz w:val="24"/>
                <w:szCs w:val="24"/>
              </w:rPr>
            </w:pPr>
            <w:r w:rsidRPr="00AC6D54">
              <w:rPr>
                <w:rFonts w:cstheme="minorHAnsi"/>
                <w:b/>
                <w:i/>
                <w:sz w:val="24"/>
                <w:szCs w:val="24"/>
              </w:rPr>
              <w:t>Coefficient</w:t>
            </w:r>
          </w:p>
        </w:tc>
        <w:tc>
          <w:tcPr>
            <w:tcW w:w="1842" w:type="dxa"/>
            <w:tcBorders>
              <w:top w:val="single" w:sz="4" w:space="0" w:color="auto"/>
              <w:bottom w:val="single" w:sz="12" w:space="0" w:color="auto"/>
            </w:tcBorders>
            <w:vAlign w:val="center"/>
          </w:tcPr>
          <w:p w14:paraId="504B266F" w14:textId="77777777" w:rsidR="00AF3098" w:rsidRPr="00AC6D54"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b/>
                <w:i/>
                <w:sz w:val="24"/>
                <w:szCs w:val="24"/>
              </w:rPr>
            </w:pPr>
            <w:r w:rsidRPr="00AC6D54">
              <w:rPr>
                <w:rFonts w:cstheme="minorHAnsi"/>
                <w:b/>
                <w:i/>
                <w:sz w:val="24"/>
                <w:szCs w:val="24"/>
              </w:rPr>
              <w:t>Standard dev.</w:t>
            </w:r>
          </w:p>
        </w:tc>
      </w:tr>
      <w:tr w:rsidR="00AF3098" w:rsidRPr="00296196" w14:paraId="105CECFA" w14:textId="77777777" w:rsidTr="002C4A3C">
        <w:tc>
          <w:tcPr>
            <w:cnfStyle w:val="001000000000" w:firstRow="0" w:lastRow="0" w:firstColumn="1" w:lastColumn="0" w:oddVBand="0" w:evenVBand="0" w:oddHBand="0" w:evenHBand="0" w:firstRowFirstColumn="0" w:firstRowLastColumn="0" w:lastRowFirstColumn="0" w:lastRowLastColumn="0"/>
            <w:tcW w:w="2659" w:type="dxa"/>
            <w:tcBorders>
              <w:top w:val="single" w:sz="12" w:space="0" w:color="auto"/>
            </w:tcBorders>
          </w:tcPr>
          <w:p w14:paraId="3600AD45"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Aasc</w:t>
            </w:r>
          </w:p>
        </w:tc>
        <w:tc>
          <w:tcPr>
            <w:tcW w:w="2168" w:type="dxa"/>
            <w:tcBorders>
              <w:top w:val="single" w:sz="12" w:space="0" w:color="auto"/>
            </w:tcBorders>
          </w:tcPr>
          <w:p w14:paraId="5303F8D2"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0.2673***</w:t>
            </w:r>
          </w:p>
          <w:p w14:paraId="5A6D7870"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(0.0355)</w:t>
            </w:r>
          </w:p>
        </w:tc>
        <w:tc>
          <w:tcPr>
            <w:tcW w:w="1831" w:type="dxa"/>
            <w:tcBorders>
              <w:top w:val="single" w:sz="12" w:space="0" w:color="auto"/>
            </w:tcBorders>
          </w:tcPr>
          <w:p w14:paraId="34B24CF6"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0.2651*** (0.0376)</w:t>
            </w:r>
          </w:p>
        </w:tc>
        <w:tc>
          <w:tcPr>
            <w:tcW w:w="1842" w:type="dxa"/>
            <w:tcBorders>
              <w:top w:val="single" w:sz="12" w:space="0" w:color="auto"/>
            </w:tcBorders>
          </w:tcPr>
          <w:p w14:paraId="373F3EE7"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0.2651*** (0.0376)</w:t>
            </w:r>
          </w:p>
        </w:tc>
      </w:tr>
      <w:tr w:rsidR="00AF3098" w:rsidRPr="00296196" w14:paraId="0EB74D99"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57FBEA1E"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Basc</w:t>
            </w:r>
          </w:p>
        </w:tc>
        <w:tc>
          <w:tcPr>
            <w:tcW w:w="2168" w:type="dxa"/>
          </w:tcPr>
          <w:p w14:paraId="76515CA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0.1933***</w:t>
            </w:r>
          </w:p>
          <w:p w14:paraId="2A5D92F9"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(0.0357)</w:t>
            </w:r>
          </w:p>
        </w:tc>
        <w:tc>
          <w:tcPr>
            <w:tcW w:w="1831" w:type="dxa"/>
          </w:tcPr>
          <w:p w14:paraId="62DC156C"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0.1694*** (0.0382)</w:t>
            </w:r>
          </w:p>
        </w:tc>
        <w:tc>
          <w:tcPr>
            <w:tcW w:w="1842" w:type="dxa"/>
          </w:tcPr>
          <w:p w14:paraId="302ECE91"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0.1694*** (0.0382)</w:t>
            </w:r>
          </w:p>
        </w:tc>
      </w:tr>
      <w:tr w:rsidR="00AF3098" w:rsidRPr="00296196" w14:paraId="1394D364"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29288D8C"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SQasc</w:t>
            </w:r>
          </w:p>
        </w:tc>
        <w:tc>
          <w:tcPr>
            <w:tcW w:w="2168" w:type="dxa"/>
          </w:tcPr>
          <w:p w14:paraId="13CAF8B9"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-0.7621***</w:t>
            </w:r>
          </w:p>
          <w:p w14:paraId="6CB481E8"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(0.0484)</w:t>
            </w:r>
          </w:p>
        </w:tc>
        <w:tc>
          <w:tcPr>
            <w:tcW w:w="1831" w:type="dxa"/>
          </w:tcPr>
          <w:p w14:paraId="63E8A407"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-0.8549*** (0.0517)</w:t>
            </w:r>
          </w:p>
        </w:tc>
        <w:tc>
          <w:tcPr>
            <w:tcW w:w="1842" w:type="dxa"/>
          </w:tcPr>
          <w:p w14:paraId="6EE99F65"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-0.8549*** (0.0517)</w:t>
            </w:r>
          </w:p>
        </w:tc>
      </w:tr>
      <w:tr w:rsidR="00AF3098" w:rsidRPr="00296196" w14:paraId="3B1B2575"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4F7E53CE"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Flower strips + Hedgerows</w:t>
            </w:r>
          </w:p>
        </w:tc>
        <w:tc>
          <w:tcPr>
            <w:tcW w:w="2168" w:type="dxa"/>
          </w:tcPr>
          <w:p w14:paraId="3C61F3AE"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0.4981***</w:t>
            </w:r>
          </w:p>
          <w:p w14:paraId="14CE3EFE"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(0.0302)</w:t>
            </w:r>
          </w:p>
        </w:tc>
        <w:tc>
          <w:tcPr>
            <w:tcW w:w="1831" w:type="dxa"/>
          </w:tcPr>
          <w:p w14:paraId="47535583"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0.5855*** (0.0347)</w:t>
            </w:r>
          </w:p>
        </w:tc>
        <w:tc>
          <w:tcPr>
            <w:tcW w:w="1842" w:type="dxa"/>
          </w:tcPr>
          <w:p w14:paraId="6304681E"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0.5855*** (0.0347)</w:t>
            </w:r>
          </w:p>
        </w:tc>
      </w:tr>
      <w:tr w:rsidR="00AF3098" w:rsidRPr="00296196" w14:paraId="645F146E"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1B78DC30"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 xml:space="preserve">Flower strips </w:t>
            </w:r>
          </w:p>
        </w:tc>
        <w:tc>
          <w:tcPr>
            <w:tcW w:w="2168" w:type="dxa"/>
          </w:tcPr>
          <w:p w14:paraId="06A3D962"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0.2399***</w:t>
            </w:r>
          </w:p>
          <w:p w14:paraId="56D74411"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(0.0289)</w:t>
            </w:r>
          </w:p>
        </w:tc>
        <w:tc>
          <w:tcPr>
            <w:tcW w:w="1831" w:type="dxa"/>
          </w:tcPr>
          <w:p w14:paraId="1B5B143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0.2344*** (0.0317)</w:t>
            </w:r>
          </w:p>
        </w:tc>
        <w:tc>
          <w:tcPr>
            <w:tcW w:w="1842" w:type="dxa"/>
          </w:tcPr>
          <w:p w14:paraId="10248716"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0.2344*** (0.0317)</w:t>
            </w:r>
          </w:p>
        </w:tc>
      </w:tr>
      <w:tr w:rsidR="00AF3098" w:rsidRPr="00296196" w14:paraId="5D1BE805"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2E9FBE11"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Hedgerows</w:t>
            </w:r>
          </w:p>
        </w:tc>
        <w:tc>
          <w:tcPr>
            <w:tcW w:w="2168" w:type="dxa"/>
          </w:tcPr>
          <w:p w14:paraId="414B608D"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0.0962***</w:t>
            </w:r>
          </w:p>
          <w:p w14:paraId="03C3DAEA"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(0.0302)</w:t>
            </w:r>
          </w:p>
        </w:tc>
        <w:tc>
          <w:tcPr>
            <w:tcW w:w="1831" w:type="dxa"/>
          </w:tcPr>
          <w:p w14:paraId="0BB206B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 xml:space="preserve">0.0803** </w:t>
            </w:r>
          </w:p>
          <w:p w14:paraId="47B988A8"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(0.0314)</w:t>
            </w:r>
          </w:p>
        </w:tc>
        <w:tc>
          <w:tcPr>
            <w:tcW w:w="1842" w:type="dxa"/>
          </w:tcPr>
          <w:p w14:paraId="33BC6282"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0.0803** (0.0314)</w:t>
            </w:r>
          </w:p>
        </w:tc>
      </w:tr>
      <w:tr w:rsidR="00AF3098" w:rsidRPr="00296196" w14:paraId="4CCA3289"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12A0FD02"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lastRenderedPageBreak/>
              <w:t>Fruit trees only</w:t>
            </w:r>
          </w:p>
        </w:tc>
        <w:tc>
          <w:tcPr>
            <w:tcW w:w="2168" w:type="dxa"/>
          </w:tcPr>
          <w:p w14:paraId="4516EC80"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-0.8342</w:t>
            </w:r>
          </w:p>
        </w:tc>
        <w:tc>
          <w:tcPr>
            <w:tcW w:w="1831" w:type="dxa"/>
          </w:tcPr>
          <w:p w14:paraId="1B7BBBE0"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-0.9002</w:t>
            </w:r>
          </w:p>
        </w:tc>
        <w:tc>
          <w:tcPr>
            <w:tcW w:w="1842" w:type="dxa"/>
          </w:tcPr>
          <w:p w14:paraId="74E33DE3"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w:t>
            </w:r>
          </w:p>
        </w:tc>
      </w:tr>
      <w:tr w:rsidR="00AF3098" w:rsidRPr="00296196" w14:paraId="2EC83810"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0401A264"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Mechanical weeding</w:t>
            </w:r>
          </w:p>
        </w:tc>
        <w:tc>
          <w:tcPr>
            <w:tcW w:w="2168" w:type="dxa"/>
          </w:tcPr>
          <w:p w14:paraId="4DBF8A07"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0.6617***</w:t>
            </w:r>
          </w:p>
          <w:p w14:paraId="481F151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(0.0196)</w:t>
            </w:r>
          </w:p>
        </w:tc>
        <w:tc>
          <w:tcPr>
            <w:tcW w:w="1831" w:type="dxa"/>
          </w:tcPr>
          <w:p w14:paraId="6B7A1349"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0.8915*** (0.0303)</w:t>
            </w:r>
          </w:p>
        </w:tc>
        <w:tc>
          <w:tcPr>
            <w:tcW w:w="1842" w:type="dxa"/>
          </w:tcPr>
          <w:p w14:paraId="4542CD3B"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0.8915*** (0.0303)</w:t>
            </w:r>
          </w:p>
        </w:tc>
      </w:tr>
      <w:tr w:rsidR="00AF3098" w:rsidRPr="00296196" w14:paraId="36CAAD99"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521B794E"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Herbicides</w:t>
            </w:r>
          </w:p>
        </w:tc>
        <w:tc>
          <w:tcPr>
            <w:tcW w:w="2168" w:type="dxa"/>
          </w:tcPr>
          <w:p w14:paraId="030987B9" w14:textId="77777777" w:rsidR="00AF3098" w:rsidRPr="00FA762D" w:rsidRDefault="00AF3098" w:rsidP="002C4A3C">
            <w:pPr>
              <w:pStyle w:val="ListParagraph"/>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-0.6617</w:t>
            </w:r>
          </w:p>
        </w:tc>
        <w:tc>
          <w:tcPr>
            <w:tcW w:w="1831" w:type="dxa"/>
          </w:tcPr>
          <w:p w14:paraId="1FA86447"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-0.8915</w:t>
            </w:r>
          </w:p>
        </w:tc>
        <w:tc>
          <w:tcPr>
            <w:tcW w:w="1842" w:type="dxa"/>
          </w:tcPr>
          <w:p w14:paraId="1A1BC7B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w:t>
            </w:r>
          </w:p>
        </w:tc>
      </w:tr>
      <w:tr w:rsidR="00AF3098" w:rsidRPr="00296196" w14:paraId="3EDE8A6F"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18729DCD"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State agency</w:t>
            </w:r>
          </w:p>
        </w:tc>
        <w:tc>
          <w:tcPr>
            <w:tcW w:w="2168" w:type="dxa"/>
          </w:tcPr>
          <w:p w14:paraId="001C8570"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-0.2143***</w:t>
            </w:r>
          </w:p>
          <w:p w14:paraId="6137C37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(0.0291)</w:t>
            </w:r>
          </w:p>
        </w:tc>
        <w:tc>
          <w:tcPr>
            <w:tcW w:w="1831" w:type="dxa"/>
          </w:tcPr>
          <w:p w14:paraId="3353C69E"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-0.1795*** (0.0334)</w:t>
            </w:r>
          </w:p>
        </w:tc>
        <w:tc>
          <w:tcPr>
            <w:tcW w:w="1842" w:type="dxa"/>
          </w:tcPr>
          <w:p w14:paraId="2FF75758"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-0.1795*** (0.0334)</w:t>
            </w:r>
          </w:p>
        </w:tc>
      </w:tr>
      <w:tr w:rsidR="00AF3098" w:rsidRPr="00296196" w14:paraId="7E0EEB2F"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7A719864"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Conservation NGO</w:t>
            </w:r>
          </w:p>
        </w:tc>
        <w:tc>
          <w:tcPr>
            <w:tcW w:w="2168" w:type="dxa"/>
          </w:tcPr>
          <w:p w14:paraId="72F02CE3"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0.1388***</w:t>
            </w:r>
          </w:p>
          <w:p w14:paraId="02F6E459"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(0.0297)</w:t>
            </w:r>
          </w:p>
        </w:tc>
        <w:tc>
          <w:tcPr>
            <w:tcW w:w="1831" w:type="dxa"/>
          </w:tcPr>
          <w:p w14:paraId="54A2E2C1"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0.1738*** (0.0319)</w:t>
            </w:r>
          </w:p>
        </w:tc>
        <w:tc>
          <w:tcPr>
            <w:tcW w:w="1842" w:type="dxa"/>
          </w:tcPr>
          <w:p w14:paraId="07E1D757"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0.1738*** (0.0319)</w:t>
            </w:r>
          </w:p>
        </w:tc>
      </w:tr>
      <w:tr w:rsidR="00AF3098" w:rsidRPr="00296196" w14:paraId="259D083C"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1D616E53"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Representative Body</w:t>
            </w:r>
          </w:p>
        </w:tc>
        <w:tc>
          <w:tcPr>
            <w:tcW w:w="2168" w:type="dxa"/>
          </w:tcPr>
          <w:p w14:paraId="3DD2308E"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0.0849***</w:t>
            </w:r>
          </w:p>
          <w:p w14:paraId="439D9F96"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(0.0303)</w:t>
            </w:r>
          </w:p>
        </w:tc>
        <w:tc>
          <w:tcPr>
            <w:tcW w:w="1831" w:type="dxa"/>
          </w:tcPr>
          <w:p w14:paraId="11001BD5"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0.0741**</w:t>
            </w:r>
          </w:p>
          <w:p w14:paraId="4C3861CA"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(0.0338)</w:t>
            </w:r>
          </w:p>
        </w:tc>
        <w:tc>
          <w:tcPr>
            <w:tcW w:w="1842" w:type="dxa"/>
          </w:tcPr>
          <w:p w14:paraId="2A0C710E"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0.0741**</w:t>
            </w:r>
          </w:p>
          <w:p w14:paraId="3A59E46D"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(0.0338)</w:t>
            </w:r>
          </w:p>
        </w:tc>
      </w:tr>
      <w:tr w:rsidR="00AF3098" w:rsidRPr="00296196" w14:paraId="5DEF1DB4"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1451A916"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Farmers’ association</w:t>
            </w:r>
          </w:p>
        </w:tc>
        <w:tc>
          <w:tcPr>
            <w:tcW w:w="2168" w:type="dxa"/>
          </w:tcPr>
          <w:p w14:paraId="1BD068D1"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-0.0094</w:t>
            </w:r>
          </w:p>
        </w:tc>
        <w:tc>
          <w:tcPr>
            <w:tcW w:w="1831" w:type="dxa"/>
          </w:tcPr>
          <w:p w14:paraId="2551D9C4"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-0.0684</w:t>
            </w:r>
          </w:p>
        </w:tc>
        <w:tc>
          <w:tcPr>
            <w:tcW w:w="1842" w:type="dxa"/>
          </w:tcPr>
          <w:p w14:paraId="501C04C0"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w:t>
            </w:r>
          </w:p>
        </w:tc>
      </w:tr>
      <w:tr w:rsidR="00AF3098" w:rsidRPr="00296196" w14:paraId="2B69AD19" w14:textId="77777777" w:rsidTr="002C4A3C">
        <w:tc>
          <w:tcPr>
            <w:cnfStyle w:val="001000000000" w:firstRow="0" w:lastRow="0" w:firstColumn="1" w:lastColumn="0" w:oddVBand="0" w:evenVBand="0" w:oddHBand="0" w:evenHBand="0" w:firstRowFirstColumn="0" w:firstRowLastColumn="0" w:lastRowFirstColumn="0" w:lastRowLastColumn="0"/>
            <w:tcW w:w="2659" w:type="dxa"/>
            <w:tcBorders>
              <w:bottom w:val="single" w:sz="4" w:space="0" w:color="auto"/>
            </w:tcBorders>
          </w:tcPr>
          <w:p w14:paraId="39536812" w14:textId="77777777" w:rsidR="00AF3098" w:rsidRPr="00FA762D" w:rsidRDefault="00AF3098" w:rsidP="002C4A3C">
            <w:pPr>
              <w:spacing w:line="360" w:lineRule="auto"/>
              <w:rPr>
                <w:rFonts w:cstheme="minorHAnsi"/>
                <w:b w:val="0"/>
                <w:sz w:val="24"/>
                <w:szCs w:val="24"/>
              </w:rPr>
            </w:pPr>
            <w:r w:rsidRPr="00FA762D">
              <w:rPr>
                <w:rFonts w:cstheme="minorHAnsi"/>
                <w:b w:val="0"/>
                <w:sz w:val="24"/>
                <w:szCs w:val="24"/>
              </w:rPr>
              <w:t>Cost (increased price)</w:t>
            </w:r>
          </w:p>
        </w:tc>
        <w:tc>
          <w:tcPr>
            <w:tcW w:w="2168" w:type="dxa"/>
            <w:tcBorders>
              <w:bottom w:val="single" w:sz="4" w:space="0" w:color="auto"/>
            </w:tcBorders>
          </w:tcPr>
          <w:p w14:paraId="4FCC40AC"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-0.7230***</w:t>
            </w:r>
          </w:p>
          <w:p w14:paraId="69D9E0EC"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(0.0354)</w:t>
            </w:r>
          </w:p>
        </w:tc>
        <w:tc>
          <w:tcPr>
            <w:tcW w:w="1831" w:type="dxa"/>
            <w:tcBorders>
              <w:bottom w:val="dashed" w:sz="4" w:space="0" w:color="auto"/>
            </w:tcBorders>
          </w:tcPr>
          <w:p w14:paraId="6696A0CA"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-1.0826***</w:t>
            </w:r>
          </w:p>
          <w:p w14:paraId="3BA3442B"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(0.0522)</w:t>
            </w:r>
          </w:p>
        </w:tc>
        <w:tc>
          <w:tcPr>
            <w:tcW w:w="1842" w:type="dxa"/>
            <w:tcBorders>
              <w:bottom w:val="dotted" w:sz="4" w:space="0" w:color="auto"/>
            </w:tcBorders>
          </w:tcPr>
          <w:p w14:paraId="017AF6D9"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-1.0826***</w:t>
            </w:r>
          </w:p>
          <w:p w14:paraId="655C9269"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(0.0522)</w:t>
            </w:r>
          </w:p>
        </w:tc>
      </w:tr>
      <w:tr w:rsidR="00AF3098" w:rsidRPr="00296196" w14:paraId="2EFD7808" w14:textId="77777777" w:rsidTr="002C4A3C">
        <w:tc>
          <w:tcPr>
            <w:cnfStyle w:val="001000000000" w:firstRow="0" w:lastRow="0" w:firstColumn="1" w:lastColumn="0" w:oddVBand="0" w:evenVBand="0" w:oddHBand="0" w:evenHBand="0" w:firstRowFirstColumn="0" w:firstRowLastColumn="0" w:lastRowFirstColumn="0" w:lastRowLastColumn="0"/>
            <w:tcW w:w="2659" w:type="dxa"/>
            <w:tcBorders>
              <w:top w:val="single" w:sz="4" w:space="0" w:color="auto"/>
              <w:bottom w:val="nil"/>
            </w:tcBorders>
          </w:tcPr>
          <w:p w14:paraId="10226D0E" w14:textId="77777777" w:rsidR="00AF3098" w:rsidRPr="00FA762D" w:rsidRDefault="00AF3098" w:rsidP="002C4A3C">
            <w:pPr>
              <w:spacing w:line="360" w:lineRule="auto"/>
              <w:rPr>
                <w:rFonts w:cstheme="minorHAnsi"/>
                <w:b w:val="0"/>
                <w:sz w:val="24"/>
                <w:szCs w:val="24"/>
              </w:rPr>
            </w:pPr>
            <w:r w:rsidRPr="00FA762D">
              <w:rPr>
                <w:rFonts w:cstheme="minorHAnsi"/>
                <w:b w:val="0"/>
                <w:i/>
                <w:sz w:val="24"/>
                <w:szCs w:val="24"/>
              </w:rPr>
              <w:t>LL at convergence</w:t>
            </w:r>
          </w:p>
        </w:tc>
        <w:tc>
          <w:tcPr>
            <w:tcW w:w="2168" w:type="dxa"/>
            <w:tcBorders>
              <w:top w:val="single" w:sz="4" w:space="0" w:color="auto"/>
              <w:bottom w:val="nil"/>
            </w:tcBorders>
          </w:tcPr>
          <w:p w14:paraId="13BE64D1"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-8065.8787</w:t>
            </w:r>
          </w:p>
        </w:tc>
        <w:tc>
          <w:tcPr>
            <w:tcW w:w="3673" w:type="dxa"/>
            <w:gridSpan w:val="2"/>
            <w:tcBorders>
              <w:top w:val="single" w:sz="4" w:space="0" w:color="auto"/>
              <w:bottom w:val="nil"/>
            </w:tcBorders>
          </w:tcPr>
          <w:p w14:paraId="0A2E5848"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-7837.5580</w:t>
            </w:r>
          </w:p>
        </w:tc>
      </w:tr>
      <w:tr w:rsidR="00AF3098" w:rsidRPr="00296196" w14:paraId="00F071C5" w14:textId="77777777" w:rsidTr="002C4A3C">
        <w:tc>
          <w:tcPr>
            <w:cnfStyle w:val="001000000000" w:firstRow="0" w:lastRow="0" w:firstColumn="1" w:lastColumn="0" w:oddVBand="0" w:evenVBand="0" w:oddHBand="0" w:evenHBand="0" w:firstRowFirstColumn="0" w:firstRowLastColumn="0" w:lastRowFirstColumn="0" w:lastRowLastColumn="0"/>
            <w:tcW w:w="2659" w:type="dxa"/>
            <w:tcBorders>
              <w:top w:val="nil"/>
            </w:tcBorders>
          </w:tcPr>
          <w:p w14:paraId="4CF29562" w14:textId="77777777" w:rsidR="00AF3098" w:rsidRPr="00FA762D" w:rsidRDefault="00AF3098" w:rsidP="002C4A3C">
            <w:pPr>
              <w:spacing w:line="360" w:lineRule="auto"/>
              <w:rPr>
                <w:rFonts w:cstheme="minorHAnsi"/>
                <w:b w:val="0"/>
                <w:sz w:val="24"/>
                <w:szCs w:val="24"/>
              </w:rPr>
            </w:pPr>
            <w:r w:rsidRPr="00FA762D">
              <w:rPr>
                <w:rFonts w:cstheme="minorHAnsi"/>
                <w:b w:val="0"/>
                <w:i/>
                <w:sz w:val="24"/>
                <w:szCs w:val="24"/>
              </w:rPr>
              <w:t>LL (0)</w:t>
            </w:r>
          </w:p>
        </w:tc>
        <w:tc>
          <w:tcPr>
            <w:tcW w:w="2168" w:type="dxa"/>
            <w:tcBorders>
              <w:top w:val="nil"/>
            </w:tcBorders>
          </w:tcPr>
          <w:p w14:paraId="1159BF93"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-9637.5184</w:t>
            </w:r>
          </w:p>
        </w:tc>
        <w:tc>
          <w:tcPr>
            <w:tcW w:w="3673" w:type="dxa"/>
            <w:gridSpan w:val="2"/>
            <w:tcBorders>
              <w:top w:val="nil"/>
            </w:tcBorders>
          </w:tcPr>
          <w:p w14:paraId="3B171E41"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-9637.5184</w:t>
            </w:r>
          </w:p>
        </w:tc>
      </w:tr>
      <w:tr w:rsidR="00AF3098" w:rsidRPr="00296196" w14:paraId="675A64F2"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234930FD" w14:textId="77777777" w:rsidR="00AF3098" w:rsidRPr="00FA762D" w:rsidRDefault="00AF3098" w:rsidP="002C4A3C">
            <w:pPr>
              <w:spacing w:line="360" w:lineRule="auto"/>
              <w:rPr>
                <w:rFonts w:cstheme="minorHAnsi"/>
                <w:b w:val="0"/>
                <w:sz w:val="24"/>
                <w:szCs w:val="24"/>
              </w:rPr>
            </w:pPr>
            <w:r w:rsidRPr="00FA762D">
              <w:rPr>
                <w:rFonts w:cstheme="minorHAnsi"/>
                <w:b w:val="0"/>
                <w:i/>
                <w:sz w:val="24"/>
                <w:szCs w:val="24"/>
              </w:rPr>
              <w:t>McFadden’s Pseudo R</w:t>
            </w:r>
            <w:r w:rsidRPr="00FA762D">
              <w:rPr>
                <w:rFonts w:cstheme="minorHAnsi"/>
                <w:b w:val="0"/>
                <w:i/>
                <w:sz w:val="24"/>
                <w:szCs w:val="24"/>
                <w:vertAlign w:val="superscript"/>
              </w:rPr>
              <w:t>2</w:t>
            </w:r>
          </w:p>
        </w:tc>
        <w:tc>
          <w:tcPr>
            <w:tcW w:w="2168" w:type="dxa"/>
          </w:tcPr>
          <w:p w14:paraId="49E92A02"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w:t>
            </w:r>
          </w:p>
        </w:tc>
        <w:tc>
          <w:tcPr>
            <w:tcW w:w="3673" w:type="dxa"/>
            <w:gridSpan w:val="2"/>
          </w:tcPr>
          <w:p w14:paraId="10FD7ABD"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0.1868</w:t>
            </w:r>
          </w:p>
        </w:tc>
      </w:tr>
      <w:tr w:rsidR="00AF3098" w:rsidRPr="00296196" w14:paraId="25DC345F" w14:textId="77777777" w:rsidTr="002C4A3C">
        <w:tc>
          <w:tcPr>
            <w:cnfStyle w:val="001000000000" w:firstRow="0" w:lastRow="0" w:firstColumn="1" w:lastColumn="0" w:oddVBand="0" w:evenVBand="0" w:oddHBand="0" w:evenHBand="0" w:firstRowFirstColumn="0" w:firstRowLastColumn="0" w:lastRowFirstColumn="0" w:lastRowLastColumn="0"/>
            <w:tcW w:w="2659" w:type="dxa"/>
          </w:tcPr>
          <w:p w14:paraId="11DF9246" w14:textId="77777777" w:rsidR="00AF3098" w:rsidRPr="00FA762D" w:rsidRDefault="00AF3098" w:rsidP="002C4A3C">
            <w:pPr>
              <w:spacing w:line="360" w:lineRule="auto"/>
              <w:rPr>
                <w:rFonts w:cstheme="minorHAnsi"/>
                <w:b w:val="0"/>
                <w:sz w:val="24"/>
                <w:szCs w:val="24"/>
              </w:rPr>
            </w:pPr>
            <w:r w:rsidRPr="00FA762D">
              <w:rPr>
                <w:rFonts w:cstheme="minorHAnsi"/>
                <w:b w:val="0"/>
                <w:i/>
                <w:sz w:val="24"/>
                <w:szCs w:val="24"/>
              </w:rPr>
              <w:t>Chi2 [11](P= 0.000)</w:t>
            </w:r>
          </w:p>
        </w:tc>
        <w:tc>
          <w:tcPr>
            <w:tcW w:w="2168" w:type="dxa"/>
          </w:tcPr>
          <w:p w14:paraId="48FB52A8"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2373.2985</w:t>
            </w:r>
          </w:p>
        </w:tc>
        <w:tc>
          <w:tcPr>
            <w:tcW w:w="3673" w:type="dxa"/>
            <w:gridSpan w:val="2"/>
          </w:tcPr>
          <w:p w14:paraId="6C9EDEF4"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3599.9208</w:t>
            </w:r>
          </w:p>
        </w:tc>
      </w:tr>
      <w:tr w:rsidR="00AF3098" w:rsidRPr="00296196" w14:paraId="560ADA45" w14:textId="77777777" w:rsidTr="002C4A3C">
        <w:tc>
          <w:tcPr>
            <w:cnfStyle w:val="001000000000" w:firstRow="0" w:lastRow="0" w:firstColumn="1" w:lastColumn="0" w:oddVBand="0" w:evenVBand="0" w:oddHBand="0" w:evenHBand="0" w:firstRowFirstColumn="0" w:firstRowLastColumn="0" w:lastRowFirstColumn="0" w:lastRowLastColumn="0"/>
            <w:tcW w:w="2659" w:type="dxa"/>
            <w:tcBorders>
              <w:bottom w:val="single" w:sz="4" w:space="0" w:color="auto"/>
            </w:tcBorders>
          </w:tcPr>
          <w:p w14:paraId="0BD1F290" w14:textId="77777777" w:rsidR="00AF3098" w:rsidRPr="00FA762D" w:rsidRDefault="00AF3098" w:rsidP="002C4A3C">
            <w:pPr>
              <w:spacing w:line="360" w:lineRule="auto"/>
              <w:rPr>
                <w:rFonts w:cstheme="minorHAnsi"/>
                <w:b w:val="0"/>
                <w:sz w:val="24"/>
                <w:szCs w:val="24"/>
              </w:rPr>
            </w:pPr>
            <w:r w:rsidRPr="00FA762D">
              <w:rPr>
                <w:rFonts w:cstheme="minorHAnsi"/>
                <w:b w:val="0"/>
                <w:i/>
                <w:sz w:val="24"/>
                <w:szCs w:val="24"/>
              </w:rPr>
              <w:t xml:space="preserve">AIC/N  </w:t>
            </w:r>
          </w:p>
        </w:tc>
        <w:tc>
          <w:tcPr>
            <w:tcW w:w="2168" w:type="dxa"/>
            <w:tcBorders>
              <w:bottom w:val="single" w:sz="4" w:space="0" w:color="auto"/>
            </w:tcBorders>
          </w:tcPr>
          <w:p w14:paraId="10532DD2"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2.324</w:t>
            </w:r>
          </w:p>
        </w:tc>
        <w:tc>
          <w:tcPr>
            <w:tcW w:w="3673" w:type="dxa"/>
            <w:gridSpan w:val="2"/>
            <w:tcBorders>
              <w:bottom w:val="single" w:sz="4" w:space="0" w:color="auto"/>
            </w:tcBorders>
          </w:tcPr>
          <w:p w14:paraId="62118AE8"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2.258</w:t>
            </w:r>
          </w:p>
        </w:tc>
      </w:tr>
      <w:tr w:rsidR="00AF3098" w:rsidRPr="00296196" w14:paraId="3712FC87" w14:textId="77777777" w:rsidTr="002C4A3C">
        <w:tc>
          <w:tcPr>
            <w:cnfStyle w:val="001000000000" w:firstRow="0" w:lastRow="0" w:firstColumn="1" w:lastColumn="0" w:oddVBand="0" w:evenVBand="0" w:oddHBand="0" w:evenHBand="0" w:firstRowFirstColumn="0" w:firstRowLastColumn="0" w:lastRowFirstColumn="0" w:lastRowLastColumn="0"/>
            <w:tcW w:w="2659" w:type="dxa"/>
            <w:tcBorders>
              <w:top w:val="single" w:sz="4" w:space="0" w:color="auto"/>
              <w:bottom w:val="single" w:sz="12" w:space="0" w:color="auto"/>
            </w:tcBorders>
          </w:tcPr>
          <w:p w14:paraId="796469CC" w14:textId="77777777" w:rsidR="00AF3098" w:rsidRPr="00FA762D" w:rsidRDefault="00AF3098" w:rsidP="002C4A3C">
            <w:pPr>
              <w:spacing w:line="360" w:lineRule="auto"/>
              <w:rPr>
                <w:rFonts w:cstheme="minorHAnsi"/>
                <w:b w:val="0"/>
                <w:sz w:val="24"/>
                <w:szCs w:val="24"/>
              </w:rPr>
            </w:pPr>
            <w:r w:rsidRPr="00FA762D">
              <w:rPr>
                <w:rFonts w:cstheme="minorHAnsi"/>
                <w:b w:val="0"/>
                <w:i/>
                <w:sz w:val="24"/>
                <w:szCs w:val="24"/>
              </w:rPr>
              <w:t>Number of observations</w:t>
            </w:r>
          </w:p>
        </w:tc>
        <w:tc>
          <w:tcPr>
            <w:tcW w:w="2168" w:type="dxa"/>
            <w:tcBorders>
              <w:top w:val="single" w:sz="4" w:space="0" w:color="auto"/>
              <w:bottom w:val="single" w:sz="12" w:space="0" w:color="auto"/>
            </w:tcBorders>
          </w:tcPr>
          <w:p w14:paraId="1C3BA40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6952</w:t>
            </w:r>
          </w:p>
        </w:tc>
        <w:tc>
          <w:tcPr>
            <w:tcW w:w="3673" w:type="dxa"/>
            <w:gridSpan w:val="2"/>
            <w:tcBorders>
              <w:top w:val="single" w:sz="4" w:space="0" w:color="auto"/>
              <w:bottom w:val="single" w:sz="12" w:space="0" w:color="auto"/>
            </w:tcBorders>
          </w:tcPr>
          <w:p w14:paraId="37118B1F" w14:textId="77777777" w:rsidR="00AF3098" w:rsidRPr="00FA762D" w:rsidRDefault="00AF3098" w:rsidP="002C4A3C">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A762D">
              <w:rPr>
                <w:rFonts w:cstheme="minorHAnsi"/>
                <w:sz w:val="24"/>
                <w:szCs w:val="24"/>
              </w:rPr>
              <w:t>6952</w:t>
            </w:r>
          </w:p>
        </w:tc>
      </w:tr>
      <w:tr w:rsidR="00AF3098" w:rsidRPr="00296196" w14:paraId="223BEDDA" w14:textId="77777777" w:rsidTr="002C4A3C">
        <w:tc>
          <w:tcPr>
            <w:cnfStyle w:val="001000000000" w:firstRow="0" w:lastRow="0" w:firstColumn="1" w:lastColumn="0" w:oddVBand="0" w:evenVBand="0" w:oddHBand="0" w:evenHBand="0" w:firstRowFirstColumn="0" w:firstRowLastColumn="0" w:lastRowFirstColumn="0" w:lastRowLastColumn="0"/>
            <w:tcW w:w="8500" w:type="dxa"/>
            <w:gridSpan w:val="4"/>
            <w:tcBorders>
              <w:top w:val="single" w:sz="12" w:space="0" w:color="auto"/>
              <w:bottom w:val="nil"/>
            </w:tcBorders>
          </w:tcPr>
          <w:p w14:paraId="6E6E9FD5" w14:textId="77777777" w:rsidR="00AF3098" w:rsidRPr="00615F44" w:rsidRDefault="00AF3098" w:rsidP="00CB1922">
            <w:pPr>
              <w:spacing w:line="276" w:lineRule="auto"/>
              <w:rPr>
                <w:rFonts w:cstheme="minorHAnsi"/>
                <w:b w:val="0"/>
                <w:szCs w:val="24"/>
              </w:rPr>
            </w:pPr>
            <w:r w:rsidRPr="00615F44">
              <w:rPr>
                <w:rFonts w:cstheme="minorHAnsi"/>
                <w:b w:val="0"/>
                <w:szCs w:val="24"/>
              </w:rPr>
              <w:t>Note: Standard errors are in parentheses</w:t>
            </w:r>
          </w:p>
          <w:p w14:paraId="24F69196" w14:textId="77777777" w:rsidR="00AF3098" w:rsidRPr="00296196" w:rsidRDefault="00AF3098" w:rsidP="00CB1922">
            <w:pPr>
              <w:spacing w:line="276" w:lineRule="auto"/>
              <w:rPr>
                <w:rFonts w:cstheme="minorHAnsi"/>
                <w:sz w:val="24"/>
                <w:szCs w:val="24"/>
              </w:rPr>
            </w:pPr>
            <w:r w:rsidRPr="00615F44">
              <w:rPr>
                <w:rFonts w:cstheme="minorHAnsi"/>
                <w:b w:val="0"/>
                <w:szCs w:val="24"/>
              </w:rPr>
              <w:t>***, **, *: Significance at 1%, 5%, 10% levels</w:t>
            </w:r>
          </w:p>
        </w:tc>
      </w:tr>
    </w:tbl>
    <w:p w14:paraId="39764980" w14:textId="77777777" w:rsidR="004009FD" w:rsidRDefault="004009FD" w:rsidP="004009FD">
      <w:pPr>
        <w:spacing w:after="0" w:line="360" w:lineRule="auto"/>
        <w:rPr>
          <w:rFonts w:cstheme="minorHAnsi"/>
          <w:sz w:val="24"/>
          <w:szCs w:val="24"/>
        </w:rPr>
      </w:pPr>
    </w:p>
    <w:tbl>
      <w:tblPr>
        <w:tblStyle w:val="PlainTable211"/>
        <w:tblW w:w="0" w:type="auto"/>
        <w:tblLook w:val="04A0" w:firstRow="1" w:lastRow="0" w:firstColumn="1" w:lastColumn="0" w:noHBand="0" w:noVBand="1"/>
      </w:tblPr>
      <w:tblGrid>
        <w:gridCol w:w="2127"/>
        <w:gridCol w:w="1984"/>
        <w:gridCol w:w="1985"/>
        <w:gridCol w:w="708"/>
        <w:gridCol w:w="2258"/>
      </w:tblGrid>
      <w:tr w:rsidR="004009FD" w:rsidRPr="007061CD" w14:paraId="20606C64" w14:textId="77777777" w:rsidTr="006B61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tcBorders>
              <w:top w:val="nil"/>
            </w:tcBorders>
          </w:tcPr>
          <w:p w14:paraId="09EE91EA" w14:textId="12FB166A" w:rsidR="004009FD" w:rsidRPr="007061CD" w:rsidRDefault="004009FD" w:rsidP="00960458">
            <w:pPr>
              <w:spacing w:line="360" w:lineRule="auto"/>
              <w:rPr>
                <w:rFonts w:cstheme="minorHAnsi"/>
                <w:b w:val="0"/>
                <w:sz w:val="24"/>
                <w:szCs w:val="24"/>
              </w:rPr>
            </w:pPr>
            <w:r w:rsidRPr="003C3BC3">
              <w:rPr>
                <w:rFonts w:cstheme="minorHAnsi"/>
                <w:b w:val="0"/>
                <w:szCs w:val="24"/>
              </w:rPr>
              <w:t xml:space="preserve">Table </w:t>
            </w:r>
            <w:r w:rsidR="00960458" w:rsidRPr="003C3BC3">
              <w:rPr>
                <w:rFonts w:cstheme="minorHAnsi"/>
                <w:b w:val="0"/>
                <w:szCs w:val="24"/>
              </w:rPr>
              <w:t>S9</w:t>
            </w:r>
            <w:r w:rsidRPr="003C3BC3">
              <w:rPr>
                <w:rFonts w:cstheme="minorHAnsi"/>
                <w:b w:val="0"/>
                <w:szCs w:val="24"/>
              </w:rPr>
              <w:t xml:space="preserve">. WTP estimates </w:t>
            </w:r>
            <w:r w:rsidR="007731CF" w:rsidRPr="003C3BC3">
              <w:rPr>
                <w:rFonts w:cstheme="minorHAnsi"/>
                <w:b w:val="0"/>
                <w:szCs w:val="24"/>
              </w:rPr>
              <w:t>derived from MNL and</w:t>
            </w:r>
            <w:r w:rsidRPr="003C3BC3">
              <w:rPr>
                <w:rFonts w:cstheme="minorHAnsi"/>
                <w:b w:val="0"/>
                <w:szCs w:val="24"/>
              </w:rPr>
              <w:t xml:space="preserve"> RPL model</w:t>
            </w:r>
            <w:r w:rsidR="007731CF" w:rsidRPr="003C3BC3">
              <w:rPr>
                <w:rFonts w:cstheme="minorHAnsi"/>
                <w:b w:val="0"/>
                <w:szCs w:val="24"/>
              </w:rPr>
              <w:t>s.</w:t>
            </w:r>
          </w:p>
        </w:tc>
      </w:tr>
      <w:tr w:rsidR="004009FD" w:rsidRPr="007061CD" w14:paraId="2780A3D8" w14:textId="77777777" w:rsidTr="008717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12" w:space="0" w:color="auto"/>
            </w:tcBorders>
            <w:vAlign w:val="center"/>
          </w:tcPr>
          <w:p w14:paraId="2E2AFC84" w14:textId="69EEC9CB" w:rsidR="004009FD" w:rsidRPr="007061CD" w:rsidRDefault="008717C6" w:rsidP="008717C6">
            <w:pPr>
              <w:spacing w:line="360" w:lineRule="auto"/>
              <w:rPr>
                <w:rFonts w:cstheme="minorHAnsi"/>
                <w:sz w:val="24"/>
                <w:szCs w:val="24"/>
              </w:rPr>
            </w:pPr>
            <w:r>
              <w:rPr>
                <w:rFonts w:cstheme="minorHAnsi"/>
                <w:sz w:val="24"/>
                <w:szCs w:val="24"/>
              </w:rPr>
              <w:t>Landscape feature</w:t>
            </w:r>
          </w:p>
        </w:tc>
        <w:tc>
          <w:tcPr>
            <w:tcW w:w="4677" w:type="dxa"/>
            <w:gridSpan w:val="3"/>
            <w:tcBorders>
              <w:top w:val="single" w:sz="12" w:space="0" w:color="auto"/>
              <w:bottom w:val="single" w:sz="12" w:space="0" w:color="auto"/>
            </w:tcBorders>
            <w:vAlign w:val="center"/>
          </w:tcPr>
          <w:p w14:paraId="422612AB" w14:textId="77777777" w:rsidR="004009FD" w:rsidRPr="007061CD" w:rsidRDefault="004009FD" w:rsidP="007061CD">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sz w:val="24"/>
                <w:szCs w:val="24"/>
              </w:rPr>
            </w:pPr>
            <w:r w:rsidRPr="007061CD">
              <w:rPr>
                <w:rFonts w:cstheme="minorHAnsi"/>
                <w:b/>
                <w:sz w:val="24"/>
                <w:szCs w:val="24"/>
              </w:rPr>
              <w:t>Marginal WTP</w:t>
            </w:r>
          </w:p>
        </w:tc>
        <w:tc>
          <w:tcPr>
            <w:tcW w:w="2258" w:type="dxa"/>
            <w:vMerge w:val="restart"/>
            <w:tcBorders>
              <w:top w:val="single" w:sz="12" w:space="0" w:color="auto"/>
              <w:bottom w:val="single" w:sz="12" w:space="0" w:color="auto"/>
            </w:tcBorders>
            <w:vAlign w:val="center"/>
          </w:tcPr>
          <w:p w14:paraId="49A7053C" w14:textId="0B21382F" w:rsidR="004009FD" w:rsidRPr="007061CD" w:rsidRDefault="004009FD" w:rsidP="007061CD">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sz w:val="24"/>
                <w:szCs w:val="24"/>
                <w:vertAlign w:val="superscript"/>
              </w:rPr>
            </w:pPr>
            <w:r w:rsidRPr="007061CD">
              <w:rPr>
                <w:rFonts w:cstheme="minorHAnsi"/>
                <w:b/>
                <w:sz w:val="24"/>
                <w:szCs w:val="24"/>
              </w:rPr>
              <w:t>A</w:t>
            </w:r>
            <w:r w:rsidR="00F209D4" w:rsidRPr="007061CD">
              <w:rPr>
                <w:rFonts w:cstheme="minorHAnsi"/>
                <w:b/>
                <w:sz w:val="24"/>
                <w:szCs w:val="24"/>
              </w:rPr>
              <w:t>nnual</w:t>
            </w:r>
            <w:r w:rsidRPr="007061CD">
              <w:rPr>
                <w:rFonts w:cstheme="minorHAnsi"/>
                <w:b/>
                <w:sz w:val="24"/>
                <w:szCs w:val="24"/>
              </w:rPr>
              <w:t xml:space="preserve"> WTP</w:t>
            </w:r>
            <w:r w:rsidR="00AF4BE3" w:rsidRPr="007061CD">
              <w:rPr>
                <w:rFonts w:cstheme="minorHAnsi"/>
                <w:b/>
                <w:sz w:val="24"/>
                <w:szCs w:val="24"/>
              </w:rPr>
              <w:t xml:space="preserve"> </w:t>
            </w:r>
            <w:r w:rsidR="00AF4BE3" w:rsidRPr="007061CD">
              <w:rPr>
                <w:rFonts w:cstheme="minorHAnsi"/>
                <w:b/>
                <w:sz w:val="24"/>
                <w:szCs w:val="24"/>
                <w:vertAlign w:val="superscript"/>
              </w:rPr>
              <w:t>b</w:t>
            </w:r>
          </w:p>
        </w:tc>
      </w:tr>
      <w:tr w:rsidR="004009FD" w:rsidRPr="007061CD" w14:paraId="53890DF8" w14:textId="77777777" w:rsidTr="006B4D43">
        <w:tc>
          <w:tcPr>
            <w:cnfStyle w:val="001000000000" w:firstRow="0" w:lastRow="0" w:firstColumn="1" w:lastColumn="0" w:oddVBand="0" w:evenVBand="0" w:oddHBand="0" w:evenHBand="0" w:firstRowFirstColumn="0" w:firstRowLastColumn="0" w:lastRowFirstColumn="0" w:lastRowLastColumn="0"/>
            <w:tcW w:w="2127" w:type="dxa"/>
            <w:vMerge/>
            <w:tcBorders>
              <w:top w:val="nil"/>
              <w:bottom w:val="single" w:sz="12" w:space="0" w:color="auto"/>
            </w:tcBorders>
          </w:tcPr>
          <w:p w14:paraId="0D1A4F2B" w14:textId="77777777" w:rsidR="004009FD" w:rsidRPr="007061CD" w:rsidRDefault="004009FD" w:rsidP="006B61CB">
            <w:pPr>
              <w:spacing w:line="360" w:lineRule="auto"/>
              <w:rPr>
                <w:rFonts w:cstheme="minorHAnsi"/>
                <w:sz w:val="24"/>
                <w:szCs w:val="24"/>
              </w:rPr>
            </w:pPr>
          </w:p>
        </w:tc>
        <w:tc>
          <w:tcPr>
            <w:tcW w:w="1984" w:type="dxa"/>
            <w:tcBorders>
              <w:top w:val="single" w:sz="12" w:space="0" w:color="auto"/>
              <w:bottom w:val="single" w:sz="12" w:space="0" w:color="auto"/>
            </w:tcBorders>
            <w:vAlign w:val="center"/>
          </w:tcPr>
          <w:p w14:paraId="455BD2DA" w14:textId="77777777" w:rsidR="004009FD" w:rsidRPr="007061CD" w:rsidRDefault="004009FD" w:rsidP="007061CD">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7061CD">
              <w:rPr>
                <w:rFonts w:cstheme="minorHAnsi"/>
                <w:color w:val="000000"/>
                <w:sz w:val="24"/>
                <w:szCs w:val="24"/>
              </w:rPr>
              <w:t>Mean</w:t>
            </w:r>
            <w:r w:rsidRPr="007061CD">
              <w:rPr>
                <w:rFonts w:cstheme="minorHAnsi"/>
                <w:color w:val="000000"/>
                <w:sz w:val="24"/>
                <w:szCs w:val="24"/>
                <w:vertAlign w:val="superscript"/>
              </w:rPr>
              <w:t>a</w:t>
            </w:r>
            <w:r w:rsidRPr="007061CD">
              <w:rPr>
                <w:rFonts w:cstheme="minorHAnsi"/>
                <w:color w:val="000000"/>
                <w:sz w:val="24"/>
                <w:szCs w:val="24"/>
              </w:rPr>
              <w:t xml:space="preserve"> (std. error)</w:t>
            </w:r>
          </w:p>
        </w:tc>
        <w:tc>
          <w:tcPr>
            <w:tcW w:w="2693" w:type="dxa"/>
            <w:gridSpan w:val="2"/>
            <w:tcBorders>
              <w:top w:val="single" w:sz="12" w:space="0" w:color="auto"/>
              <w:bottom w:val="single" w:sz="12" w:space="0" w:color="auto"/>
            </w:tcBorders>
            <w:vAlign w:val="center"/>
          </w:tcPr>
          <w:p w14:paraId="6EB4D1CE" w14:textId="77777777" w:rsidR="004009FD" w:rsidRPr="007061CD" w:rsidRDefault="004009FD"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rFonts w:cstheme="minorHAnsi"/>
                <w:sz w:val="24"/>
                <w:szCs w:val="24"/>
              </w:rPr>
              <w:t>95% confidence interval</w:t>
            </w:r>
          </w:p>
        </w:tc>
        <w:tc>
          <w:tcPr>
            <w:tcW w:w="2258" w:type="dxa"/>
            <w:vMerge/>
            <w:tcBorders>
              <w:top w:val="nil"/>
              <w:bottom w:val="single" w:sz="12" w:space="0" w:color="auto"/>
            </w:tcBorders>
            <w:vAlign w:val="center"/>
          </w:tcPr>
          <w:p w14:paraId="29E1B928" w14:textId="77777777" w:rsidR="004009FD" w:rsidRPr="007061CD" w:rsidRDefault="004009FD"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BF44F6" w:rsidRPr="007061CD" w14:paraId="430DD45D" w14:textId="77777777" w:rsidTr="007061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tcBorders>
              <w:top w:val="dotted" w:sz="4" w:space="0" w:color="auto"/>
              <w:bottom w:val="dotted" w:sz="4" w:space="0" w:color="auto"/>
            </w:tcBorders>
            <w:vAlign w:val="center"/>
          </w:tcPr>
          <w:p w14:paraId="7114B918" w14:textId="2E268554" w:rsidR="00BF44F6" w:rsidRPr="007061CD" w:rsidRDefault="00BF44F6" w:rsidP="007061CD">
            <w:pPr>
              <w:spacing w:line="360" w:lineRule="auto"/>
              <w:jc w:val="center"/>
              <w:rPr>
                <w:rFonts w:cstheme="minorHAnsi"/>
                <w:sz w:val="24"/>
                <w:szCs w:val="24"/>
              </w:rPr>
            </w:pPr>
            <w:r w:rsidRPr="007061CD">
              <w:rPr>
                <w:rFonts w:cstheme="minorHAnsi"/>
                <w:sz w:val="24"/>
                <w:szCs w:val="24"/>
              </w:rPr>
              <w:t>MNL model</w:t>
            </w:r>
          </w:p>
        </w:tc>
      </w:tr>
      <w:tr w:rsidR="00BF44F6" w:rsidRPr="007061CD" w14:paraId="0127AFD0" w14:textId="77777777" w:rsidTr="006B7235">
        <w:tc>
          <w:tcPr>
            <w:cnfStyle w:val="001000000000" w:firstRow="0" w:lastRow="0" w:firstColumn="1" w:lastColumn="0" w:oddVBand="0" w:evenVBand="0" w:oddHBand="0" w:evenHBand="0" w:firstRowFirstColumn="0" w:firstRowLastColumn="0" w:lastRowFirstColumn="0" w:lastRowLastColumn="0"/>
            <w:tcW w:w="2127" w:type="dxa"/>
            <w:tcBorders>
              <w:top w:val="single" w:sz="2" w:space="0" w:color="auto"/>
              <w:bottom w:val="dotted" w:sz="4" w:space="0" w:color="auto"/>
              <w:right w:val="nil"/>
            </w:tcBorders>
          </w:tcPr>
          <w:p w14:paraId="0FDA8FA3" w14:textId="28FDCD92" w:rsidR="00BF44F6" w:rsidRPr="007061CD" w:rsidRDefault="00BF44F6" w:rsidP="006B61CB">
            <w:pPr>
              <w:spacing w:line="360" w:lineRule="auto"/>
              <w:rPr>
                <w:rFonts w:cstheme="minorHAnsi"/>
                <w:sz w:val="24"/>
                <w:szCs w:val="24"/>
              </w:rPr>
            </w:pPr>
            <w:r w:rsidRPr="007061CD">
              <w:rPr>
                <w:rFonts w:cstheme="minorHAnsi"/>
                <w:b w:val="0"/>
                <w:sz w:val="24"/>
                <w:szCs w:val="24"/>
              </w:rPr>
              <w:t>Flower strips-plus-hedgerows</w:t>
            </w:r>
          </w:p>
        </w:tc>
        <w:tc>
          <w:tcPr>
            <w:tcW w:w="1984" w:type="dxa"/>
            <w:tcBorders>
              <w:top w:val="single" w:sz="2" w:space="0" w:color="auto"/>
              <w:left w:val="nil"/>
              <w:bottom w:val="dotted" w:sz="4" w:space="0" w:color="auto"/>
            </w:tcBorders>
            <w:vAlign w:val="center"/>
          </w:tcPr>
          <w:p w14:paraId="4EC51D35" w14:textId="1ECCC3F0" w:rsidR="00BF44F6" w:rsidRPr="007061CD" w:rsidRDefault="00574267" w:rsidP="007061CD">
            <w:pPr>
              <w:spacing w:line="36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7061CD">
              <w:rPr>
                <w:sz w:val="24"/>
                <w:szCs w:val="24"/>
              </w:rPr>
              <w:t>0.689*** (0.053)</w:t>
            </w:r>
          </w:p>
        </w:tc>
        <w:tc>
          <w:tcPr>
            <w:tcW w:w="1985" w:type="dxa"/>
            <w:tcBorders>
              <w:top w:val="single" w:sz="2" w:space="0" w:color="auto"/>
              <w:bottom w:val="dotted" w:sz="4" w:space="0" w:color="auto"/>
              <w:right w:val="nil"/>
            </w:tcBorders>
            <w:vAlign w:val="center"/>
          </w:tcPr>
          <w:p w14:paraId="7AFE4E8C" w14:textId="1760B893" w:rsidR="00BF44F6" w:rsidRPr="007061CD" w:rsidRDefault="00574267"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rFonts w:cstheme="minorHAnsi"/>
                <w:sz w:val="24"/>
                <w:szCs w:val="24"/>
              </w:rPr>
              <w:t>0.585 – 0.793</w:t>
            </w:r>
          </w:p>
        </w:tc>
        <w:tc>
          <w:tcPr>
            <w:tcW w:w="2966" w:type="dxa"/>
            <w:gridSpan w:val="2"/>
            <w:tcBorders>
              <w:top w:val="single" w:sz="2" w:space="0" w:color="auto"/>
              <w:left w:val="nil"/>
              <w:bottom w:val="dotted" w:sz="4" w:space="0" w:color="auto"/>
            </w:tcBorders>
            <w:vAlign w:val="center"/>
          </w:tcPr>
          <w:p w14:paraId="091837F7" w14:textId="3CF6101A" w:rsidR="00BF44F6" w:rsidRPr="007061CD" w:rsidRDefault="00574267" w:rsidP="007061C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4"/>
                <w:szCs w:val="24"/>
              </w:rPr>
            </w:pPr>
            <w:r w:rsidRPr="007061CD">
              <w:rPr>
                <w:rFonts w:ascii="Calibri" w:hAnsi="Calibri" w:cs="Calibri"/>
                <w:color w:val="000000"/>
                <w:sz w:val="24"/>
                <w:szCs w:val="24"/>
              </w:rPr>
              <w:t>20,235.80</w:t>
            </w:r>
          </w:p>
        </w:tc>
      </w:tr>
      <w:tr w:rsidR="00BF44F6" w:rsidRPr="007061CD" w14:paraId="4E6758E5" w14:textId="77777777" w:rsidTr="007061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dotted" w:sz="4" w:space="0" w:color="auto"/>
              <w:bottom w:val="dotted" w:sz="4" w:space="0" w:color="auto"/>
              <w:right w:val="nil"/>
            </w:tcBorders>
          </w:tcPr>
          <w:p w14:paraId="4AE83FBA" w14:textId="5497B56E" w:rsidR="00BF44F6" w:rsidRPr="007061CD" w:rsidRDefault="00BF44F6" w:rsidP="006B61CB">
            <w:pPr>
              <w:spacing w:line="360" w:lineRule="auto"/>
              <w:rPr>
                <w:rFonts w:cstheme="minorHAnsi"/>
                <w:sz w:val="24"/>
                <w:szCs w:val="24"/>
              </w:rPr>
            </w:pPr>
            <w:r w:rsidRPr="007061CD">
              <w:rPr>
                <w:rFonts w:cstheme="minorHAnsi"/>
                <w:b w:val="0"/>
                <w:sz w:val="24"/>
                <w:szCs w:val="24"/>
              </w:rPr>
              <w:t>Flower strips</w:t>
            </w:r>
          </w:p>
        </w:tc>
        <w:tc>
          <w:tcPr>
            <w:tcW w:w="1984" w:type="dxa"/>
            <w:tcBorders>
              <w:top w:val="dotted" w:sz="4" w:space="0" w:color="auto"/>
              <w:left w:val="nil"/>
              <w:bottom w:val="dotted" w:sz="4" w:space="0" w:color="auto"/>
            </w:tcBorders>
            <w:vAlign w:val="center"/>
          </w:tcPr>
          <w:p w14:paraId="4AE18D59" w14:textId="7EE40DD6" w:rsidR="00BF44F6" w:rsidRPr="007061CD" w:rsidRDefault="00574267" w:rsidP="007061CD">
            <w:pPr>
              <w:spacing w:line="36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7061CD">
              <w:rPr>
                <w:rFonts w:cstheme="minorHAnsi"/>
                <w:sz w:val="24"/>
                <w:szCs w:val="24"/>
              </w:rPr>
              <w:t>0.332*** (0.044)</w:t>
            </w:r>
          </w:p>
        </w:tc>
        <w:tc>
          <w:tcPr>
            <w:tcW w:w="1985" w:type="dxa"/>
            <w:tcBorders>
              <w:top w:val="dotted" w:sz="4" w:space="0" w:color="auto"/>
              <w:bottom w:val="dotted" w:sz="4" w:space="0" w:color="auto"/>
              <w:right w:val="nil"/>
            </w:tcBorders>
            <w:vAlign w:val="center"/>
          </w:tcPr>
          <w:p w14:paraId="49F873D0" w14:textId="3F8133F8" w:rsidR="00BF44F6" w:rsidRPr="007061CD" w:rsidRDefault="00574267" w:rsidP="007061CD">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061CD">
              <w:rPr>
                <w:rFonts w:cstheme="minorHAnsi"/>
                <w:sz w:val="24"/>
                <w:szCs w:val="24"/>
              </w:rPr>
              <w:t>0.245 – 0.419</w:t>
            </w:r>
          </w:p>
        </w:tc>
        <w:tc>
          <w:tcPr>
            <w:tcW w:w="2966" w:type="dxa"/>
            <w:gridSpan w:val="2"/>
            <w:tcBorders>
              <w:top w:val="dotted" w:sz="4" w:space="0" w:color="auto"/>
              <w:left w:val="nil"/>
              <w:bottom w:val="dotted" w:sz="4" w:space="0" w:color="auto"/>
            </w:tcBorders>
            <w:vAlign w:val="center"/>
          </w:tcPr>
          <w:p w14:paraId="5B7FBC4A" w14:textId="25AD7377" w:rsidR="00BF44F6" w:rsidRPr="007061CD" w:rsidRDefault="00574267" w:rsidP="007061C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7061CD">
              <w:rPr>
                <w:rFonts w:ascii="Calibri" w:hAnsi="Calibri" w:cs="Calibri"/>
                <w:color w:val="000000"/>
                <w:sz w:val="24"/>
                <w:szCs w:val="24"/>
              </w:rPr>
              <w:t>9,744.91</w:t>
            </w:r>
          </w:p>
        </w:tc>
      </w:tr>
      <w:tr w:rsidR="00BF44F6" w:rsidRPr="007061CD" w14:paraId="6F118033" w14:textId="77777777" w:rsidTr="006B7235">
        <w:tc>
          <w:tcPr>
            <w:cnfStyle w:val="001000000000" w:firstRow="0" w:lastRow="0" w:firstColumn="1" w:lastColumn="0" w:oddVBand="0" w:evenVBand="0" w:oddHBand="0" w:evenHBand="0" w:firstRowFirstColumn="0" w:firstRowLastColumn="0" w:lastRowFirstColumn="0" w:lastRowLastColumn="0"/>
            <w:tcW w:w="2127" w:type="dxa"/>
            <w:tcBorders>
              <w:top w:val="dotted" w:sz="4" w:space="0" w:color="auto"/>
              <w:bottom w:val="single" w:sz="2" w:space="0" w:color="auto"/>
              <w:right w:val="nil"/>
            </w:tcBorders>
          </w:tcPr>
          <w:p w14:paraId="64C48923" w14:textId="7458C3CD" w:rsidR="00BF44F6" w:rsidRPr="007061CD" w:rsidRDefault="00BF44F6" w:rsidP="006B61CB">
            <w:pPr>
              <w:spacing w:line="360" w:lineRule="auto"/>
              <w:rPr>
                <w:rFonts w:cstheme="minorHAnsi"/>
                <w:sz w:val="24"/>
                <w:szCs w:val="24"/>
              </w:rPr>
            </w:pPr>
            <w:r w:rsidRPr="007061CD">
              <w:rPr>
                <w:rFonts w:cstheme="minorHAnsi"/>
                <w:b w:val="0"/>
                <w:sz w:val="24"/>
                <w:szCs w:val="24"/>
              </w:rPr>
              <w:t>Hedgerows</w:t>
            </w:r>
          </w:p>
        </w:tc>
        <w:tc>
          <w:tcPr>
            <w:tcW w:w="1984" w:type="dxa"/>
            <w:tcBorders>
              <w:top w:val="dotted" w:sz="4" w:space="0" w:color="auto"/>
              <w:left w:val="nil"/>
              <w:bottom w:val="single" w:sz="2" w:space="0" w:color="auto"/>
            </w:tcBorders>
            <w:vAlign w:val="center"/>
          </w:tcPr>
          <w:p w14:paraId="62CDE3C5" w14:textId="1BF7D03A" w:rsidR="00BF44F6" w:rsidRPr="007061CD" w:rsidRDefault="00574267" w:rsidP="007061CD">
            <w:pPr>
              <w:spacing w:line="360" w:lineRule="auto"/>
              <w:jc w:val="center"/>
              <w:cnfStyle w:val="000000000000" w:firstRow="0" w:lastRow="0" w:firstColumn="0" w:lastColumn="0" w:oddVBand="0" w:evenVBand="0" w:oddHBand="0" w:evenHBand="0" w:firstRowFirstColumn="0" w:firstRowLastColumn="0" w:lastRowFirstColumn="0" w:lastRowLastColumn="0"/>
              <w:rPr>
                <w:sz w:val="24"/>
                <w:szCs w:val="24"/>
              </w:rPr>
            </w:pPr>
            <w:r w:rsidRPr="007061CD">
              <w:rPr>
                <w:sz w:val="24"/>
                <w:szCs w:val="24"/>
              </w:rPr>
              <w:t>0.133</w:t>
            </w:r>
            <w:r w:rsidRPr="007061CD">
              <w:rPr>
                <w:rFonts w:cstheme="minorHAnsi"/>
                <w:sz w:val="24"/>
                <w:szCs w:val="24"/>
              </w:rPr>
              <w:t>*** (0.042)</w:t>
            </w:r>
          </w:p>
        </w:tc>
        <w:tc>
          <w:tcPr>
            <w:tcW w:w="1985" w:type="dxa"/>
            <w:tcBorders>
              <w:top w:val="dotted" w:sz="4" w:space="0" w:color="auto"/>
              <w:bottom w:val="single" w:sz="2" w:space="0" w:color="auto"/>
              <w:right w:val="nil"/>
            </w:tcBorders>
            <w:vAlign w:val="center"/>
          </w:tcPr>
          <w:p w14:paraId="0FA7F787" w14:textId="05BD90CC" w:rsidR="00BF44F6" w:rsidRPr="007061CD" w:rsidRDefault="00574267"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rFonts w:cstheme="minorHAnsi"/>
                <w:sz w:val="24"/>
                <w:szCs w:val="24"/>
              </w:rPr>
              <w:t>0.051 – 0.215</w:t>
            </w:r>
          </w:p>
        </w:tc>
        <w:tc>
          <w:tcPr>
            <w:tcW w:w="2966" w:type="dxa"/>
            <w:gridSpan w:val="2"/>
            <w:tcBorders>
              <w:top w:val="dotted" w:sz="4" w:space="0" w:color="auto"/>
              <w:left w:val="nil"/>
              <w:bottom w:val="single" w:sz="2" w:space="0" w:color="auto"/>
            </w:tcBorders>
            <w:vAlign w:val="center"/>
          </w:tcPr>
          <w:p w14:paraId="39CFAC4B" w14:textId="3863DC1B" w:rsidR="00BF44F6" w:rsidRPr="007061CD" w:rsidRDefault="00574267" w:rsidP="007061C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4"/>
                <w:szCs w:val="24"/>
              </w:rPr>
            </w:pPr>
            <w:r w:rsidRPr="007061CD">
              <w:rPr>
                <w:rFonts w:ascii="Calibri" w:hAnsi="Calibri" w:cs="Calibri"/>
                <w:color w:val="000000"/>
                <w:sz w:val="24"/>
                <w:szCs w:val="24"/>
              </w:rPr>
              <w:t>3,909.12</w:t>
            </w:r>
          </w:p>
        </w:tc>
      </w:tr>
      <w:tr w:rsidR="007061CD" w:rsidRPr="007061CD" w14:paraId="01F0AE37" w14:textId="77777777" w:rsidTr="006B72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5"/>
            <w:tcBorders>
              <w:top w:val="dotted" w:sz="4" w:space="0" w:color="auto"/>
              <w:bottom w:val="dotted" w:sz="4" w:space="0" w:color="auto"/>
            </w:tcBorders>
            <w:vAlign w:val="center"/>
          </w:tcPr>
          <w:p w14:paraId="7C0C60F6" w14:textId="025EDCF8" w:rsidR="007061CD" w:rsidRPr="007061CD" w:rsidRDefault="007061CD" w:rsidP="007061CD">
            <w:pPr>
              <w:spacing w:line="360" w:lineRule="auto"/>
              <w:jc w:val="center"/>
              <w:rPr>
                <w:rFonts w:ascii="Calibri" w:hAnsi="Calibri" w:cs="Calibri"/>
                <w:color w:val="000000"/>
                <w:sz w:val="24"/>
                <w:szCs w:val="24"/>
              </w:rPr>
            </w:pPr>
            <w:r w:rsidRPr="007061CD">
              <w:rPr>
                <w:rFonts w:ascii="Calibri" w:hAnsi="Calibri" w:cs="Calibri"/>
                <w:color w:val="000000"/>
                <w:sz w:val="24"/>
                <w:szCs w:val="24"/>
              </w:rPr>
              <w:t>RPL model</w:t>
            </w:r>
          </w:p>
        </w:tc>
      </w:tr>
      <w:tr w:rsidR="004009FD" w:rsidRPr="007061CD" w14:paraId="51D33134" w14:textId="77777777" w:rsidTr="006B7235">
        <w:tc>
          <w:tcPr>
            <w:cnfStyle w:val="001000000000" w:firstRow="0" w:lastRow="0" w:firstColumn="1" w:lastColumn="0" w:oddVBand="0" w:evenVBand="0" w:oddHBand="0" w:evenHBand="0" w:firstRowFirstColumn="0" w:firstRowLastColumn="0" w:lastRowFirstColumn="0" w:lastRowLastColumn="0"/>
            <w:tcW w:w="2127" w:type="dxa"/>
            <w:tcBorders>
              <w:top w:val="single" w:sz="2" w:space="0" w:color="auto"/>
              <w:bottom w:val="dotted" w:sz="4" w:space="0" w:color="auto"/>
              <w:right w:val="nil"/>
            </w:tcBorders>
          </w:tcPr>
          <w:p w14:paraId="4BE9C626" w14:textId="77777777" w:rsidR="004009FD" w:rsidRPr="007061CD" w:rsidRDefault="004009FD" w:rsidP="006B61CB">
            <w:pPr>
              <w:spacing w:line="360" w:lineRule="auto"/>
              <w:rPr>
                <w:rFonts w:cstheme="minorHAnsi"/>
                <w:b w:val="0"/>
                <w:sz w:val="24"/>
                <w:szCs w:val="24"/>
              </w:rPr>
            </w:pPr>
            <w:r w:rsidRPr="007061CD">
              <w:rPr>
                <w:rFonts w:cstheme="minorHAnsi"/>
                <w:b w:val="0"/>
                <w:sz w:val="24"/>
                <w:szCs w:val="24"/>
              </w:rPr>
              <w:lastRenderedPageBreak/>
              <w:t>Flower strips-plus-hedgerows</w:t>
            </w:r>
          </w:p>
        </w:tc>
        <w:tc>
          <w:tcPr>
            <w:tcW w:w="1984" w:type="dxa"/>
            <w:tcBorders>
              <w:top w:val="single" w:sz="2" w:space="0" w:color="auto"/>
              <w:left w:val="nil"/>
              <w:bottom w:val="dotted" w:sz="4" w:space="0" w:color="auto"/>
            </w:tcBorders>
            <w:vAlign w:val="center"/>
          </w:tcPr>
          <w:p w14:paraId="62637E96" w14:textId="33F733B9" w:rsidR="004009FD" w:rsidRPr="007061CD" w:rsidRDefault="004009FD"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sz w:val="24"/>
                <w:szCs w:val="24"/>
              </w:rPr>
              <w:t>0.541*** (0.042)</w:t>
            </w:r>
          </w:p>
        </w:tc>
        <w:tc>
          <w:tcPr>
            <w:tcW w:w="1985" w:type="dxa"/>
            <w:tcBorders>
              <w:top w:val="single" w:sz="2" w:space="0" w:color="auto"/>
              <w:bottom w:val="dotted" w:sz="4" w:space="0" w:color="auto"/>
              <w:right w:val="nil"/>
            </w:tcBorders>
            <w:vAlign w:val="center"/>
          </w:tcPr>
          <w:p w14:paraId="1DFC3815" w14:textId="77777777" w:rsidR="004009FD" w:rsidRPr="007061CD" w:rsidRDefault="004009FD"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rFonts w:cstheme="minorHAnsi"/>
                <w:sz w:val="24"/>
                <w:szCs w:val="24"/>
              </w:rPr>
              <w:t>0.459 – 0.622</w:t>
            </w:r>
          </w:p>
        </w:tc>
        <w:tc>
          <w:tcPr>
            <w:tcW w:w="2966" w:type="dxa"/>
            <w:gridSpan w:val="2"/>
            <w:tcBorders>
              <w:top w:val="single" w:sz="2" w:space="0" w:color="auto"/>
              <w:left w:val="nil"/>
              <w:bottom w:val="dotted" w:sz="4" w:space="0" w:color="auto"/>
            </w:tcBorders>
            <w:vAlign w:val="center"/>
          </w:tcPr>
          <w:p w14:paraId="70002D35" w14:textId="3BB209FE" w:rsidR="004009FD" w:rsidRPr="007061CD" w:rsidRDefault="00574267" w:rsidP="007061C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4"/>
                <w:szCs w:val="24"/>
              </w:rPr>
            </w:pPr>
            <w:r w:rsidRPr="007061CD">
              <w:rPr>
                <w:rFonts w:ascii="Calibri" w:hAnsi="Calibri" w:cs="Calibri"/>
                <w:color w:val="000000"/>
                <w:sz w:val="24"/>
                <w:szCs w:val="24"/>
              </w:rPr>
              <w:t>15,889.07</w:t>
            </w:r>
          </w:p>
        </w:tc>
      </w:tr>
      <w:tr w:rsidR="004009FD" w:rsidRPr="007061CD" w14:paraId="57CF6A96" w14:textId="77777777" w:rsidTr="007061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dotted" w:sz="4" w:space="0" w:color="auto"/>
              <w:bottom w:val="dotted" w:sz="4" w:space="0" w:color="auto"/>
              <w:right w:val="nil"/>
            </w:tcBorders>
          </w:tcPr>
          <w:p w14:paraId="2E1387E9" w14:textId="77777777" w:rsidR="004009FD" w:rsidRPr="007061CD" w:rsidRDefault="004009FD" w:rsidP="006B61CB">
            <w:pPr>
              <w:spacing w:line="360" w:lineRule="auto"/>
              <w:rPr>
                <w:rFonts w:cstheme="minorHAnsi"/>
                <w:b w:val="0"/>
                <w:sz w:val="24"/>
                <w:szCs w:val="24"/>
              </w:rPr>
            </w:pPr>
            <w:r w:rsidRPr="007061CD">
              <w:rPr>
                <w:rFonts w:cstheme="minorHAnsi"/>
                <w:b w:val="0"/>
                <w:sz w:val="24"/>
                <w:szCs w:val="24"/>
              </w:rPr>
              <w:t xml:space="preserve">Flower strips </w:t>
            </w:r>
          </w:p>
        </w:tc>
        <w:tc>
          <w:tcPr>
            <w:tcW w:w="1984" w:type="dxa"/>
            <w:tcBorders>
              <w:top w:val="dotted" w:sz="4" w:space="0" w:color="auto"/>
              <w:left w:val="nil"/>
              <w:bottom w:val="dotted" w:sz="4" w:space="0" w:color="auto"/>
            </w:tcBorders>
            <w:vAlign w:val="center"/>
          </w:tcPr>
          <w:p w14:paraId="3E51BE53" w14:textId="77777777" w:rsidR="004009FD" w:rsidRPr="007061CD" w:rsidRDefault="004009FD" w:rsidP="007061CD">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061CD">
              <w:rPr>
                <w:rFonts w:cstheme="minorHAnsi"/>
                <w:sz w:val="24"/>
                <w:szCs w:val="24"/>
              </w:rPr>
              <w:t>0.217*** (0.032)</w:t>
            </w:r>
          </w:p>
        </w:tc>
        <w:tc>
          <w:tcPr>
            <w:tcW w:w="1985" w:type="dxa"/>
            <w:tcBorders>
              <w:top w:val="dotted" w:sz="4" w:space="0" w:color="auto"/>
              <w:bottom w:val="dotted" w:sz="4" w:space="0" w:color="auto"/>
              <w:right w:val="nil"/>
            </w:tcBorders>
            <w:vAlign w:val="center"/>
          </w:tcPr>
          <w:p w14:paraId="60FF5755" w14:textId="77777777" w:rsidR="004009FD" w:rsidRPr="007061CD" w:rsidRDefault="004009FD" w:rsidP="007061CD">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061CD">
              <w:rPr>
                <w:rFonts w:cstheme="minorHAnsi"/>
                <w:sz w:val="24"/>
                <w:szCs w:val="24"/>
              </w:rPr>
              <w:t>0.155 – 0.279</w:t>
            </w:r>
          </w:p>
        </w:tc>
        <w:tc>
          <w:tcPr>
            <w:tcW w:w="2966" w:type="dxa"/>
            <w:gridSpan w:val="2"/>
            <w:tcBorders>
              <w:top w:val="dotted" w:sz="4" w:space="0" w:color="auto"/>
              <w:left w:val="nil"/>
              <w:bottom w:val="dotted" w:sz="4" w:space="0" w:color="auto"/>
            </w:tcBorders>
            <w:vAlign w:val="center"/>
          </w:tcPr>
          <w:p w14:paraId="3EC64846" w14:textId="7018142F" w:rsidR="004009FD" w:rsidRPr="007061CD" w:rsidRDefault="00574267" w:rsidP="007061C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7061CD">
              <w:rPr>
                <w:rFonts w:ascii="Calibri" w:hAnsi="Calibri" w:cs="Calibri"/>
                <w:color w:val="000000"/>
                <w:sz w:val="24"/>
                <w:szCs w:val="24"/>
              </w:rPr>
              <w:t>6,373.25</w:t>
            </w:r>
          </w:p>
        </w:tc>
      </w:tr>
      <w:tr w:rsidR="004009FD" w:rsidRPr="007061CD" w14:paraId="019151B6" w14:textId="77777777" w:rsidTr="007061CD">
        <w:tc>
          <w:tcPr>
            <w:cnfStyle w:val="001000000000" w:firstRow="0" w:lastRow="0" w:firstColumn="1" w:lastColumn="0" w:oddVBand="0" w:evenVBand="0" w:oddHBand="0" w:evenHBand="0" w:firstRowFirstColumn="0" w:firstRowLastColumn="0" w:lastRowFirstColumn="0" w:lastRowLastColumn="0"/>
            <w:tcW w:w="2127" w:type="dxa"/>
            <w:tcBorders>
              <w:top w:val="dotted" w:sz="4" w:space="0" w:color="auto"/>
              <w:right w:val="nil"/>
            </w:tcBorders>
          </w:tcPr>
          <w:p w14:paraId="4B38EF6F" w14:textId="77777777" w:rsidR="004009FD" w:rsidRPr="007061CD" w:rsidRDefault="004009FD" w:rsidP="006B61CB">
            <w:pPr>
              <w:spacing w:line="360" w:lineRule="auto"/>
              <w:rPr>
                <w:rFonts w:cstheme="minorHAnsi"/>
                <w:b w:val="0"/>
                <w:sz w:val="24"/>
                <w:szCs w:val="24"/>
              </w:rPr>
            </w:pPr>
            <w:r w:rsidRPr="007061CD">
              <w:rPr>
                <w:rFonts w:cstheme="minorHAnsi"/>
                <w:b w:val="0"/>
                <w:sz w:val="24"/>
                <w:szCs w:val="24"/>
              </w:rPr>
              <w:t>Hedgerows</w:t>
            </w:r>
          </w:p>
        </w:tc>
        <w:tc>
          <w:tcPr>
            <w:tcW w:w="1984" w:type="dxa"/>
            <w:tcBorders>
              <w:top w:val="dotted" w:sz="4" w:space="0" w:color="auto"/>
              <w:left w:val="nil"/>
            </w:tcBorders>
            <w:vAlign w:val="center"/>
          </w:tcPr>
          <w:p w14:paraId="6246413A" w14:textId="5A7B8319" w:rsidR="004009FD" w:rsidRPr="007061CD" w:rsidRDefault="004009FD"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sz w:val="24"/>
                <w:szCs w:val="24"/>
              </w:rPr>
              <w:t>0</w:t>
            </w:r>
            <w:r w:rsidRPr="007061CD">
              <w:rPr>
                <w:rFonts w:cstheme="minorHAnsi"/>
                <w:sz w:val="24"/>
                <w:szCs w:val="24"/>
              </w:rPr>
              <w:t>.074** (0.029)</w:t>
            </w:r>
          </w:p>
        </w:tc>
        <w:tc>
          <w:tcPr>
            <w:tcW w:w="1985" w:type="dxa"/>
            <w:tcBorders>
              <w:top w:val="dotted" w:sz="4" w:space="0" w:color="auto"/>
              <w:right w:val="nil"/>
            </w:tcBorders>
            <w:vAlign w:val="center"/>
          </w:tcPr>
          <w:p w14:paraId="3C4127FC" w14:textId="77777777" w:rsidR="004009FD" w:rsidRPr="007061CD" w:rsidRDefault="004009FD" w:rsidP="007061CD">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061CD">
              <w:rPr>
                <w:rFonts w:cstheme="minorHAnsi"/>
                <w:sz w:val="24"/>
                <w:szCs w:val="24"/>
              </w:rPr>
              <w:t>0.016 – 0.132</w:t>
            </w:r>
          </w:p>
        </w:tc>
        <w:tc>
          <w:tcPr>
            <w:tcW w:w="2966" w:type="dxa"/>
            <w:gridSpan w:val="2"/>
            <w:tcBorders>
              <w:top w:val="dotted" w:sz="4" w:space="0" w:color="auto"/>
              <w:left w:val="nil"/>
            </w:tcBorders>
            <w:vAlign w:val="center"/>
          </w:tcPr>
          <w:p w14:paraId="2AA7C730" w14:textId="3D129E3B" w:rsidR="004009FD" w:rsidRPr="007061CD" w:rsidRDefault="00574267" w:rsidP="007061C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4"/>
                <w:szCs w:val="24"/>
              </w:rPr>
            </w:pPr>
            <w:r w:rsidRPr="007061CD">
              <w:rPr>
                <w:rFonts w:ascii="Calibri" w:hAnsi="Calibri" w:cs="Calibri"/>
                <w:color w:val="000000"/>
                <w:sz w:val="24"/>
                <w:szCs w:val="24"/>
              </w:rPr>
              <w:t>2,173.37</w:t>
            </w:r>
          </w:p>
        </w:tc>
      </w:tr>
      <w:tr w:rsidR="004009FD" w:rsidRPr="007061CD" w14:paraId="6376CA5D" w14:textId="77777777" w:rsidTr="00286EA4">
        <w:trPr>
          <w:cnfStyle w:val="000000100000" w:firstRow="0" w:lastRow="0" w:firstColumn="0" w:lastColumn="0" w:oddVBand="0" w:evenVBand="0" w:oddHBand="1" w:evenHBand="0" w:firstRowFirstColumn="0" w:firstRowLastColumn="0" w:lastRowFirstColumn="0" w:lastRowLastColumn="0"/>
          <w:trHeight w:val="2111"/>
        </w:trPr>
        <w:tc>
          <w:tcPr>
            <w:cnfStyle w:val="001000000000" w:firstRow="0" w:lastRow="0" w:firstColumn="1" w:lastColumn="0" w:oddVBand="0" w:evenVBand="0" w:oddHBand="0" w:evenHBand="0" w:firstRowFirstColumn="0" w:firstRowLastColumn="0" w:lastRowFirstColumn="0" w:lastRowLastColumn="0"/>
            <w:tcW w:w="9062" w:type="dxa"/>
            <w:gridSpan w:val="5"/>
            <w:tcBorders>
              <w:top w:val="single" w:sz="12" w:space="0" w:color="auto"/>
              <w:bottom w:val="nil"/>
            </w:tcBorders>
          </w:tcPr>
          <w:p w14:paraId="3EF85B5B" w14:textId="77777777" w:rsidR="004009FD" w:rsidRPr="00651D74" w:rsidRDefault="004009FD" w:rsidP="00CB1922">
            <w:pPr>
              <w:autoSpaceDE w:val="0"/>
              <w:autoSpaceDN w:val="0"/>
              <w:adjustRightInd w:val="0"/>
              <w:spacing w:line="276" w:lineRule="auto"/>
              <w:rPr>
                <w:rFonts w:cstheme="minorHAnsi"/>
                <w:b w:val="0"/>
                <w:color w:val="000000"/>
                <w:szCs w:val="24"/>
              </w:rPr>
            </w:pPr>
            <w:r w:rsidRPr="006D692F">
              <w:rPr>
                <w:rFonts w:cstheme="minorHAnsi"/>
                <w:b w:val="0"/>
                <w:color w:val="000000"/>
                <w:szCs w:val="24"/>
                <w:vertAlign w:val="superscript"/>
              </w:rPr>
              <w:t xml:space="preserve">a </w:t>
            </w:r>
            <w:r w:rsidRPr="006D692F">
              <w:rPr>
                <w:rFonts w:cstheme="minorHAnsi"/>
                <w:b w:val="0"/>
                <w:color w:val="000000"/>
                <w:szCs w:val="24"/>
              </w:rPr>
              <w:t>Marginal WTP estimates in 2022 euros per kilogram of apple.</w:t>
            </w:r>
            <w:r w:rsidRPr="006D692F">
              <w:rPr>
                <w:rFonts w:cstheme="minorHAnsi"/>
                <w:b w:val="0"/>
                <w:szCs w:val="24"/>
              </w:rPr>
              <w:t xml:space="preserve"> </w:t>
            </w:r>
            <w:r w:rsidRPr="006D692F">
              <w:rPr>
                <w:rFonts w:cstheme="minorHAnsi"/>
                <w:b w:val="0"/>
                <w:color w:val="000000"/>
                <w:szCs w:val="24"/>
              </w:rPr>
              <w:t xml:space="preserve">The confidence intervals were </w:t>
            </w:r>
            <w:r w:rsidRPr="00651D74">
              <w:rPr>
                <w:rFonts w:cstheme="minorHAnsi"/>
                <w:b w:val="0"/>
                <w:color w:val="000000"/>
                <w:szCs w:val="24"/>
              </w:rPr>
              <w:t>estimated using the Krinsky–Robb procedure.</w:t>
            </w:r>
          </w:p>
          <w:p w14:paraId="58D57A4A" w14:textId="388928F1" w:rsidR="004009FD" w:rsidRPr="00651D74" w:rsidRDefault="004009FD" w:rsidP="00CB1922">
            <w:pPr>
              <w:autoSpaceDE w:val="0"/>
              <w:autoSpaceDN w:val="0"/>
              <w:adjustRightInd w:val="0"/>
              <w:spacing w:line="276" w:lineRule="auto"/>
              <w:rPr>
                <w:rFonts w:cstheme="minorHAnsi"/>
                <w:b w:val="0"/>
                <w:color w:val="000000"/>
                <w:szCs w:val="24"/>
              </w:rPr>
            </w:pPr>
            <w:r w:rsidRPr="00651D74">
              <w:rPr>
                <w:rFonts w:cstheme="minorHAnsi"/>
                <w:b w:val="0"/>
                <w:color w:val="000000"/>
                <w:szCs w:val="24"/>
                <w:vertAlign w:val="superscript"/>
              </w:rPr>
              <w:t>b</w:t>
            </w:r>
            <w:r w:rsidRPr="00651D74">
              <w:rPr>
                <w:rFonts w:cstheme="minorHAnsi"/>
                <w:b w:val="0"/>
                <w:color w:val="000000"/>
                <w:szCs w:val="24"/>
              </w:rPr>
              <w:t xml:space="preserve"> </w:t>
            </w:r>
            <w:r w:rsidR="00C024F8" w:rsidRPr="00651D74">
              <w:rPr>
                <w:rFonts w:cstheme="minorHAnsi"/>
                <w:b w:val="0"/>
                <w:color w:val="000000"/>
                <w:szCs w:val="24"/>
              </w:rPr>
              <w:t xml:space="preserve">Annual WTP values are expressed in 2021 euros per ha. These were obtained by converting 2022 euro values to 2021 euros </w:t>
            </w:r>
            <w:r w:rsidR="007B159C" w:rsidRPr="00651D74">
              <w:rPr>
                <w:rFonts w:cstheme="minorHAnsi"/>
                <w:color w:val="000000"/>
                <w:szCs w:val="24"/>
              </w:rPr>
              <w:fldChar w:fldCharType="begin"/>
            </w:r>
            <w:r w:rsidR="005D57A8" w:rsidRPr="00651D74">
              <w:rPr>
                <w:rFonts w:cstheme="minorHAnsi"/>
                <w:b w:val="0"/>
                <w:color w:val="000000"/>
                <w:szCs w:val="24"/>
              </w:rPr>
              <w:instrText xml:space="preserve"> ADDIN ZOTERO_ITEM CSL_CITATION {"citationID":"dyWdJ1BQ","properties":{"formattedCitation":"(The World Bank Group, 2024)","plainCitation":"(The World Bank Group, 2024)","noteIndex":0},"citationItems":[{"id":327,"uris":["http://zotero.org/users/13178736/items/9LFR2QKB"],"itemData":{"id":327,"type":"report","title":"Inflation, GDP deflator (annual %) - Germany. World Bank national accounts data, and OECD National Accounts data files.","URL":"https://data.worldbank.org","author":[{"family":"The World Bank Group","given":""}],"accessed":{"date-parts":[["2024",2,4]]},"issued":{"date-parts":[["2024"]]}}}],"schema":"https://github.com/citation-style-language/schema/raw/master/csl-citation.json"} </w:instrText>
            </w:r>
            <w:r w:rsidR="007B159C" w:rsidRPr="00651D74">
              <w:rPr>
                <w:rFonts w:cstheme="minorHAnsi"/>
                <w:color w:val="000000"/>
                <w:szCs w:val="24"/>
              </w:rPr>
              <w:fldChar w:fldCharType="separate"/>
            </w:r>
            <w:r w:rsidR="005D57A8" w:rsidRPr="00651D74">
              <w:rPr>
                <w:rFonts w:ascii="Calibri" w:hAnsi="Calibri" w:cs="Calibri"/>
                <w:b w:val="0"/>
              </w:rPr>
              <w:t>(The World Bank Group, 2024)</w:t>
            </w:r>
            <w:r w:rsidR="007B159C" w:rsidRPr="00651D74">
              <w:rPr>
                <w:rFonts w:cstheme="minorHAnsi"/>
                <w:color w:val="000000"/>
                <w:szCs w:val="24"/>
              </w:rPr>
              <w:fldChar w:fldCharType="end"/>
            </w:r>
            <w:r w:rsidR="007B159C" w:rsidRPr="00651D74">
              <w:rPr>
                <w:rFonts w:cstheme="minorHAnsi"/>
                <w:b w:val="0"/>
                <w:color w:val="000000"/>
                <w:szCs w:val="24"/>
              </w:rPr>
              <w:t xml:space="preserve"> </w:t>
            </w:r>
            <w:r w:rsidR="00C024F8" w:rsidRPr="00651D74">
              <w:rPr>
                <w:rFonts w:cstheme="minorHAnsi"/>
                <w:b w:val="0"/>
                <w:color w:val="000000"/>
                <w:szCs w:val="24"/>
              </w:rPr>
              <w:t>and subsequently multiplying by the average apple yield in Germany for 2021 (30,200 kg/ha)</w:t>
            </w:r>
            <w:r w:rsidR="003039C0" w:rsidRPr="00651D74">
              <w:rPr>
                <w:rFonts w:cstheme="minorHAnsi"/>
                <w:b w:val="0"/>
                <w:color w:val="000000"/>
                <w:szCs w:val="24"/>
              </w:rPr>
              <w:t xml:space="preserve"> </w:t>
            </w:r>
            <w:r w:rsidR="007240FB" w:rsidRPr="00651D74">
              <w:rPr>
                <w:rFonts w:cstheme="minorHAnsi"/>
                <w:color w:val="000000"/>
                <w:szCs w:val="24"/>
              </w:rPr>
              <w:fldChar w:fldCharType="begin"/>
            </w:r>
            <w:r w:rsidR="005D57A8" w:rsidRPr="00651D74">
              <w:rPr>
                <w:rFonts w:cstheme="minorHAnsi"/>
                <w:b w:val="0"/>
                <w:color w:val="000000"/>
                <w:szCs w:val="24"/>
              </w:rPr>
              <w:instrText xml:space="preserve"> ADDIN ZOTERO_ITEM CSL_CITATION {"citationID":"sXEXy33M","properties":{"formattedCitation":"(KTBL, 2022; Statistisches Bundesamt, 2022)","plainCitation":"(KTBL, 2022; Statistisches Bundesamt, 2022)","noteIndex":0},"citationItems":[{"id":284,"uris":["http://zotero.org/users/13178736/items/7NDGLJEA"],"itemData":{"id":284,"type":"book","edition":"5","event-place":"Darmstadt","publisher":"Kuratorium für Technik und Bauwesen in der Landwirtschaft e.V. (KTBL)","publisher-place":"Darmstadt","title":"Obstbau. Produktionsverfahren planen und kalkulieren","author":[{"family":"KTBL","given":""}],"issued":{"date-parts":[["2022"]]}}},{"id":491,"uris":["http://zotero.org/users/13178736/items/HBQDPRRD"],"itemData":{"id":491,"type":"report","genre":"Pressemitteilung Nr. 012 vom 10. Januar 2022","title":"Apfelernte 2021 auf Vorjahresniveau, Pflaumenernte um 14 % gesunken: Rund 1 Million Tonnen Äpfel wurden 2021 in Deutschland geerntet","URL":"https://www.destatis.de","author":[{"family":"Statistisches Bundesamt","given":""}],"issued":{"date-parts":[["2022"]]}}}],"schema":"https://github.com/citation-style-language/schema/raw/master/csl-citation.json"} </w:instrText>
            </w:r>
            <w:r w:rsidR="007240FB" w:rsidRPr="00651D74">
              <w:rPr>
                <w:rFonts w:cstheme="minorHAnsi"/>
                <w:color w:val="000000"/>
                <w:szCs w:val="24"/>
              </w:rPr>
              <w:fldChar w:fldCharType="separate"/>
            </w:r>
            <w:r w:rsidR="005D57A8" w:rsidRPr="00651D74">
              <w:rPr>
                <w:rFonts w:ascii="Calibri" w:hAnsi="Calibri" w:cs="Calibri"/>
                <w:b w:val="0"/>
              </w:rPr>
              <w:t>(KTBL, 2022; Statistisches Bundesamt, 2022)</w:t>
            </w:r>
            <w:r w:rsidR="007240FB" w:rsidRPr="00651D74">
              <w:rPr>
                <w:rFonts w:cstheme="minorHAnsi"/>
                <w:color w:val="000000"/>
                <w:szCs w:val="24"/>
              </w:rPr>
              <w:fldChar w:fldCharType="end"/>
            </w:r>
            <w:r w:rsidR="00C024F8" w:rsidRPr="00651D74">
              <w:rPr>
                <w:rFonts w:cstheme="minorHAnsi"/>
                <w:b w:val="0"/>
                <w:color w:val="000000"/>
                <w:szCs w:val="24"/>
              </w:rPr>
              <w:t>.</w:t>
            </w:r>
          </w:p>
          <w:p w14:paraId="10C15216" w14:textId="77777777" w:rsidR="004009FD" w:rsidRPr="006D692F" w:rsidRDefault="004009FD" w:rsidP="00CB1922">
            <w:pPr>
              <w:autoSpaceDE w:val="0"/>
              <w:autoSpaceDN w:val="0"/>
              <w:adjustRightInd w:val="0"/>
              <w:spacing w:line="276" w:lineRule="auto"/>
              <w:rPr>
                <w:rFonts w:ascii="Calibri" w:hAnsi="Calibri" w:cs="Calibri"/>
                <w:b w:val="0"/>
                <w:color w:val="000000"/>
                <w:szCs w:val="24"/>
              </w:rPr>
            </w:pPr>
            <w:r w:rsidRPr="00651D74">
              <w:rPr>
                <w:rFonts w:cstheme="minorHAnsi"/>
                <w:b w:val="0"/>
                <w:color w:val="000000"/>
                <w:szCs w:val="24"/>
              </w:rPr>
              <w:t>***, **, *: Significance at 1%, 5%, 10% levels, respectively.</w:t>
            </w:r>
          </w:p>
        </w:tc>
      </w:tr>
    </w:tbl>
    <w:p w14:paraId="291062AF" w14:textId="26AFBC45" w:rsidR="00A83AA1" w:rsidRPr="00A83AA1" w:rsidRDefault="00A83AA1" w:rsidP="00FD0E92">
      <w:pPr>
        <w:spacing w:line="360" w:lineRule="auto"/>
        <w:rPr>
          <w:sz w:val="24"/>
        </w:rPr>
      </w:pPr>
    </w:p>
    <w:p w14:paraId="2982CE60" w14:textId="28EBB287" w:rsidR="00A83AA1" w:rsidRPr="006663BF" w:rsidRDefault="00A83AA1" w:rsidP="00A83AA1">
      <w:pPr>
        <w:spacing w:line="360" w:lineRule="auto"/>
        <w:rPr>
          <w:b/>
          <w:sz w:val="28"/>
          <w:lang w:val="de-DE"/>
        </w:rPr>
      </w:pPr>
      <w:r w:rsidRPr="006663BF">
        <w:rPr>
          <w:b/>
          <w:sz w:val="28"/>
          <w:lang w:val="de-DE"/>
        </w:rPr>
        <w:t>References</w:t>
      </w:r>
    </w:p>
    <w:p w14:paraId="23F0F62A" w14:textId="77777777" w:rsidR="00651D74" w:rsidRPr="001731BE" w:rsidRDefault="005A0F9F" w:rsidP="005138A7">
      <w:pPr>
        <w:pStyle w:val="Bibliography"/>
        <w:spacing w:after="240"/>
        <w:rPr>
          <w:rFonts w:ascii="Calibri" w:hAnsi="Calibri" w:cs="Calibri"/>
        </w:rPr>
      </w:pPr>
      <w:r w:rsidRPr="001731BE">
        <w:fldChar w:fldCharType="begin"/>
      </w:r>
      <w:r w:rsidR="005D57A8" w:rsidRPr="001731BE">
        <w:rPr>
          <w:lang w:val="de-DE"/>
        </w:rPr>
        <w:instrText xml:space="preserve"> ADDIN ZOTERO_BIBL {"uncited":[],"omitted":[],"custom":[]} CSL_BIBLIOGRAPHY </w:instrText>
      </w:r>
      <w:r w:rsidRPr="001731BE">
        <w:fldChar w:fldCharType="separate"/>
      </w:r>
      <w:r w:rsidR="00651D74" w:rsidRPr="001731BE">
        <w:rPr>
          <w:rFonts w:ascii="Calibri" w:hAnsi="Calibri" w:cs="Calibri"/>
          <w:lang w:val="de-DE"/>
        </w:rPr>
        <w:t xml:space="preserve">Albrecht, M., Kleijn, D., Williams, N.M., Tschumi, M., Blaauw, B.R., Bommarco, R., Campbell, A.J., Dainese, M., Drummond, F.A., Entling, M.H., Ganser, D., Arjen De Groot, G., Goulson, D., Grab, H., Hamilton, H., Herzog, F., Isaacs, R., Jacot, K., Jeanneret, P., Jonsson, M., Knop, E., Kremen, C., Landis, D.A., Loeb, G.M., Marini, L., McKerchar, M., Morandin, L., Pfister, S.C., Potts, S.G., Rundlöf, M., Sardiñas, H., Sciligo, A., Thies, C., Tscharntke, T., Venturini, E., Veromann, E., Vollhardt, I.M.G., Wäckers, F., Ward, K., Westbury, D.B., Wilby, A., Woltz, M., Wratten, S., Sutter, L., 2020. </w:t>
      </w:r>
      <w:r w:rsidR="00651D74" w:rsidRPr="001731BE">
        <w:rPr>
          <w:rFonts w:ascii="Calibri" w:hAnsi="Calibri" w:cs="Calibri"/>
        </w:rPr>
        <w:t>The effectiveness of flower strips and hedgerows on pest control, pollination services and crop yield: a quantitative synthesis. Ecology Letters 23, 1488–1498. https://doi.org/10.1111/ele.13576</w:t>
      </w:r>
    </w:p>
    <w:p w14:paraId="6E20625A" w14:textId="77777777" w:rsidR="00651D74" w:rsidRPr="001731BE" w:rsidRDefault="00651D74" w:rsidP="005138A7">
      <w:pPr>
        <w:pStyle w:val="Bibliography"/>
        <w:spacing w:after="240"/>
        <w:rPr>
          <w:rFonts w:ascii="Calibri" w:hAnsi="Calibri" w:cs="Calibri"/>
        </w:rPr>
      </w:pPr>
      <w:r w:rsidRPr="001731BE">
        <w:rPr>
          <w:rFonts w:ascii="Calibri" w:hAnsi="Calibri" w:cs="Calibri"/>
        </w:rPr>
        <w:t>Biffi, S., Chapman, P.J., Grayson, R.P., Ziv, G., 2023. Planting hedgerows: Biomass carbon sequestration and contribution towards net-zero targets. Science of The Total Environment 892, 164482. https://doi.org/10.1016/j.scitotenv.2023.164482</w:t>
      </w:r>
    </w:p>
    <w:p w14:paraId="6B6A0044" w14:textId="77777777" w:rsidR="00651D74" w:rsidRPr="001731BE" w:rsidRDefault="00651D74" w:rsidP="005138A7">
      <w:pPr>
        <w:pStyle w:val="Bibliography"/>
        <w:spacing w:after="240"/>
        <w:rPr>
          <w:rFonts w:ascii="Calibri" w:hAnsi="Calibri" w:cs="Calibri"/>
        </w:rPr>
      </w:pPr>
      <w:r w:rsidRPr="001731BE">
        <w:rPr>
          <w:rFonts w:ascii="Calibri" w:hAnsi="Calibri" w:cs="Calibri"/>
        </w:rPr>
        <w:t>Biffi, S., Chapman, P.J., Grayson, R.P., Ziv, G., 2022. Soil carbon sequestration potential of planting hedgerows in agricultural landscapes. Journal of Environmental Management 307, 114484. https://doi.org/10.1016/j.jenvman.2022.114484</w:t>
      </w:r>
    </w:p>
    <w:p w14:paraId="5C992E5B" w14:textId="77777777" w:rsidR="00651D74" w:rsidRPr="001731BE" w:rsidRDefault="00651D74" w:rsidP="005138A7">
      <w:pPr>
        <w:pStyle w:val="Bibliography"/>
        <w:spacing w:after="240"/>
        <w:rPr>
          <w:rFonts w:ascii="Calibri" w:hAnsi="Calibri" w:cs="Calibri"/>
          <w:lang w:val="de-DE"/>
        </w:rPr>
      </w:pPr>
      <w:r w:rsidRPr="001731BE">
        <w:rPr>
          <w:rFonts w:ascii="Calibri" w:hAnsi="Calibri" w:cs="Calibri"/>
        </w:rPr>
        <w:t xml:space="preserve">BLE, 2024. </w:t>
      </w:r>
      <w:r w:rsidRPr="001731BE">
        <w:rPr>
          <w:rFonts w:ascii="Calibri" w:hAnsi="Calibri" w:cs="Calibri"/>
          <w:lang w:val="de-DE"/>
        </w:rPr>
        <w:t>Preise - Marktbeobachtung von Obst und Gemüse. Bundesanstalt für Landwirtschaft und Ernährung.</w:t>
      </w:r>
    </w:p>
    <w:p w14:paraId="7B944A6C" w14:textId="77777777" w:rsidR="00651D74" w:rsidRPr="001731BE" w:rsidRDefault="00651D74" w:rsidP="005138A7">
      <w:pPr>
        <w:pStyle w:val="Bibliography"/>
        <w:spacing w:after="240"/>
        <w:rPr>
          <w:rFonts w:ascii="Calibri" w:hAnsi="Calibri" w:cs="Calibri"/>
        </w:rPr>
      </w:pPr>
      <w:r w:rsidRPr="001731BE">
        <w:rPr>
          <w:rFonts w:ascii="Calibri" w:hAnsi="Calibri" w:cs="Calibri"/>
          <w:lang w:val="de-DE"/>
        </w:rPr>
        <w:t xml:space="preserve">Cahenzli, F., Sigsgaard, L., Daniel, C., Herz, A., Jamar, L., Kelderer, M., Jacobsen, S.K., Kruczyńska, D., Matray, S., Porcel, M., Sekrecka, M., Świergiel, W., Tasin, M., Telfser, J., Pfiffner, L., 2019. </w:t>
      </w:r>
      <w:r w:rsidRPr="001731BE">
        <w:rPr>
          <w:rFonts w:ascii="Calibri" w:hAnsi="Calibri" w:cs="Calibri"/>
        </w:rPr>
        <w:t>Perennial flower strips for pest control in organic apple orchards - A pan-European study. Agriculture, Ecosystems &amp; Environment 278, 43–53. https://doi.org/10.1016/j.agee.2019.03.011</w:t>
      </w:r>
    </w:p>
    <w:p w14:paraId="02F80A9F" w14:textId="77777777" w:rsidR="00651D74" w:rsidRPr="001731BE" w:rsidRDefault="00651D74" w:rsidP="005138A7">
      <w:pPr>
        <w:pStyle w:val="Bibliography"/>
        <w:spacing w:after="240"/>
        <w:rPr>
          <w:rFonts w:ascii="Calibri" w:hAnsi="Calibri" w:cs="Calibri"/>
        </w:rPr>
      </w:pPr>
      <w:r w:rsidRPr="001731BE">
        <w:rPr>
          <w:rFonts w:ascii="Calibri" w:hAnsi="Calibri" w:cs="Calibri"/>
        </w:rPr>
        <w:t>CBI, C. for the P. of I. from developing countries, 2021. Entering the European market for apples. Ministry of Foreign Affairs.</w:t>
      </w:r>
    </w:p>
    <w:p w14:paraId="00BC3322" w14:textId="77777777" w:rsidR="00651D74" w:rsidRPr="001731BE" w:rsidRDefault="00651D74" w:rsidP="005138A7">
      <w:pPr>
        <w:pStyle w:val="Bibliography"/>
        <w:spacing w:after="240"/>
        <w:rPr>
          <w:rFonts w:ascii="Calibri" w:hAnsi="Calibri" w:cs="Calibri"/>
        </w:rPr>
      </w:pPr>
      <w:r w:rsidRPr="001731BE">
        <w:rPr>
          <w:rFonts w:ascii="Calibri" w:hAnsi="Calibri" w:cs="Calibri"/>
        </w:rPr>
        <w:t>Courson, E., Ricci, B., Muneret, L., Petit, S., 2024. Reducing pest pressure and insecticide use by increasing hedgerows in the landscape. Science of The Total Environment 916, 170182. https://doi.org/10.1016/j.scitotenv.2024.170182</w:t>
      </w:r>
    </w:p>
    <w:p w14:paraId="4F0249C3" w14:textId="77777777" w:rsidR="00651D74" w:rsidRPr="001731BE" w:rsidRDefault="00651D74" w:rsidP="005138A7">
      <w:pPr>
        <w:pStyle w:val="Bibliography"/>
        <w:spacing w:after="240"/>
        <w:rPr>
          <w:rFonts w:ascii="Calibri" w:hAnsi="Calibri" w:cs="Calibri"/>
        </w:rPr>
      </w:pPr>
      <w:r w:rsidRPr="001731BE">
        <w:rPr>
          <w:rFonts w:ascii="Calibri" w:hAnsi="Calibri" w:cs="Calibri"/>
        </w:rPr>
        <w:lastRenderedPageBreak/>
        <w:t>Cross, J., Fountain, M., Markó, V., Nagy, C., 2015. Arthropod ecosystem services in apple orchards and their economic benefits. Ecological Entomology 40, 82–96. https://doi.org/10.1111/een.12234</w:t>
      </w:r>
    </w:p>
    <w:p w14:paraId="25D4A756" w14:textId="77777777" w:rsidR="00651D74" w:rsidRPr="001731BE" w:rsidRDefault="00651D74" w:rsidP="005138A7">
      <w:pPr>
        <w:pStyle w:val="Bibliography"/>
        <w:spacing w:after="240"/>
        <w:rPr>
          <w:rFonts w:ascii="Calibri" w:hAnsi="Calibri" w:cs="Calibri"/>
        </w:rPr>
      </w:pPr>
      <w:r w:rsidRPr="001731BE">
        <w:rPr>
          <w:rFonts w:ascii="Calibri" w:hAnsi="Calibri" w:cs="Calibri"/>
        </w:rPr>
        <w:t>Harbo, L.S., Schulz, G., Heinemann, H., Dechow, R., Poeplau, C., 2023. Flower strips as a carbon sequestration measure in temperate croplands. Plant Soil 482, 647–663. https://doi.org/10.1007/s11104-022-05718-5</w:t>
      </w:r>
    </w:p>
    <w:p w14:paraId="6A244B62" w14:textId="77777777" w:rsidR="00651D74" w:rsidRPr="001731BE" w:rsidRDefault="00651D74" w:rsidP="005138A7">
      <w:pPr>
        <w:pStyle w:val="Bibliography"/>
        <w:spacing w:after="240"/>
        <w:rPr>
          <w:rFonts w:ascii="Calibri" w:hAnsi="Calibri" w:cs="Calibri"/>
        </w:rPr>
      </w:pPr>
      <w:r w:rsidRPr="001731BE">
        <w:rPr>
          <w:rFonts w:ascii="Calibri" w:hAnsi="Calibri" w:cs="Calibri"/>
        </w:rPr>
        <w:t>Hensher, D.A., Rose, J.M., Greene, W.H., 2015. Applied Choice Analysis, 2nd ed. Cambridge University Press. https://doi.org/10.1017/CBO9781316136232</w:t>
      </w:r>
    </w:p>
    <w:p w14:paraId="0D6CD0D6" w14:textId="77777777" w:rsidR="00651D74" w:rsidRPr="001731BE" w:rsidRDefault="00651D74" w:rsidP="005138A7">
      <w:pPr>
        <w:pStyle w:val="Bibliography"/>
        <w:spacing w:after="240"/>
        <w:rPr>
          <w:rFonts w:ascii="Calibri" w:hAnsi="Calibri" w:cs="Calibri"/>
          <w:lang w:val="de-DE"/>
        </w:rPr>
      </w:pPr>
      <w:r w:rsidRPr="001731BE">
        <w:rPr>
          <w:rFonts w:ascii="Calibri" w:hAnsi="Calibri" w:cs="Calibri"/>
        </w:rPr>
        <w:t xml:space="preserve">Howard, C., Burgess, P.J., Fountain, M.T., Brittain, C., Garratt, M.P.D., 2025. Perennial Flower Strips Can Be a Cost‐Effective Tool for Pest Suppression in Orchards. </w:t>
      </w:r>
      <w:r w:rsidRPr="001731BE">
        <w:rPr>
          <w:rFonts w:ascii="Calibri" w:hAnsi="Calibri" w:cs="Calibri"/>
          <w:lang w:val="de-DE"/>
        </w:rPr>
        <w:t>J Agricultural Economics 76, 466–477. https://doi.org/10.1111/1477-9552.12631</w:t>
      </w:r>
    </w:p>
    <w:p w14:paraId="22945A3E" w14:textId="77777777" w:rsidR="00651D74" w:rsidRPr="001731BE" w:rsidRDefault="00651D74" w:rsidP="005138A7">
      <w:pPr>
        <w:pStyle w:val="Bibliography"/>
        <w:spacing w:after="240"/>
        <w:rPr>
          <w:rFonts w:ascii="Calibri" w:hAnsi="Calibri" w:cs="Calibri"/>
          <w:lang w:val="de-DE"/>
        </w:rPr>
      </w:pPr>
      <w:r w:rsidRPr="001731BE">
        <w:rPr>
          <w:rFonts w:ascii="Calibri" w:hAnsi="Calibri" w:cs="Calibri"/>
          <w:lang w:val="de-DE"/>
        </w:rPr>
        <w:t>KTBL, 2022. Obstbau. Produktionsverfahren planen und kalkulieren, 5th ed. Kuratorium für Technik und Bauwesen in der Landwirtschaft e.V. (KTBL), Darmstadt.</w:t>
      </w:r>
    </w:p>
    <w:p w14:paraId="3056AE5A" w14:textId="77777777" w:rsidR="00651D74" w:rsidRPr="001731BE" w:rsidRDefault="00651D74" w:rsidP="005138A7">
      <w:pPr>
        <w:pStyle w:val="Bibliography"/>
        <w:spacing w:after="240"/>
        <w:rPr>
          <w:rFonts w:ascii="Calibri" w:hAnsi="Calibri" w:cs="Calibri"/>
        </w:rPr>
      </w:pPr>
      <w:r w:rsidRPr="001731BE">
        <w:rPr>
          <w:rFonts w:ascii="Calibri" w:hAnsi="Calibri" w:cs="Calibri"/>
        </w:rPr>
        <w:t>Lancaster, K.J., 1966. A New Approach to Consumer Theory. Journal of Political Economy 74, 132–157. https://doi.org/10.1086/259131</w:t>
      </w:r>
    </w:p>
    <w:p w14:paraId="086B8485" w14:textId="77777777" w:rsidR="00651D74" w:rsidRPr="001731BE" w:rsidRDefault="00651D74" w:rsidP="005138A7">
      <w:pPr>
        <w:pStyle w:val="Bibliography"/>
        <w:spacing w:after="240"/>
        <w:rPr>
          <w:rFonts w:ascii="Calibri" w:hAnsi="Calibri" w:cs="Calibri"/>
        </w:rPr>
      </w:pPr>
      <w:r w:rsidRPr="001731BE">
        <w:rPr>
          <w:rFonts w:ascii="Calibri" w:hAnsi="Calibri" w:cs="Calibri"/>
        </w:rPr>
        <w:t>Maalouly, M., Franck, P., Bouvier, J.-C., Toubon, J.-F., Lavigne, C., 2013. Codling moth parasitism is affected by semi-natural habitats and agricultural practices at orchard and landscape levels. Agriculture, Ecosystems &amp; Environment 169, 33–42. https://doi.org/10.1016/j.agee.2013.02.008</w:t>
      </w:r>
    </w:p>
    <w:p w14:paraId="1FC7A348" w14:textId="77777777" w:rsidR="00651D74" w:rsidRPr="001731BE" w:rsidRDefault="00651D74" w:rsidP="005138A7">
      <w:pPr>
        <w:pStyle w:val="Bibliography"/>
        <w:spacing w:after="240"/>
        <w:rPr>
          <w:rFonts w:ascii="Calibri" w:hAnsi="Calibri" w:cs="Calibri"/>
        </w:rPr>
      </w:pPr>
      <w:r w:rsidRPr="001731BE">
        <w:rPr>
          <w:rFonts w:ascii="Calibri" w:hAnsi="Calibri" w:cs="Calibri"/>
        </w:rPr>
        <w:t>McFadden, D., 1974. Conditional logit analysis of qualitative choice behavior, in: Zarembka, P. (Ed.), Frontiers in Econometrics. Academic Press, New York, pp. 105–42.</w:t>
      </w:r>
    </w:p>
    <w:p w14:paraId="48CFC724" w14:textId="77777777" w:rsidR="00651D74" w:rsidRPr="001731BE" w:rsidRDefault="00651D74" w:rsidP="005138A7">
      <w:pPr>
        <w:pStyle w:val="Bibliography"/>
        <w:spacing w:after="240"/>
        <w:rPr>
          <w:rFonts w:ascii="Calibri" w:hAnsi="Calibri" w:cs="Calibri"/>
        </w:rPr>
      </w:pPr>
      <w:r w:rsidRPr="001731BE">
        <w:rPr>
          <w:rFonts w:ascii="Calibri" w:hAnsi="Calibri" w:cs="Calibri"/>
        </w:rPr>
        <w:t>Morandin, L.A., Kremen, C., 2013. Hedgerow restoration promotes pollinator populations and exports native bees to adjacent fields. Ecological Applications 23, 829–839. https://doi.org/10.1890/12-1051.1</w:t>
      </w:r>
    </w:p>
    <w:p w14:paraId="66177C94" w14:textId="77777777" w:rsidR="00651D74" w:rsidRPr="001731BE" w:rsidRDefault="00651D74" w:rsidP="005138A7">
      <w:pPr>
        <w:pStyle w:val="Bibliography"/>
        <w:spacing w:after="240"/>
        <w:rPr>
          <w:rFonts w:ascii="Calibri" w:hAnsi="Calibri" w:cs="Calibri"/>
        </w:rPr>
      </w:pPr>
      <w:r w:rsidRPr="001731BE">
        <w:rPr>
          <w:rFonts w:ascii="Calibri" w:hAnsi="Calibri" w:cs="Calibri"/>
        </w:rPr>
        <w:t>Morandin, L.A., Long, R.F., Kremen, C., 2016. Pest Control and Pollination Cost–Benefit Analysis of Hedgerow Restoration in a Simplified Agricultural Landscape. J Econ Entomol 109, 1020–1027. https://doi.org/10.1093/jee/tow086</w:t>
      </w:r>
    </w:p>
    <w:p w14:paraId="2E132510" w14:textId="77777777" w:rsidR="00651D74" w:rsidRPr="001731BE" w:rsidRDefault="00651D74" w:rsidP="005138A7">
      <w:pPr>
        <w:pStyle w:val="Bibliography"/>
        <w:spacing w:after="240"/>
        <w:rPr>
          <w:rFonts w:ascii="Calibri" w:hAnsi="Calibri" w:cs="Calibri"/>
        </w:rPr>
      </w:pPr>
      <w:r w:rsidRPr="001731BE">
        <w:rPr>
          <w:rFonts w:ascii="Calibri" w:hAnsi="Calibri" w:cs="Calibri"/>
        </w:rPr>
        <w:t>Pfiffner, L., Jamar, L., Cahenzli, F., Korsgaard, M., Świergiel, W., Sigsgaard, L., 2018. Perennial flower strips – a tool for improving pest control in fruit orchards (Technical guide 2018 | No. 1096). FiBL, EcoAdv. DK, UCPH, SLU, CRA-W.</w:t>
      </w:r>
    </w:p>
    <w:p w14:paraId="2F81B4D9" w14:textId="77777777" w:rsidR="00651D74" w:rsidRPr="001731BE" w:rsidRDefault="00651D74" w:rsidP="005138A7">
      <w:pPr>
        <w:pStyle w:val="Bibliography"/>
        <w:spacing w:after="240"/>
        <w:rPr>
          <w:rFonts w:ascii="Calibri" w:hAnsi="Calibri" w:cs="Calibri"/>
        </w:rPr>
      </w:pPr>
      <w:r w:rsidRPr="001731BE">
        <w:rPr>
          <w:rFonts w:ascii="Calibri" w:hAnsi="Calibri" w:cs="Calibri"/>
        </w:rPr>
        <w:t>Statista, 2025. Annual average price of European Union Emissions Trading System (EU ETS) allowances from 2020 to 2024.</w:t>
      </w:r>
    </w:p>
    <w:p w14:paraId="1E03C11A" w14:textId="77777777" w:rsidR="00651D74" w:rsidRPr="001731BE" w:rsidRDefault="00651D74" w:rsidP="005138A7">
      <w:pPr>
        <w:pStyle w:val="Bibliography"/>
        <w:spacing w:after="240"/>
        <w:rPr>
          <w:rFonts w:ascii="Calibri" w:hAnsi="Calibri" w:cs="Calibri"/>
        </w:rPr>
      </w:pPr>
      <w:r w:rsidRPr="001731BE">
        <w:rPr>
          <w:rFonts w:ascii="Calibri" w:hAnsi="Calibri" w:cs="Calibri"/>
          <w:lang w:val="de-DE"/>
        </w:rPr>
        <w:t xml:space="preserve">Statistisches Bundesamt, 2022. Apfelernte 2021 auf Vorjahresniveau, Pflaumenernte um 14 % gesunken: Rund 1 Million Tonnen Äpfel wurden 2021 in Deutschland geerntet (Pressemitteilung Nr. 012 vom 10. </w:t>
      </w:r>
      <w:r w:rsidRPr="001731BE">
        <w:rPr>
          <w:rFonts w:ascii="Calibri" w:hAnsi="Calibri" w:cs="Calibri"/>
        </w:rPr>
        <w:t>Januar 2022).</w:t>
      </w:r>
    </w:p>
    <w:p w14:paraId="1113B4E0" w14:textId="77777777" w:rsidR="00651D74" w:rsidRPr="001731BE" w:rsidRDefault="00651D74" w:rsidP="005138A7">
      <w:pPr>
        <w:pStyle w:val="Bibliography"/>
        <w:spacing w:after="240"/>
        <w:rPr>
          <w:rFonts w:ascii="Calibri" w:hAnsi="Calibri" w:cs="Calibri"/>
        </w:rPr>
      </w:pPr>
      <w:r w:rsidRPr="001731BE">
        <w:rPr>
          <w:rFonts w:ascii="Calibri" w:hAnsi="Calibri" w:cs="Calibri"/>
        </w:rPr>
        <w:t>Sutter, L., Albrecht, M., Jeanneret, P., 2018. Landscape greening and local creation of wildflower strips and hedgerows promote multiple ecosystem services. Journal of Applied Ecology 55, 612–620. https://doi.org/10.1111/1365-2664.12977</w:t>
      </w:r>
    </w:p>
    <w:p w14:paraId="3C0EB238" w14:textId="77777777" w:rsidR="00651D74" w:rsidRPr="001731BE" w:rsidRDefault="00651D74" w:rsidP="005138A7">
      <w:pPr>
        <w:pStyle w:val="Bibliography"/>
        <w:spacing w:after="240"/>
        <w:rPr>
          <w:rFonts w:ascii="Calibri" w:hAnsi="Calibri" w:cs="Calibri"/>
        </w:rPr>
      </w:pPr>
      <w:r w:rsidRPr="001731BE">
        <w:rPr>
          <w:rFonts w:ascii="Calibri" w:hAnsi="Calibri" w:cs="Calibri"/>
        </w:rPr>
        <w:t>The World Bank Group, 2024. Inflation, GDP deflator (annual %) - Germany. World Bank national accounts data, and OECD National Accounts data files.</w:t>
      </w:r>
    </w:p>
    <w:p w14:paraId="1AD7D4B4" w14:textId="77777777" w:rsidR="00651D74" w:rsidRPr="001731BE" w:rsidRDefault="00651D74" w:rsidP="005138A7">
      <w:pPr>
        <w:pStyle w:val="Bibliography"/>
        <w:spacing w:after="240"/>
        <w:rPr>
          <w:rFonts w:ascii="Calibri" w:hAnsi="Calibri" w:cs="Calibri"/>
        </w:rPr>
      </w:pPr>
      <w:r w:rsidRPr="001731BE">
        <w:rPr>
          <w:rFonts w:ascii="Calibri" w:hAnsi="Calibri" w:cs="Calibri"/>
        </w:rPr>
        <w:lastRenderedPageBreak/>
        <w:t>Train, K.E., 2009. Discrete Choice Methods with Simulation, 2nd ed. Cambridge University Press. https://doi.org/10.1017/CBO9780511805271</w:t>
      </w:r>
    </w:p>
    <w:p w14:paraId="6507C65E" w14:textId="77777777" w:rsidR="00651D74" w:rsidRPr="001731BE" w:rsidRDefault="00651D74" w:rsidP="005138A7">
      <w:pPr>
        <w:pStyle w:val="Bibliography"/>
        <w:spacing w:after="240"/>
        <w:rPr>
          <w:rFonts w:ascii="Calibri" w:hAnsi="Calibri" w:cs="Calibri"/>
        </w:rPr>
      </w:pPr>
      <w:r w:rsidRPr="001731BE">
        <w:rPr>
          <w:rFonts w:ascii="Calibri" w:hAnsi="Calibri" w:cs="Calibri"/>
        </w:rPr>
        <w:t>Uyttenbroeck, R., Hatt, S., Paul, A., Boeraeve, F., Piqueray, J., Francis, F., Danthine, S., Frédérich, M., Dufrêne, M., Bodson, B., Monty, A., 2016. Pros and cons of flowers strips for farmers. A review. Biotechnol. Agron. Soc. Environ. 225–235. https://doi.org/10.25518/1780-4507.12961</w:t>
      </w:r>
    </w:p>
    <w:p w14:paraId="752CBE94" w14:textId="10E11A55" w:rsidR="00A83AA1" w:rsidRPr="00A83AA1" w:rsidRDefault="005A0F9F" w:rsidP="005138A7">
      <w:pPr>
        <w:spacing w:after="240" w:line="360" w:lineRule="auto"/>
        <w:rPr>
          <w:sz w:val="24"/>
        </w:rPr>
      </w:pPr>
      <w:r w:rsidRPr="001731BE">
        <w:fldChar w:fldCharType="end"/>
      </w:r>
    </w:p>
    <w:sectPr w:rsidR="00A83AA1" w:rsidRPr="00A83AA1" w:rsidSect="003F56E8">
      <w:footerReference w:type="default" r:id="rId9"/>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AC2476" w14:textId="77777777" w:rsidR="00BB671E" w:rsidRDefault="00BB671E" w:rsidP="003F56E8">
      <w:pPr>
        <w:spacing w:after="0" w:line="240" w:lineRule="auto"/>
      </w:pPr>
      <w:r>
        <w:separator/>
      </w:r>
    </w:p>
  </w:endnote>
  <w:endnote w:type="continuationSeparator" w:id="0">
    <w:p w14:paraId="6D11108C" w14:textId="77777777" w:rsidR="00BB671E" w:rsidRDefault="00BB671E" w:rsidP="003F5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3260772"/>
      <w:docPartObj>
        <w:docPartGallery w:val="Page Numbers (Bottom of Page)"/>
        <w:docPartUnique/>
      </w:docPartObj>
    </w:sdtPr>
    <w:sdtEndPr>
      <w:rPr>
        <w:noProof/>
      </w:rPr>
    </w:sdtEndPr>
    <w:sdtContent>
      <w:p w14:paraId="71DED122" w14:textId="696DA87A" w:rsidR="006576C6" w:rsidRDefault="006576C6">
        <w:pPr>
          <w:pStyle w:val="Footer"/>
          <w:jc w:val="right"/>
        </w:pPr>
        <w:r>
          <w:fldChar w:fldCharType="begin"/>
        </w:r>
        <w:r>
          <w:instrText xml:space="preserve"> PAGE   \* MERGEFORMAT </w:instrText>
        </w:r>
        <w:r>
          <w:fldChar w:fldCharType="separate"/>
        </w:r>
        <w:r w:rsidR="00C160D1">
          <w:rPr>
            <w:noProof/>
          </w:rPr>
          <w:t>1</w:t>
        </w:r>
        <w:r>
          <w:rPr>
            <w:noProof/>
          </w:rPr>
          <w:fldChar w:fldCharType="end"/>
        </w:r>
      </w:p>
    </w:sdtContent>
  </w:sdt>
  <w:p w14:paraId="0C09F479" w14:textId="77777777" w:rsidR="006576C6" w:rsidRDefault="006576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C90FB0" w14:textId="77777777" w:rsidR="00BB671E" w:rsidRDefault="00BB671E" w:rsidP="003F56E8">
      <w:pPr>
        <w:spacing w:after="0" w:line="240" w:lineRule="auto"/>
      </w:pPr>
      <w:r>
        <w:separator/>
      </w:r>
    </w:p>
  </w:footnote>
  <w:footnote w:type="continuationSeparator" w:id="0">
    <w:p w14:paraId="241853C1" w14:textId="77777777" w:rsidR="00BB671E" w:rsidRDefault="00BB671E" w:rsidP="003F56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AB5E45E"/>
    <w:multiLevelType w:val="hybridMultilevel"/>
    <w:tmpl w:val="0A088D7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173A03"/>
    <w:multiLevelType w:val="hybridMultilevel"/>
    <w:tmpl w:val="ABBCE0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4D167C8"/>
    <w:multiLevelType w:val="hybridMultilevel"/>
    <w:tmpl w:val="BAF60F80"/>
    <w:lvl w:ilvl="0" w:tplc="121C3F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114D08"/>
    <w:multiLevelType w:val="hybridMultilevel"/>
    <w:tmpl w:val="AEA0C118"/>
    <w:lvl w:ilvl="0" w:tplc="0407000B">
      <w:start w:val="1"/>
      <w:numFmt w:val="bullet"/>
      <w:lvlText w:val=""/>
      <w:lvlJc w:val="left"/>
      <w:pPr>
        <w:ind w:left="720" w:hanging="360"/>
      </w:pPr>
      <w:rPr>
        <w:rFonts w:ascii="Wingdings" w:hAnsi="Wingding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031587B"/>
    <w:multiLevelType w:val="hybridMultilevel"/>
    <w:tmpl w:val="52CCCC78"/>
    <w:lvl w:ilvl="0" w:tplc="064620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4619F9"/>
    <w:multiLevelType w:val="hybridMultilevel"/>
    <w:tmpl w:val="14B60460"/>
    <w:lvl w:ilvl="0" w:tplc="6E869A1E">
      <w:start w:val="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9ED4295"/>
    <w:multiLevelType w:val="hybridMultilevel"/>
    <w:tmpl w:val="D4FEBAFA"/>
    <w:lvl w:ilvl="0" w:tplc="2D404B1A">
      <w:start w:val="1"/>
      <w:numFmt w:val="bullet"/>
      <w:lvlText w:val="o"/>
      <w:lvlJc w:val="left"/>
      <w:pPr>
        <w:ind w:left="720" w:hanging="360"/>
      </w:pPr>
      <w:rPr>
        <w:rFonts w:ascii="Courier New" w:hAnsi="Courier New" w:cs="Courier New" w:hint="default"/>
        <w:sz w:val="5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EA4B69"/>
    <w:multiLevelType w:val="hybridMultilevel"/>
    <w:tmpl w:val="E3444AF4"/>
    <w:lvl w:ilvl="0" w:tplc="A82C35CA">
      <w:start w:val="99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B20179"/>
    <w:multiLevelType w:val="hybridMultilevel"/>
    <w:tmpl w:val="581801B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 w15:restartNumberingAfterBreak="0">
    <w:nsid w:val="212F3D9F"/>
    <w:multiLevelType w:val="hybridMultilevel"/>
    <w:tmpl w:val="91505266"/>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556235"/>
    <w:multiLevelType w:val="hybridMultilevel"/>
    <w:tmpl w:val="8C90EDE2"/>
    <w:lvl w:ilvl="0" w:tplc="D6622F8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7C1F9F"/>
    <w:multiLevelType w:val="hybridMultilevel"/>
    <w:tmpl w:val="90CEAE42"/>
    <w:lvl w:ilvl="0" w:tplc="121C3FF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69D178D"/>
    <w:multiLevelType w:val="hybridMultilevel"/>
    <w:tmpl w:val="17187B16"/>
    <w:lvl w:ilvl="0" w:tplc="840AF21E">
      <w:start w:val="1"/>
      <w:numFmt w:val="bullet"/>
      <w:lvlText w:val="o"/>
      <w:lvlJc w:val="left"/>
      <w:pPr>
        <w:ind w:left="720" w:hanging="360"/>
      </w:pPr>
      <w:rPr>
        <w:rFonts w:ascii="Courier New" w:hAnsi="Courier New" w:hint="default"/>
        <w:sz w:val="4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B94B5C"/>
    <w:multiLevelType w:val="hybridMultilevel"/>
    <w:tmpl w:val="71402D5E"/>
    <w:lvl w:ilvl="0" w:tplc="0407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0463385"/>
    <w:multiLevelType w:val="hybridMultilevel"/>
    <w:tmpl w:val="54E2CF86"/>
    <w:lvl w:ilvl="0" w:tplc="ADCA98D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A15857"/>
    <w:multiLevelType w:val="hybridMultilevel"/>
    <w:tmpl w:val="2AAEC078"/>
    <w:lvl w:ilvl="0" w:tplc="FEDE27EE">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7E20E7"/>
    <w:multiLevelType w:val="hybridMultilevel"/>
    <w:tmpl w:val="BEFEC020"/>
    <w:lvl w:ilvl="0" w:tplc="4F1E934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FC6FF9"/>
    <w:multiLevelType w:val="hybridMultilevel"/>
    <w:tmpl w:val="0EA652AC"/>
    <w:lvl w:ilvl="0" w:tplc="877AE3D6">
      <w:start w:val="16"/>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BA5957"/>
    <w:multiLevelType w:val="hybridMultilevel"/>
    <w:tmpl w:val="0AF243C2"/>
    <w:lvl w:ilvl="0" w:tplc="E9EA684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F92698"/>
    <w:multiLevelType w:val="hybridMultilevel"/>
    <w:tmpl w:val="99EA2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F03918"/>
    <w:multiLevelType w:val="hybridMultilevel"/>
    <w:tmpl w:val="404062E8"/>
    <w:lvl w:ilvl="0" w:tplc="121C3FF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C8A334E"/>
    <w:multiLevelType w:val="hybridMultilevel"/>
    <w:tmpl w:val="D786A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3F8C0D5F"/>
    <w:multiLevelType w:val="hybridMultilevel"/>
    <w:tmpl w:val="735C1C0C"/>
    <w:lvl w:ilvl="0" w:tplc="D6622F8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406644E"/>
    <w:multiLevelType w:val="hybridMultilevel"/>
    <w:tmpl w:val="82046DD6"/>
    <w:lvl w:ilvl="0" w:tplc="02FE2CE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834D6"/>
    <w:multiLevelType w:val="hybridMultilevel"/>
    <w:tmpl w:val="577CAD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45103F65"/>
    <w:multiLevelType w:val="hybridMultilevel"/>
    <w:tmpl w:val="8E864E5C"/>
    <w:lvl w:ilvl="0" w:tplc="2D404B1A">
      <w:start w:val="1"/>
      <w:numFmt w:val="bullet"/>
      <w:lvlText w:val="o"/>
      <w:lvlJc w:val="left"/>
      <w:pPr>
        <w:ind w:left="720" w:hanging="360"/>
      </w:pPr>
      <w:rPr>
        <w:rFonts w:ascii="Courier New" w:hAnsi="Courier New" w:cs="Courier New" w:hint="default"/>
        <w:sz w:val="5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525D5C"/>
    <w:multiLevelType w:val="hybridMultilevel"/>
    <w:tmpl w:val="C6960480"/>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B76DEB"/>
    <w:multiLevelType w:val="hybridMultilevel"/>
    <w:tmpl w:val="0C8EDDC8"/>
    <w:lvl w:ilvl="0" w:tplc="41222C34">
      <w:numFmt w:val="bullet"/>
      <w:lvlText w:val="-"/>
      <w:lvlJc w:val="left"/>
      <w:pPr>
        <w:ind w:left="720" w:hanging="360"/>
      </w:pPr>
      <w:rPr>
        <w:rFonts w:ascii="Calibri" w:eastAsiaTheme="minorHAnsi" w:hAnsi="Calibri" w:cs="Calibri"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4E3D4F"/>
    <w:multiLevelType w:val="hybridMultilevel"/>
    <w:tmpl w:val="6D664D26"/>
    <w:lvl w:ilvl="0" w:tplc="121C3F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B762E7"/>
    <w:multiLevelType w:val="hybridMultilevel"/>
    <w:tmpl w:val="E61EBDDA"/>
    <w:lvl w:ilvl="0" w:tplc="AEE8A3A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09E7809"/>
    <w:multiLevelType w:val="hybridMultilevel"/>
    <w:tmpl w:val="9BC42894"/>
    <w:lvl w:ilvl="0" w:tplc="121C3FFC">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9BC5ADB"/>
    <w:multiLevelType w:val="hybridMultilevel"/>
    <w:tmpl w:val="CD5E4B14"/>
    <w:lvl w:ilvl="0" w:tplc="77929C6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5BA81732"/>
    <w:multiLevelType w:val="hybridMultilevel"/>
    <w:tmpl w:val="F1F6F59A"/>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0F13F6B"/>
    <w:multiLevelType w:val="hybridMultilevel"/>
    <w:tmpl w:val="6E0A13F2"/>
    <w:lvl w:ilvl="0" w:tplc="0407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40D2550"/>
    <w:multiLevelType w:val="hybridMultilevel"/>
    <w:tmpl w:val="5D8E9046"/>
    <w:lvl w:ilvl="0" w:tplc="0407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AB68D7"/>
    <w:multiLevelType w:val="hybridMultilevel"/>
    <w:tmpl w:val="7576BF62"/>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FFF55C5"/>
    <w:multiLevelType w:val="hybridMultilevel"/>
    <w:tmpl w:val="B54E1498"/>
    <w:lvl w:ilvl="0" w:tplc="0407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F73603"/>
    <w:multiLevelType w:val="hybridMultilevel"/>
    <w:tmpl w:val="9E4651A0"/>
    <w:lvl w:ilvl="0" w:tplc="121C3F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8E4121"/>
    <w:multiLevelType w:val="hybridMultilevel"/>
    <w:tmpl w:val="85F8DB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7A88779B"/>
    <w:multiLevelType w:val="hybridMultilevel"/>
    <w:tmpl w:val="835CCEDA"/>
    <w:lvl w:ilvl="0" w:tplc="D6622F8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774E44"/>
    <w:multiLevelType w:val="hybridMultilevel"/>
    <w:tmpl w:val="31BA3A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0"/>
  </w:num>
  <w:num w:numId="4">
    <w:abstractNumId w:val="33"/>
  </w:num>
  <w:num w:numId="5">
    <w:abstractNumId w:val="15"/>
  </w:num>
  <w:num w:numId="6">
    <w:abstractNumId w:val="1"/>
  </w:num>
  <w:num w:numId="7">
    <w:abstractNumId w:val="4"/>
  </w:num>
  <w:num w:numId="8">
    <w:abstractNumId w:val="31"/>
  </w:num>
  <w:num w:numId="9">
    <w:abstractNumId w:val="16"/>
  </w:num>
  <w:num w:numId="10">
    <w:abstractNumId w:val="0"/>
  </w:num>
  <w:num w:numId="11">
    <w:abstractNumId w:val="34"/>
  </w:num>
  <w:num w:numId="12">
    <w:abstractNumId w:val="17"/>
  </w:num>
  <w:num w:numId="13">
    <w:abstractNumId w:val="29"/>
  </w:num>
  <w:num w:numId="14">
    <w:abstractNumId w:val="14"/>
  </w:num>
  <w:num w:numId="15">
    <w:abstractNumId w:val="27"/>
  </w:num>
  <w:num w:numId="16">
    <w:abstractNumId w:val="18"/>
  </w:num>
  <w:num w:numId="17">
    <w:abstractNumId w:val="19"/>
  </w:num>
  <w:num w:numId="18">
    <w:abstractNumId w:val="23"/>
  </w:num>
  <w:num w:numId="19">
    <w:abstractNumId w:val="32"/>
  </w:num>
  <w:num w:numId="20">
    <w:abstractNumId w:val="9"/>
  </w:num>
  <w:num w:numId="21">
    <w:abstractNumId w:val="11"/>
  </w:num>
  <w:num w:numId="22">
    <w:abstractNumId w:val="22"/>
  </w:num>
  <w:num w:numId="23">
    <w:abstractNumId w:val="39"/>
  </w:num>
  <w:num w:numId="24">
    <w:abstractNumId w:val="10"/>
  </w:num>
  <w:num w:numId="25">
    <w:abstractNumId w:val="2"/>
  </w:num>
  <w:num w:numId="26">
    <w:abstractNumId w:val="30"/>
  </w:num>
  <w:num w:numId="27">
    <w:abstractNumId w:val="28"/>
  </w:num>
  <w:num w:numId="28">
    <w:abstractNumId w:val="37"/>
  </w:num>
  <w:num w:numId="29">
    <w:abstractNumId w:val="7"/>
  </w:num>
  <w:num w:numId="30">
    <w:abstractNumId w:val="13"/>
  </w:num>
  <w:num w:numId="31">
    <w:abstractNumId w:val="36"/>
  </w:num>
  <w:num w:numId="32">
    <w:abstractNumId w:val="35"/>
  </w:num>
  <w:num w:numId="33">
    <w:abstractNumId w:val="12"/>
  </w:num>
  <w:num w:numId="34">
    <w:abstractNumId w:val="6"/>
  </w:num>
  <w:num w:numId="35">
    <w:abstractNumId w:val="25"/>
  </w:num>
  <w:num w:numId="36">
    <w:abstractNumId w:val="26"/>
  </w:num>
  <w:num w:numId="37">
    <w:abstractNumId w:val="21"/>
  </w:num>
  <w:num w:numId="38">
    <w:abstractNumId w:val="24"/>
  </w:num>
  <w:num w:numId="39">
    <w:abstractNumId w:val="40"/>
  </w:num>
  <w:num w:numId="40">
    <w:abstractNumId w:val="38"/>
  </w:num>
  <w:num w:numId="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977"/>
    <w:rsid w:val="000051D7"/>
    <w:rsid w:val="00005B0F"/>
    <w:rsid w:val="0003039E"/>
    <w:rsid w:val="00043C2A"/>
    <w:rsid w:val="00051CA7"/>
    <w:rsid w:val="00063548"/>
    <w:rsid w:val="000670A1"/>
    <w:rsid w:val="00070321"/>
    <w:rsid w:val="00072110"/>
    <w:rsid w:val="00074760"/>
    <w:rsid w:val="000959CD"/>
    <w:rsid w:val="000A2F73"/>
    <w:rsid w:val="000D1B33"/>
    <w:rsid w:val="000E38FC"/>
    <w:rsid w:val="00103342"/>
    <w:rsid w:val="001057AB"/>
    <w:rsid w:val="001234AC"/>
    <w:rsid w:val="00123986"/>
    <w:rsid w:val="00125166"/>
    <w:rsid w:val="00140182"/>
    <w:rsid w:val="0014530F"/>
    <w:rsid w:val="001731BE"/>
    <w:rsid w:val="0018152E"/>
    <w:rsid w:val="001906BB"/>
    <w:rsid w:val="00194194"/>
    <w:rsid w:val="001B0F6B"/>
    <w:rsid w:val="001B2D62"/>
    <w:rsid w:val="001C2732"/>
    <w:rsid w:val="001D02AB"/>
    <w:rsid w:val="001D0318"/>
    <w:rsid w:val="001D3F9D"/>
    <w:rsid w:val="001D754A"/>
    <w:rsid w:val="001E1698"/>
    <w:rsid w:val="00205C5B"/>
    <w:rsid w:val="002149CD"/>
    <w:rsid w:val="002154DE"/>
    <w:rsid w:val="002218AD"/>
    <w:rsid w:val="0022509D"/>
    <w:rsid w:val="002344A7"/>
    <w:rsid w:val="00243370"/>
    <w:rsid w:val="00247CB9"/>
    <w:rsid w:val="00250285"/>
    <w:rsid w:val="002553A9"/>
    <w:rsid w:val="00270290"/>
    <w:rsid w:val="00275691"/>
    <w:rsid w:val="00284903"/>
    <w:rsid w:val="00286EA4"/>
    <w:rsid w:val="00296F17"/>
    <w:rsid w:val="002A1CFF"/>
    <w:rsid w:val="002B32B5"/>
    <w:rsid w:val="002B5C9E"/>
    <w:rsid w:val="002D3373"/>
    <w:rsid w:val="002D6E24"/>
    <w:rsid w:val="002E1DF2"/>
    <w:rsid w:val="002E65EA"/>
    <w:rsid w:val="002F3384"/>
    <w:rsid w:val="0030083A"/>
    <w:rsid w:val="003039C0"/>
    <w:rsid w:val="003117C6"/>
    <w:rsid w:val="0031746C"/>
    <w:rsid w:val="0032444F"/>
    <w:rsid w:val="003460E4"/>
    <w:rsid w:val="00347C6A"/>
    <w:rsid w:val="00353DC0"/>
    <w:rsid w:val="00364A47"/>
    <w:rsid w:val="0037719A"/>
    <w:rsid w:val="0038321B"/>
    <w:rsid w:val="0038522A"/>
    <w:rsid w:val="00393EE3"/>
    <w:rsid w:val="003952A2"/>
    <w:rsid w:val="003A6B25"/>
    <w:rsid w:val="003B4FC5"/>
    <w:rsid w:val="003B7F30"/>
    <w:rsid w:val="003C3BC3"/>
    <w:rsid w:val="003C3FC5"/>
    <w:rsid w:val="003C665C"/>
    <w:rsid w:val="003F5039"/>
    <w:rsid w:val="003F56E8"/>
    <w:rsid w:val="003F6251"/>
    <w:rsid w:val="004009FD"/>
    <w:rsid w:val="00403760"/>
    <w:rsid w:val="00407134"/>
    <w:rsid w:val="00416BE9"/>
    <w:rsid w:val="00441023"/>
    <w:rsid w:val="00446E29"/>
    <w:rsid w:val="0044758E"/>
    <w:rsid w:val="00461B27"/>
    <w:rsid w:val="00465647"/>
    <w:rsid w:val="00476242"/>
    <w:rsid w:val="0048281D"/>
    <w:rsid w:val="004830BC"/>
    <w:rsid w:val="004A29A6"/>
    <w:rsid w:val="004B1214"/>
    <w:rsid w:val="004C0A67"/>
    <w:rsid w:val="004C1175"/>
    <w:rsid w:val="004C1FB1"/>
    <w:rsid w:val="004C2754"/>
    <w:rsid w:val="004D7323"/>
    <w:rsid w:val="004E0D48"/>
    <w:rsid w:val="004E616F"/>
    <w:rsid w:val="004F1B68"/>
    <w:rsid w:val="00501D0C"/>
    <w:rsid w:val="00502181"/>
    <w:rsid w:val="00511E46"/>
    <w:rsid w:val="0051282E"/>
    <w:rsid w:val="005138A7"/>
    <w:rsid w:val="00516C7E"/>
    <w:rsid w:val="00520896"/>
    <w:rsid w:val="00557450"/>
    <w:rsid w:val="00563D92"/>
    <w:rsid w:val="00574267"/>
    <w:rsid w:val="0057461A"/>
    <w:rsid w:val="005752AB"/>
    <w:rsid w:val="005A0F9F"/>
    <w:rsid w:val="005A3E09"/>
    <w:rsid w:val="005A6C67"/>
    <w:rsid w:val="005C46FD"/>
    <w:rsid w:val="005C5318"/>
    <w:rsid w:val="005C68A7"/>
    <w:rsid w:val="005D57A8"/>
    <w:rsid w:val="005E405E"/>
    <w:rsid w:val="005E44BE"/>
    <w:rsid w:val="00604782"/>
    <w:rsid w:val="0060545F"/>
    <w:rsid w:val="006209EA"/>
    <w:rsid w:val="00625E1E"/>
    <w:rsid w:val="00631663"/>
    <w:rsid w:val="00641135"/>
    <w:rsid w:val="00642DAC"/>
    <w:rsid w:val="00651D74"/>
    <w:rsid w:val="00653DB7"/>
    <w:rsid w:val="006576C6"/>
    <w:rsid w:val="00657770"/>
    <w:rsid w:val="00661F9F"/>
    <w:rsid w:val="006663BF"/>
    <w:rsid w:val="00676BC9"/>
    <w:rsid w:val="0068684F"/>
    <w:rsid w:val="006B4D43"/>
    <w:rsid w:val="006B5491"/>
    <w:rsid w:val="006B61CB"/>
    <w:rsid w:val="006B7235"/>
    <w:rsid w:val="006C0F4E"/>
    <w:rsid w:val="006C50C0"/>
    <w:rsid w:val="006D41A8"/>
    <w:rsid w:val="006D692F"/>
    <w:rsid w:val="006E0B7F"/>
    <w:rsid w:val="006E6059"/>
    <w:rsid w:val="007061CD"/>
    <w:rsid w:val="0070685A"/>
    <w:rsid w:val="0071242E"/>
    <w:rsid w:val="00716D4E"/>
    <w:rsid w:val="007240FB"/>
    <w:rsid w:val="0073549F"/>
    <w:rsid w:val="00737EC1"/>
    <w:rsid w:val="00750638"/>
    <w:rsid w:val="00762CB2"/>
    <w:rsid w:val="0077148F"/>
    <w:rsid w:val="007731CF"/>
    <w:rsid w:val="007A03CF"/>
    <w:rsid w:val="007A35EB"/>
    <w:rsid w:val="007B159C"/>
    <w:rsid w:val="007B1724"/>
    <w:rsid w:val="007C75CB"/>
    <w:rsid w:val="007D3403"/>
    <w:rsid w:val="007D5C3E"/>
    <w:rsid w:val="007E5096"/>
    <w:rsid w:val="007E6465"/>
    <w:rsid w:val="008112E6"/>
    <w:rsid w:val="0083630F"/>
    <w:rsid w:val="0083678F"/>
    <w:rsid w:val="00842E6E"/>
    <w:rsid w:val="008464E7"/>
    <w:rsid w:val="0086526D"/>
    <w:rsid w:val="008711EC"/>
    <w:rsid w:val="008717C6"/>
    <w:rsid w:val="0087233F"/>
    <w:rsid w:val="0087370E"/>
    <w:rsid w:val="00882B78"/>
    <w:rsid w:val="008D5BB1"/>
    <w:rsid w:val="008E3C8A"/>
    <w:rsid w:val="009069CD"/>
    <w:rsid w:val="009108B4"/>
    <w:rsid w:val="00911DE6"/>
    <w:rsid w:val="0091269A"/>
    <w:rsid w:val="00917DD7"/>
    <w:rsid w:val="00922277"/>
    <w:rsid w:val="00934EE5"/>
    <w:rsid w:val="00937540"/>
    <w:rsid w:val="009408CE"/>
    <w:rsid w:val="00952786"/>
    <w:rsid w:val="00954A25"/>
    <w:rsid w:val="00960458"/>
    <w:rsid w:val="00960F28"/>
    <w:rsid w:val="0096474B"/>
    <w:rsid w:val="00984424"/>
    <w:rsid w:val="009A6180"/>
    <w:rsid w:val="009E518F"/>
    <w:rsid w:val="009E535C"/>
    <w:rsid w:val="009F6DC7"/>
    <w:rsid w:val="00A179E4"/>
    <w:rsid w:val="00A23451"/>
    <w:rsid w:val="00A27174"/>
    <w:rsid w:val="00A356A7"/>
    <w:rsid w:val="00A363E3"/>
    <w:rsid w:val="00A45A32"/>
    <w:rsid w:val="00A50BE4"/>
    <w:rsid w:val="00A521D9"/>
    <w:rsid w:val="00A67ACF"/>
    <w:rsid w:val="00A72E28"/>
    <w:rsid w:val="00A737C5"/>
    <w:rsid w:val="00A81869"/>
    <w:rsid w:val="00A81CBC"/>
    <w:rsid w:val="00A83AA1"/>
    <w:rsid w:val="00A83CD8"/>
    <w:rsid w:val="00A85C82"/>
    <w:rsid w:val="00A8784B"/>
    <w:rsid w:val="00A9074A"/>
    <w:rsid w:val="00A94FBA"/>
    <w:rsid w:val="00AA537B"/>
    <w:rsid w:val="00AC5757"/>
    <w:rsid w:val="00AD28CD"/>
    <w:rsid w:val="00AD4694"/>
    <w:rsid w:val="00AE10E4"/>
    <w:rsid w:val="00AE1E94"/>
    <w:rsid w:val="00AF1777"/>
    <w:rsid w:val="00AF3098"/>
    <w:rsid w:val="00AF4BE3"/>
    <w:rsid w:val="00B11018"/>
    <w:rsid w:val="00B13F4D"/>
    <w:rsid w:val="00B228D1"/>
    <w:rsid w:val="00B32C45"/>
    <w:rsid w:val="00B33717"/>
    <w:rsid w:val="00B467F2"/>
    <w:rsid w:val="00B7147E"/>
    <w:rsid w:val="00B96842"/>
    <w:rsid w:val="00BA1932"/>
    <w:rsid w:val="00BA2AC2"/>
    <w:rsid w:val="00BA7672"/>
    <w:rsid w:val="00BB304A"/>
    <w:rsid w:val="00BB3716"/>
    <w:rsid w:val="00BB671E"/>
    <w:rsid w:val="00BD78E9"/>
    <w:rsid w:val="00BE0F8D"/>
    <w:rsid w:val="00BE4BAD"/>
    <w:rsid w:val="00BF44F6"/>
    <w:rsid w:val="00C024F8"/>
    <w:rsid w:val="00C160D1"/>
    <w:rsid w:val="00C172AF"/>
    <w:rsid w:val="00C21C7C"/>
    <w:rsid w:val="00C45B3E"/>
    <w:rsid w:val="00C5180A"/>
    <w:rsid w:val="00C56B22"/>
    <w:rsid w:val="00C60227"/>
    <w:rsid w:val="00C66455"/>
    <w:rsid w:val="00C855B0"/>
    <w:rsid w:val="00C931CF"/>
    <w:rsid w:val="00CA4D71"/>
    <w:rsid w:val="00CA51C8"/>
    <w:rsid w:val="00CB1922"/>
    <w:rsid w:val="00CB4165"/>
    <w:rsid w:val="00CB7C18"/>
    <w:rsid w:val="00CD0D0D"/>
    <w:rsid w:val="00CE7EE9"/>
    <w:rsid w:val="00CF297C"/>
    <w:rsid w:val="00D0039E"/>
    <w:rsid w:val="00D050AF"/>
    <w:rsid w:val="00D075C0"/>
    <w:rsid w:val="00D17E9A"/>
    <w:rsid w:val="00D232E9"/>
    <w:rsid w:val="00D23FA9"/>
    <w:rsid w:val="00D240BE"/>
    <w:rsid w:val="00D278DE"/>
    <w:rsid w:val="00D44AD9"/>
    <w:rsid w:val="00D50D4B"/>
    <w:rsid w:val="00D7058D"/>
    <w:rsid w:val="00D82120"/>
    <w:rsid w:val="00DA0655"/>
    <w:rsid w:val="00DB54A8"/>
    <w:rsid w:val="00DB71EE"/>
    <w:rsid w:val="00DC1023"/>
    <w:rsid w:val="00DE7260"/>
    <w:rsid w:val="00DF568F"/>
    <w:rsid w:val="00E01022"/>
    <w:rsid w:val="00E10C46"/>
    <w:rsid w:val="00E4377F"/>
    <w:rsid w:val="00E57DCD"/>
    <w:rsid w:val="00E62C43"/>
    <w:rsid w:val="00E705DD"/>
    <w:rsid w:val="00E70E2C"/>
    <w:rsid w:val="00E72E8D"/>
    <w:rsid w:val="00EB4E9B"/>
    <w:rsid w:val="00EC29BF"/>
    <w:rsid w:val="00ED76DE"/>
    <w:rsid w:val="00EE1BC1"/>
    <w:rsid w:val="00EE591F"/>
    <w:rsid w:val="00F13CC8"/>
    <w:rsid w:val="00F17977"/>
    <w:rsid w:val="00F209D4"/>
    <w:rsid w:val="00F24514"/>
    <w:rsid w:val="00F71AD5"/>
    <w:rsid w:val="00F7424B"/>
    <w:rsid w:val="00F82C83"/>
    <w:rsid w:val="00F92336"/>
    <w:rsid w:val="00F92D0B"/>
    <w:rsid w:val="00FB292E"/>
    <w:rsid w:val="00FB6446"/>
    <w:rsid w:val="00FC3645"/>
    <w:rsid w:val="00FD03E3"/>
    <w:rsid w:val="00FD0E92"/>
    <w:rsid w:val="00FD28D4"/>
    <w:rsid w:val="00FD3AA1"/>
    <w:rsid w:val="00FD4A1C"/>
    <w:rsid w:val="00FF23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20323"/>
  <w15:chartTrackingRefBased/>
  <w15:docId w15:val="{FD020564-C29F-4D25-94D0-22531A467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2120"/>
  </w:style>
  <w:style w:type="paragraph" w:styleId="Heading1">
    <w:name w:val="heading 1"/>
    <w:basedOn w:val="Normal"/>
    <w:next w:val="Normal"/>
    <w:link w:val="Heading1Char"/>
    <w:uiPriority w:val="9"/>
    <w:qFormat/>
    <w:rsid w:val="00D8212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8212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8212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D82120"/>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D82120"/>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D82120"/>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D82120"/>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D82120"/>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82120"/>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212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8212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82120"/>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D82120"/>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D82120"/>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D82120"/>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D82120"/>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D8212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82120"/>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D82120"/>
    <w:pPr>
      <w:outlineLvl w:val="9"/>
    </w:pPr>
    <w:rPr>
      <w:lang w:val="en-US"/>
    </w:rPr>
  </w:style>
  <w:style w:type="paragraph" w:styleId="TOC2">
    <w:name w:val="toc 2"/>
    <w:basedOn w:val="Normal"/>
    <w:next w:val="Normal"/>
    <w:autoRedefine/>
    <w:uiPriority w:val="39"/>
    <w:unhideWhenUsed/>
    <w:rsid w:val="00D82120"/>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D82120"/>
    <w:pPr>
      <w:spacing w:after="100"/>
    </w:pPr>
    <w:rPr>
      <w:rFonts w:eastAsiaTheme="minorEastAsia" w:cs="Times New Roman"/>
      <w:lang w:val="en-US"/>
    </w:rPr>
  </w:style>
  <w:style w:type="paragraph" w:styleId="TOC3">
    <w:name w:val="toc 3"/>
    <w:basedOn w:val="Normal"/>
    <w:next w:val="Normal"/>
    <w:autoRedefine/>
    <w:uiPriority w:val="39"/>
    <w:unhideWhenUsed/>
    <w:rsid w:val="00D82120"/>
    <w:pPr>
      <w:spacing w:after="100"/>
      <w:ind w:left="440"/>
    </w:pPr>
    <w:rPr>
      <w:rFonts w:eastAsiaTheme="minorEastAsia" w:cs="Times New Roman"/>
      <w:lang w:val="en-US"/>
    </w:rPr>
  </w:style>
  <w:style w:type="paragraph" w:styleId="Header">
    <w:name w:val="header"/>
    <w:basedOn w:val="Normal"/>
    <w:link w:val="HeaderChar"/>
    <w:uiPriority w:val="99"/>
    <w:unhideWhenUsed/>
    <w:rsid w:val="00D82120"/>
    <w:pPr>
      <w:tabs>
        <w:tab w:val="center" w:pos="4536"/>
        <w:tab w:val="right" w:pos="9072"/>
      </w:tabs>
      <w:spacing w:after="0" w:line="240" w:lineRule="auto"/>
    </w:pPr>
  </w:style>
  <w:style w:type="character" w:customStyle="1" w:styleId="HeaderChar">
    <w:name w:val="Header Char"/>
    <w:basedOn w:val="DefaultParagraphFont"/>
    <w:link w:val="Header"/>
    <w:uiPriority w:val="99"/>
    <w:rsid w:val="00D82120"/>
  </w:style>
  <w:style w:type="paragraph" w:styleId="Footer">
    <w:name w:val="footer"/>
    <w:basedOn w:val="Normal"/>
    <w:link w:val="FooterChar"/>
    <w:uiPriority w:val="99"/>
    <w:unhideWhenUsed/>
    <w:rsid w:val="00D82120"/>
    <w:pPr>
      <w:tabs>
        <w:tab w:val="center" w:pos="4536"/>
        <w:tab w:val="right" w:pos="9072"/>
      </w:tabs>
      <w:spacing w:after="0" w:line="240" w:lineRule="auto"/>
    </w:pPr>
  </w:style>
  <w:style w:type="character" w:customStyle="1" w:styleId="FooterChar">
    <w:name w:val="Footer Char"/>
    <w:basedOn w:val="DefaultParagraphFont"/>
    <w:link w:val="Footer"/>
    <w:uiPriority w:val="99"/>
    <w:rsid w:val="00D82120"/>
  </w:style>
  <w:style w:type="character" w:styleId="CommentReference">
    <w:name w:val="annotation reference"/>
    <w:basedOn w:val="DefaultParagraphFont"/>
    <w:uiPriority w:val="99"/>
    <w:semiHidden/>
    <w:unhideWhenUsed/>
    <w:rsid w:val="00D82120"/>
    <w:rPr>
      <w:sz w:val="16"/>
      <w:szCs w:val="16"/>
    </w:rPr>
  </w:style>
  <w:style w:type="paragraph" w:styleId="CommentText">
    <w:name w:val="annotation text"/>
    <w:basedOn w:val="Normal"/>
    <w:link w:val="CommentTextChar"/>
    <w:uiPriority w:val="99"/>
    <w:unhideWhenUsed/>
    <w:rsid w:val="00D82120"/>
    <w:pPr>
      <w:spacing w:line="240" w:lineRule="auto"/>
    </w:pPr>
    <w:rPr>
      <w:sz w:val="20"/>
      <w:szCs w:val="20"/>
    </w:rPr>
  </w:style>
  <w:style w:type="character" w:customStyle="1" w:styleId="CommentTextChar">
    <w:name w:val="Comment Text Char"/>
    <w:basedOn w:val="DefaultParagraphFont"/>
    <w:link w:val="CommentText"/>
    <w:uiPriority w:val="99"/>
    <w:rsid w:val="00D82120"/>
    <w:rPr>
      <w:sz w:val="20"/>
      <w:szCs w:val="20"/>
    </w:rPr>
  </w:style>
  <w:style w:type="paragraph" w:styleId="CommentSubject">
    <w:name w:val="annotation subject"/>
    <w:basedOn w:val="CommentText"/>
    <w:next w:val="CommentText"/>
    <w:link w:val="CommentSubjectChar"/>
    <w:uiPriority w:val="99"/>
    <w:semiHidden/>
    <w:unhideWhenUsed/>
    <w:rsid w:val="00D82120"/>
    <w:rPr>
      <w:b/>
      <w:bCs/>
    </w:rPr>
  </w:style>
  <w:style w:type="character" w:customStyle="1" w:styleId="CommentSubjectChar">
    <w:name w:val="Comment Subject Char"/>
    <w:basedOn w:val="CommentTextChar"/>
    <w:link w:val="CommentSubject"/>
    <w:uiPriority w:val="99"/>
    <w:semiHidden/>
    <w:rsid w:val="00D82120"/>
    <w:rPr>
      <w:b/>
      <w:bCs/>
      <w:sz w:val="20"/>
      <w:szCs w:val="20"/>
    </w:rPr>
  </w:style>
  <w:style w:type="paragraph" w:styleId="BalloonText">
    <w:name w:val="Balloon Text"/>
    <w:basedOn w:val="Normal"/>
    <w:link w:val="BalloonTextChar"/>
    <w:uiPriority w:val="99"/>
    <w:semiHidden/>
    <w:unhideWhenUsed/>
    <w:rsid w:val="00D821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120"/>
    <w:rPr>
      <w:rFonts w:ascii="Segoe UI" w:hAnsi="Segoe UI" w:cs="Segoe UI"/>
      <w:sz w:val="18"/>
      <w:szCs w:val="18"/>
    </w:rPr>
  </w:style>
  <w:style w:type="character" w:styleId="LineNumber">
    <w:name w:val="line number"/>
    <w:basedOn w:val="DefaultParagraphFont"/>
    <w:uiPriority w:val="99"/>
    <w:semiHidden/>
    <w:unhideWhenUsed/>
    <w:rsid w:val="00D82120"/>
  </w:style>
  <w:style w:type="paragraph" w:styleId="FootnoteText">
    <w:name w:val="footnote text"/>
    <w:basedOn w:val="Normal"/>
    <w:link w:val="FootnoteTextChar"/>
    <w:uiPriority w:val="99"/>
    <w:semiHidden/>
    <w:unhideWhenUsed/>
    <w:rsid w:val="00D821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2120"/>
    <w:rPr>
      <w:sz w:val="20"/>
      <w:szCs w:val="20"/>
    </w:rPr>
  </w:style>
  <w:style w:type="character" w:styleId="FootnoteReference">
    <w:name w:val="footnote reference"/>
    <w:basedOn w:val="DefaultParagraphFont"/>
    <w:uiPriority w:val="99"/>
    <w:semiHidden/>
    <w:unhideWhenUsed/>
    <w:rsid w:val="00D82120"/>
    <w:rPr>
      <w:vertAlign w:val="superscript"/>
    </w:rPr>
  </w:style>
  <w:style w:type="character" w:styleId="Hyperlink">
    <w:name w:val="Hyperlink"/>
    <w:basedOn w:val="DefaultParagraphFont"/>
    <w:uiPriority w:val="99"/>
    <w:unhideWhenUsed/>
    <w:rsid w:val="00D82120"/>
    <w:rPr>
      <w:color w:val="0563C1" w:themeColor="hyperlink"/>
      <w:u w:val="single"/>
    </w:rPr>
  </w:style>
  <w:style w:type="character" w:styleId="EndnoteReference">
    <w:name w:val="endnote reference"/>
    <w:basedOn w:val="DefaultParagraphFont"/>
    <w:uiPriority w:val="99"/>
    <w:semiHidden/>
    <w:unhideWhenUsed/>
    <w:rsid w:val="00D82120"/>
    <w:rPr>
      <w:vertAlign w:val="superscript"/>
    </w:rPr>
  </w:style>
  <w:style w:type="table" w:styleId="PlainTable2">
    <w:name w:val="Plain Table 2"/>
    <w:basedOn w:val="TableNormal"/>
    <w:uiPriority w:val="42"/>
    <w:rsid w:val="00D8212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D82120"/>
    <w:pPr>
      <w:ind w:left="720"/>
      <w:contextualSpacing/>
    </w:pPr>
  </w:style>
  <w:style w:type="paragraph" w:customStyle="1" w:styleId="CitaviBibliographyEntry">
    <w:name w:val="Citavi Bibliography Entry"/>
    <w:basedOn w:val="Normal"/>
    <w:link w:val="CitaviBibliographyEntryChar"/>
    <w:uiPriority w:val="99"/>
    <w:rsid w:val="00D82120"/>
    <w:pPr>
      <w:tabs>
        <w:tab w:val="left" w:pos="283"/>
      </w:tabs>
      <w:spacing w:after="0"/>
      <w:ind w:left="283" w:hanging="283"/>
    </w:pPr>
  </w:style>
  <w:style w:type="character" w:customStyle="1" w:styleId="CitaviBibliographyEntryChar">
    <w:name w:val="Citavi Bibliography Entry Char"/>
    <w:basedOn w:val="DefaultParagraphFont"/>
    <w:link w:val="CitaviBibliographyEntry"/>
    <w:uiPriority w:val="99"/>
    <w:rsid w:val="00D82120"/>
  </w:style>
  <w:style w:type="paragraph" w:customStyle="1" w:styleId="CitaviBibliographyHeading">
    <w:name w:val="Citavi Bibliography Heading"/>
    <w:basedOn w:val="Heading1"/>
    <w:link w:val="CitaviBibliographyHeadingChar"/>
    <w:uiPriority w:val="99"/>
    <w:rsid w:val="00D82120"/>
  </w:style>
  <w:style w:type="character" w:customStyle="1" w:styleId="CitaviBibliographyHeadingChar">
    <w:name w:val="Citavi Bibliography Heading Char"/>
    <w:basedOn w:val="DefaultParagraphFont"/>
    <w:link w:val="CitaviBibliographyHeading"/>
    <w:uiPriority w:val="99"/>
    <w:rsid w:val="00D82120"/>
    <w:rPr>
      <w:rFonts w:asciiTheme="majorHAnsi" w:eastAsiaTheme="majorEastAsia" w:hAnsiTheme="majorHAnsi" w:cstheme="majorBidi"/>
      <w:color w:val="2E74B5" w:themeColor="accent1" w:themeShade="BF"/>
      <w:sz w:val="32"/>
      <w:szCs w:val="32"/>
    </w:rPr>
  </w:style>
  <w:style w:type="paragraph" w:customStyle="1" w:styleId="CitaviChapterBibliographyHeading">
    <w:name w:val="Citavi Chapter Bibliography Heading"/>
    <w:basedOn w:val="Heading2"/>
    <w:link w:val="CitaviChapterBibliographyHeadingChar"/>
    <w:uiPriority w:val="99"/>
    <w:rsid w:val="00D82120"/>
  </w:style>
  <w:style w:type="character" w:customStyle="1" w:styleId="CitaviChapterBibliographyHeadingChar">
    <w:name w:val="Citavi Chapter Bibliography Heading Char"/>
    <w:basedOn w:val="DefaultParagraphFont"/>
    <w:link w:val="CitaviChapterBibliographyHeading"/>
    <w:uiPriority w:val="99"/>
    <w:rsid w:val="00D82120"/>
    <w:rPr>
      <w:rFonts w:asciiTheme="majorHAnsi" w:eastAsiaTheme="majorEastAsia" w:hAnsiTheme="majorHAnsi" w:cstheme="majorBidi"/>
      <w:color w:val="2E74B5" w:themeColor="accent1" w:themeShade="BF"/>
      <w:sz w:val="26"/>
      <w:szCs w:val="26"/>
    </w:rPr>
  </w:style>
  <w:style w:type="paragraph" w:customStyle="1" w:styleId="CitaviBibliographySubheading1">
    <w:name w:val="Citavi Bibliography Subheading 1"/>
    <w:basedOn w:val="Heading2"/>
    <w:link w:val="CitaviBibliographySubheading1Char"/>
    <w:uiPriority w:val="99"/>
    <w:rsid w:val="00D82120"/>
    <w:pPr>
      <w:spacing w:line="360" w:lineRule="auto"/>
      <w:outlineLvl w:val="9"/>
    </w:pPr>
    <w:rPr>
      <w:sz w:val="24"/>
      <w:szCs w:val="24"/>
    </w:rPr>
  </w:style>
  <w:style w:type="character" w:customStyle="1" w:styleId="CitaviBibliographySubheading1Char">
    <w:name w:val="Citavi Bibliography Subheading 1 Char"/>
    <w:basedOn w:val="DefaultParagraphFont"/>
    <w:link w:val="CitaviBibliographySubheading1"/>
    <w:uiPriority w:val="99"/>
    <w:rsid w:val="00D82120"/>
    <w:rPr>
      <w:rFonts w:asciiTheme="majorHAnsi" w:eastAsiaTheme="majorEastAsia" w:hAnsiTheme="majorHAnsi" w:cstheme="majorBidi"/>
      <w:color w:val="2E74B5" w:themeColor="accent1" w:themeShade="BF"/>
      <w:sz w:val="24"/>
      <w:szCs w:val="24"/>
    </w:rPr>
  </w:style>
  <w:style w:type="paragraph" w:customStyle="1" w:styleId="CitaviBibliographySubheading2">
    <w:name w:val="Citavi Bibliography Subheading 2"/>
    <w:basedOn w:val="Heading3"/>
    <w:link w:val="CitaviBibliographySubheading2Char"/>
    <w:uiPriority w:val="99"/>
    <w:rsid w:val="00D82120"/>
    <w:pPr>
      <w:spacing w:line="360" w:lineRule="auto"/>
      <w:outlineLvl w:val="9"/>
    </w:pPr>
  </w:style>
  <w:style w:type="character" w:customStyle="1" w:styleId="CitaviBibliographySubheading2Char">
    <w:name w:val="Citavi Bibliography Subheading 2 Char"/>
    <w:basedOn w:val="DefaultParagraphFont"/>
    <w:link w:val="CitaviBibliographySubheading2"/>
    <w:uiPriority w:val="99"/>
    <w:rsid w:val="00D82120"/>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Heading4"/>
    <w:link w:val="CitaviBibliographySubheading3Char"/>
    <w:uiPriority w:val="99"/>
    <w:rsid w:val="00D82120"/>
    <w:pPr>
      <w:spacing w:line="360" w:lineRule="auto"/>
      <w:outlineLvl w:val="9"/>
    </w:pPr>
    <w:rPr>
      <w:sz w:val="24"/>
      <w:szCs w:val="24"/>
    </w:rPr>
  </w:style>
  <w:style w:type="character" w:customStyle="1" w:styleId="CitaviBibliographySubheading3Char">
    <w:name w:val="Citavi Bibliography Subheading 3 Char"/>
    <w:basedOn w:val="DefaultParagraphFont"/>
    <w:link w:val="CitaviBibliographySubheading3"/>
    <w:uiPriority w:val="99"/>
    <w:rsid w:val="00D82120"/>
    <w:rPr>
      <w:rFonts w:asciiTheme="majorHAnsi" w:eastAsiaTheme="majorEastAsia" w:hAnsiTheme="majorHAnsi" w:cstheme="majorBidi"/>
      <w:i/>
      <w:iCs/>
      <w:color w:val="2E74B5" w:themeColor="accent1" w:themeShade="BF"/>
      <w:sz w:val="24"/>
      <w:szCs w:val="24"/>
    </w:rPr>
  </w:style>
  <w:style w:type="paragraph" w:customStyle="1" w:styleId="CitaviBibliographySubheading4">
    <w:name w:val="Citavi Bibliography Subheading 4"/>
    <w:basedOn w:val="Heading5"/>
    <w:link w:val="CitaviBibliographySubheading4Char"/>
    <w:uiPriority w:val="99"/>
    <w:rsid w:val="00D82120"/>
    <w:pPr>
      <w:spacing w:line="360" w:lineRule="auto"/>
      <w:outlineLvl w:val="9"/>
    </w:pPr>
    <w:rPr>
      <w:sz w:val="24"/>
      <w:szCs w:val="24"/>
    </w:rPr>
  </w:style>
  <w:style w:type="character" w:customStyle="1" w:styleId="CitaviBibliographySubheading4Char">
    <w:name w:val="Citavi Bibliography Subheading 4 Char"/>
    <w:basedOn w:val="DefaultParagraphFont"/>
    <w:link w:val="CitaviBibliographySubheading4"/>
    <w:uiPriority w:val="99"/>
    <w:rsid w:val="00D82120"/>
    <w:rPr>
      <w:rFonts w:asciiTheme="majorHAnsi" w:eastAsiaTheme="majorEastAsia" w:hAnsiTheme="majorHAnsi" w:cstheme="majorBidi"/>
      <w:color w:val="2E74B5" w:themeColor="accent1" w:themeShade="BF"/>
      <w:sz w:val="24"/>
      <w:szCs w:val="24"/>
    </w:rPr>
  </w:style>
  <w:style w:type="paragraph" w:customStyle="1" w:styleId="CitaviBibliographySubheading5">
    <w:name w:val="Citavi Bibliography Subheading 5"/>
    <w:basedOn w:val="Heading6"/>
    <w:link w:val="CitaviBibliographySubheading5Char"/>
    <w:uiPriority w:val="99"/>
    <w:rsid w:val="00D82120"/>
    <w:pPr>
      <w:spacing w:line="360" w:lineRule="auto"/>
      <w:outlineLvl w:val="9"/>
    </w:pPr>
    <w:rPr>
      <w:sz w:val="24"/>
      <w:szCs w:val="24"/>
    </w:rPr>
  </w:style>
  <w:style w:type="character" w:customStyle="1" w:styleId="CitaviBibliographySubheading5Char">
    <w:name w:val="Citavi Bibliography Subheading 5 Char"/>
    <w:basedOn w:val="DefaultParagraphFont"/>
    <w:link w:val="CitaviBibliographySubheading5"/>
    <w:uiPriority w:val="99"/>
    <w:rsid w:val="00D82120"/>
    <w:rPr>
      <w:rFonts w:asciiTheme="majorHAnsi" w:eastAsiaTheme="majorEastAsia" w:hAnsiTheme="majorHAnsi" w:cstheme="majorBidi"/>
      <w:color w:val="1F4D78" w:themeColor="accent1" w:themeShade="7F"/>
      <w:sz w:val="24"/>
      <w:szCs w:val="24"/>
    </w:rPr>
  </w:style>
  <w:style w:type="paragraph" w:customStyle="1" w:styleId="CitaviBibliographySubheading6">
    <w:name w:val="Citavi Bibliography Subheading 6"/>
    <w:basedOn w:val="Heading7"/>
    <w:link w:val="CitaviBibliographySubheading6Char"/>
    <w:uiPriority w:val="99"/>
    <w:rsid w:val="00D82120"/>
    <w:pPr>
      <w:spacing w:line="360" w:lineRule="auto"/>
      <w:outlineLvl w:val="9"/>
    </w:pPr>
    <w:rPr>
      <w:sz w:val="24"/>
      <w:szCs w:val="24"/>
    </w:rPr>
  </w:style>
  <w:style w:type="character" w:customStyle="1" w:styleId="CitaviBibliographySubheading6Char">
    <w:name w:val="Citavi Bibliography Subheading 6 Char"/>
    <w:basedOn w:val="DefaultParagraphFont"/>
    <w:link w:val="CitaviBibliographySubheading6"/>
    <w:uiPriority w:val="99"/>
    <w:rsid w:val="00D82120"/>
    <w:rPr>
      <w:rFonts w:asciiTheme="majorHAnsi" w:eastAsiaTheme="majorEastAsia" w:hAnsiTheme="majorHAnsi" w:cstheme="majorBidi"/>
      <w:i/>
      <w:iCs/>
      <w:color w:val="1F4D78" w:themeColor="accent1" w:themeShade="7F"/>
      <w:sz w:val="24"/>
      <w:szCs w:val="24"/>
    </w:rPr>
  </w:style>
  <w:style w:type="paragraph" w:customStyle="1" w:styleId="CitaviBibliographySubheading7">
    <w:name w:val="Citavi Bibliography Subheading 7"/>
    <w:basedOn w:val="Heading8"/>
    <w:link w:val="CitaviBibliographySubheading7Char"/>
    <w:uiPriority w:val="99"/>
    <w:rsid w:val="00D82120"/>
    <w:pPr>
      <w:spacing w:line="360" w:lineRule="auto"/>
      <w:outlineLvl w:val="9"/>
    </w:pPr>
    <w:rPr>
      <w:sz w:val="24"/>
      <w:szCs w:val="24"/>
    </w:rPr>
  </w:style>
  <w:style w:type="character" w:customStyle="1" w:styleId="CitaviBibliographySubheading7Char">
    <w:name w:val="Citavi Bibliography Subheading 7 Char"/>
    <w:basedOn w:val="DefaultParagraphFont"/>
    <w:link w:val="CitaviBibliographySubheading7"/>
    <w:uiPriority w:val="99"/>
    <w:rsid w:val="00D82120"/>
    <w:rPr>
      <w:rFonts w:asciiTheme="majorHAnsi" w:eastAsiaTheme="majorEastAsia" w:hAnsiTheme="majorHAnsi" w:cstheme="majorBidi"/>
      <w:color w:val="272727" w:themeColor="text1" w:themeTint="D8"/>
      <w:sz w:val="24"/>
      <w:szCs w:val="24"/>
    </w:rPr>
  </w:style>
  <w:style w:type="paragraph" w:customStyle="1" w:styleId="CitaviBibliographySubheading8">
    <w:name w:val="Citavi Bibliography Subheading 8"/>
    <w:basedOn w:val="Heading9"/>
    <w:link w:val="CitaviBibliographySubheading8Char"/>
    <w:uiPriority w:val="99"/>
    <w:rsid w:val="00D82120"/>
    <w:pPr>
      <w:spacing w:line="360" w:lineRule="auto"/>
      <w:outlineLvl w:val="9"/>
    </w:pPr>
    <w:rPr>
      <w:sz w:val="24"/>
      <w:szCs w:val="24"/>
    </w:rPr>
  </w:style>
  <w:style w:type="character" w:customStyle="1" w:styleId="CitaviBibliographySubheading8Char">
    <w:name w:val="Citavi Bibliography Subheading 8 Char"/>
    <w:basedOn w:val="DefaultParagraphFont"/>
    <w:link w:val="CitaviBibliographySubheading8"/>
    <w:uiPriority w:val="99"/>
    <w:rsid w:val="00D82120"/>
    <w:rPr>
      <w:rFonts w:asciiTheme="majorHAnsi" w:eastAsiaTheme="majorEastAsia" w:hAnsiTheme="majorHAnsi" w:cstheme="majorBidi"/>
      <w:i/>
      <w:iCs/>
      <w:color w:val="272727" w:themeColor="text1" w:themeTint="D8"/>
      <w:sz w:val="24"/>
      <w:szCs w:val="24"/>
    </w:rPr>
  </w:style>
  <w:style w:type="table" w:styleId="TableGrid">
    <w:name w:val="Table Grid"/>
    <w:basedOn w:val="TableNormal"/>
    <w:uiPriority w:val="39"/>
    <w:rsid w:val="00D821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82120"/>
    <w:pPr>
      <w:autoSpaceDE w:val="0"/>
      <w:autoSpaceDN w:val="0"/>
      <w:adjustRightInd w:val="0"/>
      <w:spacing w:after="0" w:line="240" w:lineRule="auto"/>
    </w:pPr>
    <w:rPr>
      <w:rFonts w:ascii="Times New Roman" w:hAnsi="Times New Roman" w:cs="Times New Roman"/>
      <w:color w:val="000000"/>
      <w:sz w:val="24"/>
      <w:szCs w:val="24"/>
    </w:rPr>
  </w:style>
  <w:style w:type="paragraph" w:styleId="Bibliography">
    <w:name w:val="Bibliography"/>
    <w:basedOn w:val="Normal"/>
    <w:next w:val="Normal"/>
    <w:uiPriority w:val="37"/>
    <w:unhideWhenUsed/>
    <w:rsid w:val="00D82120"/>
    <w:pPr>
      <w:spacing w:after="0" w:line="240" w:lineRule="auto"/>
      <w:ind w:left="720" w:hanging="720"/>
    </w:pPr>
  </w:style>
  <w:style w:type="paragraph" w:styleId="NormalWeb">
    <w:name w:val="Normal (Web)"/>
    <w:basedOn w:val="Normal"/>
    <w:uiPriority w:val="99"/>
    <w:unhideWhenUsed/>
    <w:rsid w:val="00D82120"/>
    <w:pPr>
      <w:spacing w:after="0" w:line="240" w:lineRule="auto"/>
    </w:pPr>
    <w:rPr>
      <w:rFonts w:ascii="Times New Roman" w:hAnsi="Times New Roman" w:cs="Times New Roman"/>
      <w:sz w:val="24"/>
      <w:szCs w:val="24"/>
      <w:lang w:eastAsia="en-GB"/>
    </w:rPr>
  </w:style>
  <w:style w:type="paragraph" w:styleId="Revision">
    <w:name w:val="Revision"/>
    <w:hidden/>
    <w:uiPriority w:val="99"/>
    <w:semiHidden/>
    <w:rsid w:val="00D82120"/>
    <w:pPr>
      <w:spacing w:after="0" w:line="240" w:lineRule="auto"/>
    </w:pPr>
  </w:style>
  <w:style w:type="character" w:styleId="PlaceholderText">
    <w:name w:val="Placeholder Text"/>
    <w:basedOn w:val="DefaultParagraphFont"/>
    <w:uiPriority w:val="99"/>
    <w:semiHidden/>
    <w:rsid w:val="00D82120"/>
    <w:rPr>
      <w:color w:val="808080"/>
    </w:rPr>
  </w:style>
  <w:style w:type="character" w:styleId="Emphasis">
    <w:name w:val="Emphasis"/>
    <w:basedOn w:val="DefaultParagraphFont"/>
    <w:uiPriority w:val="20"/>
    <w:qFormat/>
    <w:rsid w:val="00D82120"/>
    <w:rPr>
      <w:i/>
      <w:iCs/>
    </w:rPr>
  </w:style>
  <w:style w:type="table" w:styleId="PlainTable3">
    <w:name w:val="Plain Table 3"/>
    <w:basedOn w:val="TableNormal"/>
    <w:uiPriority w:val="43"/>
    <w:rsid w:val="00D8212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given-name">
    <w:name w:val="given-name"/>
    <w:basedOn w:val="DefaultParagraphFont"/>
    <w:rsid w:val="00D82120"/>
  </w:style>
  <w:style w:type="character" w:customStyle="1" w:styleId="text">
    <w:name w:val="text"/>
    <w:basedOn w:val="DefaultParagraphFont"/>
    <w:rsid w:val="00D82120"/>
  </w:style>
  <w:style w:type="table" w:customStyle="1" w:styleId="PlainTable21">
    <w:name w:val="Plain Table 21"/>
    <w:basedOn w:val="TableNormal"/>
    <w:next w:val="PlainTable2"/>
    <w:uiPriority w:val="42"/>
    <w:rsid w:val="00D8212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D82120"/>
    <w:pPr>
      <w:spacing w:after="200" w:line="240" w:lineRule="auto"/>
    </w:pPr>
    <w:rPr>
      <w:i/>
      <w:iCs/>
      <w:color w:val="44546A" w:themeColor="text2"/>
      <w:sz w:val="18"/>
      <w:szCs w:val="18"/>
    </w:rPr>
  </w:style>
  <w:style w:type="table" w:styleId="ListTable2">
    <w:name w:val="List Table 2"/>
    <w:basedOn w:val="TableNormal"/>
    <w:uiPriority w:val="47"/>
    <w:rsid w:val="00D82120"/>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ableofFigures">
    <w:name w:val="table of figures"/>
    <w:basedOn w:val="Normal"/>
    <w:next w:val="Normal"/>
    <w:uiPriority w:val="99"/>
    <w:unhideWhenUsed/>
    <w:rsid w:val="00D82120"/>
    <w:pPr>
      <w:spacing w:after="0"/>
    </w:pPr>
  </w:style>
  <w:style w:type="paragraph" w:styleId="TOC4">
    <w:name w:val="toc 4"/>
    <w:basedOn w:val="Normal"/>
    <w:next w:val="Normal"/>
    <w:autoRedefine/>
    <w:uiPriority w:val="39"/>
    <w:unhideWhenUsed/>
    <w:rsid w:val="00D82120"/>
    <w:pPr>
      <w:spacing w:after="100"/>
      <w:ind w:left="660"/>
    </w:pPr>
    <w:rPr>
      <w:rFonts w:eastAsiaTheme="minorEastAsia"/>
      <w:lang w:eastAsia="en-GB"/>
    </w:rPr>
  </w:style>
  <w:style w:type="paragraph" w:styleId="TOC5">
    <w:name w:val="toc 5"/>
    <w:basedOn w:val="Normal"/>
    <w:next w:val="Normal"/>
    <w:autoRedefine/>
    <w:uiPriority w:val="39"/>
    <w:unhideWhenUsed/>
    <w:rsid w:val="00D82120"/>
    <w:pPr>
      <w:spacing w:after="100"/>
      <w:ind w:left="880"/>
    </w:pPr>
    <w:rPr>
      <w:rFonts w:eastAsiaTheme="minorEastAsia"/>
      <w:lang w:eastAsia="en-GB"/>
    </w:rPr>
  </w:style>
  <w:style w:type="paragraph" w:styleId="TOC6">
    <w:name w:val="toc 6"/>
    <w:basedOn w:val="Normal"/>
    <w:next w:val="Normal"/>
    <w:autoRedefine/>
    <w:uiPriority w:val="39"/>
    <w:unhideWhenUsed/>
    <w:rsid w:val="00D82120"/>
    <w:pPr>
      <w:spacing w:after="100"/>
      <w:ind w:left="1100"/>
    </w:pPr>
    <w:rPr>
      <w:rFonts w:eastAsiaTheme="minorEastAsia"/>
      <w:lang w:eastAsia="en-GB"/>
    </w:rPr>
  </w:style>
  <w:style w:type="paragraph" w:styleId="TOC7">
    <w:name w:val="toc 7"/>
    <w:basedOn w:val="Normal"/>
    <w:next w:val="Normal"/>
    <w:autoRedefine/>
    <w:uiPriority w:val="39"/>
    <w:unhideWhenUsed/>
    <w:rsid w:val="00D82120"/>
    <w:pPr>
      <w:spacing w:after="100"/>
      <w:ind w:left="1320"/>
    </w:pPr>
    <w:rPr>
      <w:rFonts w:eastAsiaTheme="minorEastAsia"/>
      <w:lang w:eastAsia="en-GB"/>
    </w:rPr>
  </w:style>
  <w:style w:type="paragraph" w:styleId="TOC8">
    <w:name w:val="toc 8"/>
    <w:basedOn w:val="Normal"/>
    <w:next w:val="Normal"/>
    <w:autoRedefine/>
    <w:uiPriority w:val="39"/>
    <w:unhideWhenUsed/>
    <w:rsid w:val="00D82120"/>
    <w:pPr>
      <w:spacing w:after="100"/>
      <w:ind w:left="1540"/>
    </w:pPr>
    <w:rPr>
      <w:rFonts w:eastAsiaTheme="minorEastAsia"/>
      <w:lang w:eastAsia="en-GB"/>
    </w:rPr>
  </w:style>
  <w:style w:type="paragraph" w:styleId="TOC9">
    <w:name w:val="toc 9"/>
    <w:basedOn w:val="Normal"/>
    <w:next w:val="Normal"/>
    <w:autoRedefine/>
    <w:uiPriority w:val="39"/>
    <w:unhideWhenUsed/>
    <w:rsid w:val="00D82120"/>
    <w:pPr>
      <w:spacing w:after="100"/>
      <w:ind w:left="1760"/>
    </w:pPr>
    <w:rPr>
      <w:rFonts w:eastAsiaTheme="minorEastAsia"/>
      <w:lang w:eastAsia="en-GB"/>
    </w:rPr>
  </w:style>
  <w:style w:type="paragraph" w:styleId="NoSpacing">
    <w:name w:val="No Spacing"/>
    <w:link w:val="NoSpacingChar"/>
    <w:uiPriority w:val="1"/>
    <w:qFormat/>
    <w:rsid w:val="00D8212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82120"/>
    <w:rPr>
      <w:rFonts w:eastAsiaTheme="minorEastAsia"/>
      <w:lang w:val="en-US"/>
    </w:rPr>
  </w:style>
  <w:style w:type="table" w:customStyle="1" w:styleId="PlainTable211">
    <w:name w:val="Plain Table 211"/>
    <w:basedOn w:val="TableNormal"/>
    <w:next w:val="PlainTable2"/>
    <w:uiPriority w:val="42"/>
    <w:rsid w:val="00D8212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D821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646009">
      <w:bodyDiv w:val="1"/>
      <w:marLeft w:val="0"/>
      <w:marRight w:val="0"/>
      <w:marTop w:val="0"/>
      <w:marBottom w:val="0"/>
      <w:divBdr>
        <w:top w:val="none" w:sz="0" w:space="0" w:color="auto"/>
        <w:left w:val="none" w:sz="0" w:space="0" w:color="auto"/>
        <w:bottom w:val="none" w:sz="0" w:space="0" w:color="auto"/>
        <w:right w:val="none" w:sz="0" w:space="0" w:color="auto"/>
      </w:divBdr>
    </w:div>
    <w:div w:id="301428142">
      <w:bodyDiv w:val="1"/>
      <w:marLeft w:val="0"/>
      <w:marRight w:val="0"/>
      <w:marTop w:val="0"/>
      <w:marBottom w:val="0"/>
      <w:divBdr>
        <w:top w:val="none" w:sz="0" w:space="0" w:color="auto"/>
        <w:left w:val="none" w:sz="0" w:space="0" w:color="auto"/>
        <w:bottom w:val="none" w:sz="0" w:space="0" w:color="auto"/>
        <w:right w:val="none" w:sz="0" w:space="0" w:color="auto"/>
      </w:divBdr>
    </w:div>
    <w:div w:id="311495145">
      <w:bodyDiv w:val="1"/>
      <w:marLeft w:val="0"/>
      <w:marRight w:val="0"/>
      <w:marTop w:val="0"/>
      <w:marBottom w:val="0"/>
      <w:divBdr>
        <w:top w:val="none" w:sz="0" w:space="0" w:color="auto"/>
        <w:left w:val="none" w:sz="0" w:space="0" w:color="auto"/>
        <w:bottom w:val="none" w:sz="0" w:space="0" w:color="auto"/>
        <w:right w:val="none" w:sz="0" w:space="0" w:color="auto"/>
      </w:divBdr>
    </w:div>
    <w:div w:id="316690458">
      <w:bodyDiv w:val="1"/>
      <w:marLeft w:val="0"/>
      <w:marRight w:val="0"/>
      <w:marTop w:val="0"/>
      <w:marBottom w:val="0"/>
      <w:divBdr>
        <w:top w:val="none" w:sz="0" w:space="0" w:color="auto"/>
        <w:left w:val="none" w:sz="0" w:space="0" w:color="auto"/>
        <w:bottom w:val="none" w:sz="0" w:space="0" w:color="auto"/>
        <w:right w:val="none" w:sz="0" w:space="0" w:color="auto"/>
      </w:divBdr>
    </w:div>
    <w:div w:id="335157901">
      <w:bodyDiv w:val="1"/>
      <w:marLeft w:val="0"/>
      <w:marRight w:val="0"/>
      <w:marTop w:val="0"/>
      <w:marBottom w:val="0"/>
      <w:divBdr>
        <w:top w:val="none" w:sz="0" w:space="0" w:color="auto"/>
        <w:left w:val="none" w:sz="0" w:space="0" w:color="auto"/>
        <w:bottom w:val="none" w:sz="0" w:space="0" w:color="auto"/>
        <w:right w:val="none" w:sz="0" w:space="0" w:color="auto"/>
      </w:divBdr>
    </w:div>
    <w:div w:id="380982702">
      <w:bodyDiv w:val="1"/>
      <w:marLeft w:val="0"/>
      <w:marRight w:val="0"/>
      <w:marTop w:val="0"/>
      <w:marBottom w:val="0"/>
      <w:divBdr>
        <w:top w:val="none" w:sz="0" w:space="0" w:color="auto"/>
        <w:left w:val="none" w:sz="0" w:space="0" w:color="auto"/>
        <w:bottom w:val="none" w:sz="0" w:space="0" w:color="auto"/>
        <w:right w:val="none" w:sz="0" w:space="0" w:color="auto"/>
      </w:divBdr>
    </w:div>
    <w:div w:id="397217812">
      <w:bodyDiv w:val="1"/>
      <w:marLeft w:val="0"/>
      <w:marRight w:val="0"/>
      <w:marTop w:val="0"/>
      <w:marBottom w:val="0"/>
      <w:divBdr>
        <w:top w:val="none" w:sz="0" w:space="0" w:color="auto"/>
        <w:left w:val="none" w:sz="0" w:space="0" w:color="auto"/>
        <w:bottom w:val="none" w:sz="0" w:space="0" w:color="auto"/>
        <w:right w:val="none" w:sz="0" w:space="0" w:color="auto"/>
      </w:divBdr>
    </w:div>
    <w:div w:id="400446708">
      <w:bodyDiv w:val="1"/>
      <w:marLeft w:val="0"/>
      <w:marRight w:val="0"/>
      <w:marTop w:val="0"/>
      <w:marBottom w:val="0"/>
      <w:divBdr>
        <w:top w:val="none" w:sz="0" w:space="0" w:color="auto"/>
        <w:left w:val="none" w:sz="0" w:space="0" w:color="auto"/>
        <w:bottom w:val="none" w:sz="0" w:space="0" w:color="auto"/>
        <w:right w:val="none" w:sz="0" w:space="0" w:color="auto"/>
      </w:divBdr>
    </w:div>
    <w:div w:id="411126255">
      <w:bodyDiv w:val="1"/>
      <w:marLeft w:val="0"/>
      <w:marRight w:val="0"/>
      <w:marTop w:val="0"/>
      <w:marBottom w:val="0"/>
      <w:divBdr>
        <w:top w:val="none" w:sz="0" w:space="0" w:color="auto"/>
        <w:left w:val="none" w:sz="0" w:space="0" w:color="auto"/>
        <w:bottom w:val="none" w:sz="0" w:space="0" w:color="auto"/>
        <w:right w:val="none" w:sz="0" w:space="0" w:color="auto"/>
      </w:divBdr>
    </w:div>
    <w:div w:id="559874578">
      <w:bodyDiv w:val="1"/>
      <w:marLeft w:val="0"/>
      <w:marRight w:val="0"/>
      <w:marTop w:val="0"/>
      <w:marBottom w:val="0"/>
      <w:divBdr>
        <w:top w:val="none" w:sz="0" w:space="0" w:color="auto"/>
        <w:left w:val="none" w:sz="0" w:space="0" w:color="auto"/>
        <w:bottom w:val="none" w:sz="0" w:space="0" w:color="auto"/>
        <w:right w:val="none" w:sz="0" w:space="0" w:color="auto"/>
      </w:divBdr>
    </w:div>
    <w:div w:id="606743218">
      <w:bodyDiv w:val="1"/>
      <w:marLeft w:val="0"/>
      <w:marRight w:val="0"/>
      <w:marTop w:val="0"/>
      <w:marBottom w:val="0"/>
      <w:divBdr>
        <w:top w:val="none" w:sz="0" w:space="0" w:color="auto"/>
        <w:left w:val="none" w:sz="0" w:space="0" w:color="auto"/>
        <w:bottom w:val="none" w:sz="0" w:space="0" w:color="auto"/>
        <w:right w:val="none" w:sz="0" w:space="0" w:color="auto"/>
      </w:divBdr>
    </w:div>
    <w:div w:id="760948404">
      <w:bodyDiv w:val="1"/>
      <w:marLeft w:val="0"/>
      <w:marRight w:val="0"/>
      <w:marTop w:val="0"/>
      <w:marBottom w:val="0"/>
      <w:divBdr>
        <w:top w:val="none" w:sz="0" w:space="0" w:color="auto"/>
        <w:left w:val="none" w:sz="0" w:space="0" w:color="auto"/>
        <w:bottom w:val="none" w:sz="0" w:space="0" w:color="auto"/>
        <w:right w:val="none" w:sz="0" w:space="0" w:color="auto"/>
      </w:divBdr>
    </w:div>
    <w:div w:id="795636170">
      <w:bodyDiv w:val="1"/>
      <w:marLeft w:val="0"/>
      <w:marRight w:val="0"/>
      <w:marTop w:val="0"/>
      <w:marBottom w:val="0"/>
      <w:divBdr>
        <w:top w:val="none" w:sz="0" w:space="0" w:color="auto"/>
        <w:left w:val="none" w:sz="0" w:space="0" w:color="auto"/>
        <w:bottom w:val="none" w:sz="0" w:space="0" w:color="auto"/>
        <w:right w:val="none" w:sz="0" w:space="0" w:color="auto"/>
      </w:divBdr>
    </w:div>
    <w:div w:id="835653751">
      <w:bodyDiv w:val="1"/>
      <w:marLeft w:val="0"/>
      <w:marRight w:val="0"/>
      <w:marTop w:val="0"/>
      <w:marBottom w:val="0"/>
      <w:divBdr>
        <w:top w:val="none" w:sz="0" w:space="0" w:color="auto"/>
        <w:left w:val="none" w:sz="0" w:space="0" w:color="auto"/>
        <w:bottom w:val="none" w:sz="0" w:space="0" w:color="auto"/>
        <w:right w:val="none" w:sz="0" w:space="0" w:color="auto"/>
      </w:divBdr>
    </w:div>
    <w:div w:id="851994659">
      <w:bodyDiv w:val="1"/>
      <w:marLeft w:val="0"/>
      <w:marRight w:val="0"/>
      <w:marTop w:val="0"/>
      <w:marBottom w:val="0"/>
      <w:divBdr>
        <w:top w:val="none" w:sz="0" w:space="0" w:color="auto"/>
        <w:left w:val="none" w:sz="0" w:space="0" w:color="auto"/>
        <w:bottom w:val="none" w:sz="0" w:space="0" w:color="auto"/>
        <w:right w:val="none" w:sz="0" w:space="0" w:color="auto"/>
      </w:divBdr>
    </w:div>
    <w:div w:id="881795429">
      <w:bodyDiv w:val="1"/>
      <w:marLeft w:val="0"/>
      <w:marRight w:val="0"/>
      <w:marTop w:val="0"/>
      <w:marBottom w:val="0"/>
      <w:divBdr>
        <w:top w:val="none" w:sz="0" w:space="0" w:color="auto"/>
        <w:left w:val="none" w:sz="0" w:space="0" w:color="auto"/>
        <w:bottom w:val="none" w:sz="0" w:space="0" w:color="auto"/>
        <w:right w:val="none" w:sz="0" w:space="0" w:color="auto"/>
      </w:divBdr>
    </w:div>
    <w:div w:id="936643513">
      <w:bodyDiv w:val="1"/>
      <w:marLeft w:val="0"/>
      <w:marRight w:val="0"/>
      <w:marTop w:val="0"/>
      <w:marBottom w:val="0"/>
      <w:divBdr>
        <w:top w:val="none" w:sz="0" w:space="0" w:color="auto"/>
        <w:left w:val="none" w:sz="0" w:space="0" w:color="auto"/>
        <w:bottom w:val="none" w:sz="0" w:space="0" w:color="auto"/>
        <w:right w:val="none" w:sz="0" w:space="0" w:color="auto"/>
      </w:divBdr>
    </w:div>
    <w:div w:id="965429001">
      <w:bodyDiv w:val="1"/>
      <w:marLeft w:val="0"/>
      <w:marRight w:val="0"/>
      <w:marTop w:val="0"/>
      <w:marBottom w:val="0"/>
      <w:divBdr>
        <w:top w:val="none" w:sz="0" w:space="0" w:color="auto"/>
        <w:left w:val="none" w:sz="0" w:space="0" w:color="auto"/>
        <w:bottom w:val="none" w:sz="0" w:space="0" w:color="auto"/>
        <w:right w:val="none" w:sz="0" w:space="0" w:color="auto"/>
      </w:divBdr>
    </w:div>
    <w:div w:id="1000741709">
      <w:bodyDiv w:val="1"/>
      <w:marLeft w:val="0"/>
      <w:marRight w:val="0"/>
      <w:marTop w:val="0"/>
      <w:marBottom w:val="0"/>
      <w:divBdr>
        <w:top w:val="none" w:sz="0" w:space="0" w:color="auto"/>
        <w:left w:val="none" w:sz="0" w:space="0" w:color="auto"/>
        <w:bottom w:val="none" w:sz="0" w:space="0" w:color="auto"/>
        <w:right w:val="none" w:sz="0" w:space="0" w:color="auto"/>
      </w:divBdr>
    </w:div>
    <w:div w:id="1052267707">
      <w:bodyDiv w:val="1"/>
      <w:marLeft w:val="0"/>
      <w:marRight w:val="0"/>
      <w:marTop w:val="0"/>
      <w:marBottom w:val="0"/>
      <w:divBdr>
        <w:top w:val="none" w:sz="0" w:space="0" w:color="auto"/>
        <w:left w:val="none" w:sz="0" w:space="0" w:color="auto"/>
        <w:bottom w:val="none" w:sz="0" w:space="0" w:color="auto"/>
        <w:right w:val="none" w:sz="0" w:space="0" w:color="auto"/>
      </w:divBdr>
    </w:div>
    <w:div w:id="1115782871">
      <w:bodyDiv w:val="1"/>
      <w:marLeft w:val="0"/>
      <w:marRight w:val="0"/>
      <w:marTop w:val="0"/>
      <w:marBottom w:val="0"/>
      <w:divBdr>
        <w:top w:val="none" w:sz="0" w:space="0" w:color="auto"/>
        <w:left w:val="none" w:sz="0" w:space="0" w:color="auto"/>
        <w:bottom w:val="none" w:sz="0" w:space="0" w:color="auto"/>
        <w:right w:val="none" w:sz="0" w:space="0" w:color="auto"/>
      </w:divBdr>
    </w:div>
    <w:div w:id="1201165546">
      <w:bodyDiv w:val="1"/>
      <w:marLeft w:val="0"/>
      <w:marRight w:val="0"/>
      <w:marTop w:val="0"/>
      <w:marBottom w:val="0"/>
      <w:divBdr>
        <w:top w:val="none" w:sz="0" w:space="0" w:color="auto"/>
        <w:left w:val="none" w:sz="0" w:space="0" w:color="auto"/>
        <w:bottom w:val="none" w:sz="0" w:space="0" w:color="auto"/>
        <w:right w:val="none" w:sz="0" w:space="0" w:color="auto"/>
      </w:divBdr>
    </w:div>
    <w:div w:id="1357537140">
      <w:bodyDiv w:val="1"/>
      <w:marLeft w:val="0"/>
      <w:marRight w:val="0"/>
      <w:marTop w:val="0"/>
      <w:marBottom w:val="0"/>
      <w:divBdr>
        <w:top w:val="none" w:sz="0" w:space="0" w:color="auto"/>
        <w:left w:val="none" w:sz="0" w:space="0" w:color="auto"/>
        <w:bottom w:val="none" w:sz="0" w:space="0" w:color="auto"/>
        <w:right w:val="none" w:sz="0" w:space="0" w:color="auto"/>
      </w:divBdr>
    </w:div>
    <w:div w:id="1378353980">
      <w:bodyDiv w:val="1"/>
      <w:marLeft w:val="0"/>
      <w:marRight w:val="0"/>
      <w:marTop w:val="0"/>
      <w:marBottom w:val="0"/>
      <w:divBdr>
        <w:top w:val="none" w:sz="0" w:space="0" w:color="auto"/>
        <w:left w:val="none" w:sz="0" w:space="0" w:color="auto"/>
        <w:bottom w:val="none" w:sz="0" w:space="0" w:color="auto"/>
        <w:right w:val="none" w:sz="0" w:space="0" w:color="auto"/>
      </w:divBdr>
    </w:div>
    <w:div w:id="1507282059">
      <w:bodyDiv w:val="1"/>
      <w:marLeft w:val="0"/>
      <w:marRight w:val="0"/>
      <w:marTop w:val="0"/>
      <w:marBottom w:val="0"/>
      <w:divBdr>
        <w:top w:val="none" w:sz="0" w:space="0" w:color="auto"/>
        <w:left w:val="none" w:sz="0" w:space="0" w:color="auto"/>
        <w:bottom w:val="none" w:sz="0" w:space="0" w:color="auto"/>
        <w:right w:val="none" w:sz="0" w:space="0" w:color="auto"/>
      </w:divBdr>
    </w:div>
    <w:div w:id="1758284337">
      <w:bodyDiv w:val="1"/>
      <w:marLeft w:val="0"/>
      <w:marRight w:val="0"/>
      <w:marTop w:val="0"/>
      <w:marBottom w:val="0"/>
      <w:divBdr>
        <w:top w:val="none" w:sz="0" w:space="0" w:color="auto"/>
        <w:left w:val="none" w:sz="0" w:space="0" w:color="auto"/>
        <w:bottom w:val="none" w:sz="0" w:space="0" w:color="auto"/>
        <w:right w:val="none" w:sz="0" w:space="0" w:color="auto"/>
      </w:divBdr>
    </w:div>
    <w:div w:id="1773012749">
      <w:bodyDiv w:val="1"/>
      <w:marLeft w:val="0"/>
      <w:marRight w:val="0"/>
      <w:marTop w:val="0"/>
      <w:marBottom w:val="0"/>
      <w:divBdr>
        <w:top w:val="none" w:sz="0" w:space="0" w:color="auto"/>
        <w:left w:val="none" w:sz="0" w:space="0" w:color="auto"/>
        <w:bottom w:val="none" w:sz="0" w:space="0" w:color="auto"/>
        <w:right w:val="none" w:sz="0" w:space="0" w:color="auto"/>
      </w:divBdr>
    </w:div>
    <w:div w:id="1777208524">
      <w:bodyDiv w:val="1"/>
      <w:marLeft w:val="0"/>
      <w:marRight w:val="0"/>
      <w:marTop w:val="0"/>
      <w:marBottom w:val="0"/>
      <w:divBdr>
        <w:top w:val="none" w:sz="0" w:space="0" w:color="auto"/>
        <w:left w:val="none" w:sz="0" w:space="0" w:color="auto"/>
        <w:bottom w:val="none" w:sz="0" w:space="0" w:color="auto"/>
        <w:right w:val="none" w:sz="0" w:space="0" w:color="auto"/>
      </w:divBdr>
    </w:div>
    <w:div w:id="1853034707">
      <w:bodyDiv w:val="1"/>
      <w:marLeft w:val="0"/>
      <w:marRight w:val="0"/>
      <w:marTop w:val="0"/>
      <w:marBottom w:val="0"/>
      <w:divBdr>
        <w:top w:val="none" w:sz="0" w:space="0" w:color="auto"/>
        <w:left w:val="none" w:sz="0" w:space="0" w:color="auto"/>
        <w:bottom w:val="none" w:sz="0" w:space="0" w:color="auto"/>
        <w:right w:val="none" w:sz="0" w:space="0" w:color="auto"/>
      </w:divBdr>
    </w:div>
    <w:div w:id="1935897248">
      <w:bodyDiv w:val="1"/>
      <w:marLeft w:val="0"/>
      <w:marRight w:val="0"/>
      <w:marTop w:val="0"/>
      <w:marBottom w:val="0"/>
      <w:divBdr>
        <w:top w:val="none" w:sz="0" w:space="0" w:color="auto"/>
        <w:left w:val="none" w:sz="0" w:space="0" w:color="auto"/>
        <w:bottom w:val="none" w:sz="0" w:space="0" w:color="auto"/>
        <w:right w:val="none" w:sz="0" w:space="0" w:color="auto"/>
      </w:divBdr>
    </w:div>
    <w:div w:id="1941524203">
      <w:bodyDiv w:val="1"/>
      <w:marLeft w:val="0"/>
      <w:marRight w:val="0"/>
      <w:marTop w:val="0"/>
      <w:marBottom w:val="0"/>
      <w:divBdr>
        <w:top w:val="none" w:sz="0" w:space="0" w:color="auto"/>
        <w:left w:val="none" w:sz="0" w:space="0" w:color="auto"/>
        <w:bottom w:val="none" w:sz="0" w:space="0" w:color="auto"/>
        <w:right w:val="none" w:sz="0" w:space="0" w:color="auto"/>
      </w:divBdr>
    </w:div>
    <w:div w:id="1946644956">
      <w:bodyDiv w:val="1"/>
      <w:marLeft w:val="0"/>
      <w:marRight w:val="0"/>
      <w:marTop w:val="0"/>
      <w:marBottom w:val="0"/>
      <w:divBdr>
        <w:top w:val="none" w:sz="0" w:space="0" w:color="auto"/>
        <w:left w:val="none" w:sz="0" w:space="0" w:color="auto"/>
        <w:bottom w:val="none" w:sz="0" w:space="0" w:color="auto"/>
        <w:right w:val="none" w:sz="0" w:space="0" w:color="auto"/>
      </w:divBdr>
    </w:div>
    <w:div w:id="2024242028">
      <w:bodyDiv w:val="1"/>
      <w:marLeft w:val="0"/>
      <w:marRight w:val="0"/>
      <w:marTop w:val="0"/>
      <w:marBottom w:val="0"/>
      <w:divBdr>
        <w:top w:val="none" w:sz="0" w:space="0" w:color="auto"/>
        <w:left w:val="none" w:sz="0" w:space="0" w:color="auto"/>
        <w:bottom w:val="none" w:sz="0" w:space="0" w:color="auto"/>
        <w:right w:val="none" w:sz="0" w:space="0" w:color="auto"/>
      </w:divBdr>
    </w:div>
    <w:div w:id="205076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nhihen@b-tu.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CF6565A-3248-4086-A785-221979771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13713</Words>
  <Characters>78170</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2025-09-02T10:49:00Z</dcterms:created>
  <dcterms:modified xsi:type="dcterms:W3CDTF">2025-09-02T10:49:00Z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id="e3N2sXPN"/&gt;&lt;style id="http://www.zotero.org/styles/agriculture-ecosystems-and-environment" hasBibliography="1" bibliographyStyleHasBeenSet="1"/&gt;&lt;prefs&gt;&lt;pref name="fieldType" value="Field"/&gt;&lt;/pref</vt:lpwstr>
  </property>
  <property fmtid="{D5CDD505-2E9C-101B-9397-08002B2CF9AE}" pid="3" name="ZOTERO_PREF_2">
    <vt:lpwstr>s&gt;&lt;/data&gt;</vt:lpwstr>
  </property>
  <property fmtid="{D5CDD505-2E9C-101B-9397-08002B2CF9AE}" pid="4" name="_MarkAsFinal">
    <vt:bool>true</vt:bool>
  </property>
</Properties>
</file>