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6E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/>
          <w:szCs w:val="21"/>
        </w:rPr>
      </w:pPr>
    </w:p>
    <w:p w14:paraId="527B6E44">
      <w:pPr>
        <w:spacing w:line="360" w:lineRule="auto"/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Hlk194429340"/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Schwann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ell-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erived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xtracellular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esicles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nhibit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steoclastogenesis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hrough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he PTEN/AKT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xis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n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eripheral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erve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-b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one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rosstalk</w:t>
      </w:r>
    </w:p>
    <w:p w14:paraId="0D3D0CA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Huijian Yang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,2,3,4,5,6</w:t>
      </w:r>
      <w:r>
        <w:rPr>
          <w:rFonts w:hint="eastAsia" w:ascii="宋体" w:hAnsi="宋体" w:eastAsia="宋体" w:cs="宋体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Biao Yu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1,2,3,4,5</w:t>
      </w:r>
      <w:r>
        <w:rPr>
          <w:rFonts w:hint="eastAsia" w:ascii="宋体" w:hAnsi="宋体" w:eastAsia="宋体" w:cs="宋体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Ruiyang Li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Yang Hong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1,2,3,4,5</w:t>
      </w:r>
      <w:r>
        <w:rPr>
          <w:rFonts w:hint="eastAsia" w:ascii="宋体" w:hAnsi="宋体" w:eastAsia="宋体" w:cs="宋体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Mingzhu Shen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1,2,3,4,5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Tianzhuo Shen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1,2,3,4,5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Xiuhui Wang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Han Liu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Ke Xu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Yuhai Ma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Mengmeng Li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1,2,3,4,8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Jiacan Su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1,2,3,4,7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Style w:val="10"/>
          <w:rFonts w:ascii="Times New Roman" w:hAnsi="Times New Roman" w:cs="Times New Roman"/>
          <w:color w:val="FFFFFF" w:themeColor="background1"/>
          <w14:textFill>
            <w14:solidFill>
              <w14:schemeClr w14:val="bg1"/>
            </w14:solidFill>
          </w14:textFill>
        </w:rPr>
        <w:footnoteReference w:id="0"/>
      </w:r>
    </w:p>
    <w:p w14:paraId="355A8274">
      <w:pPr>
        <w:rPr>
          <w:rFonts w:ascii="Times New Roman" w:hAnsi="Times New Roman" w:eastAsia="宋体" w:cs="Times New Roman"/>
          <w:bCs/>
        </w:rPr>
      </w:pPr>
    </w:p>
    <w:bookmarkEnd w:id="0"/>
    <w:p w14:paraId="29F2E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Supplementary data</w:t>
      </w:r>
    </w:p>
    <w:p w14:paraId="19BB7ADB">
      <w:pPr>
        <w:rPr>
          <w:rFonts w:ascii="Times New Roman" w:hAnsi="Times New Roman" w:cs="Times New Roman"/>
          <w:szCs w:val="21"/>
        </w:rPr>
      </w:pPr>
    </w:p>
    <w:p w14:paraId="5F696823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599815" cy="2402205"/>
            <wp:effectExtent l="0" t="0" r="0" b="0"/>
            <wp:docPr id="1104111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11947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4" b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24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2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/>
          <w:szCs w:val="21"/>
        </w:rPr>
      </w:pPr>
    </w:p>
    <w:p w14:paraId="398B9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Effects of SCs and SC-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CM</w:t>
      </w:r>
      <w:r>
        <w:rPr>
          <w:rFonts w:hint="eastAsia" w:ascii="Times New Roman" w:hAnsi="Times New Roman" w:cs="Times New Roman"/>
          <w:sz w:val="21"/>
          <w:szCs w:val="21"/>
        </w:rPr>
        <w:t xml:space="preserve"> on the viability of BMMs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) </w:t>
      </w:r>
      <w:r>
        <w:rPr>
          <w:rFonts w:hint="eastAsia" w:ascii="Times New Roman" w:hAnsi="Times New Roman" w:cs="Times New Roman"/>
          <w:sz w:val="21"/>
          <w:szCs w:val="21"/>
        </w:rPr>
        <w:t xml:space="preserve">Cell viability of BMMs after direct co-culture with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SCs</w:t>
      </w:r>
      <w:r>
        <w:rPr>
          <w:rFonts w:hint="eastAsia" w:ascii="Times New Roman" w:hAnsi="Times New Roman" w:cs="Times New Roman"/>
          <w:sz w:val="21"/>
          <w:szCs w:val="21"/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) Cell viability of BMMs after co-culture with </w:t>
      </w:r>
      <w:r>
        <w:rPr>
          <w:rFonts w:hint="eastAsia" w:ascii="Times New Roman" w:hAnsi="Times New Roman" w:cs="Times New Roman"/>
          <w:sz w:val="21"/>
          <w:szCs w:val="21"/>
        </w:rPr>
        <w:t>SC-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CM</w:t>
      </w:r>
      <w:r>
        <w:rPr>
          <w:rFonts w:ascii="Times New Roman" w:hAnsi="Times New Roman" w:cs="Times New Roman"/>
          <w:sz w:val="21"/>
          <w:szCs w:val="21"/>
        </w:rPr>
        <w:t>. n = 3, 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0.05</w:t>
      </w:r>
      <w:r>
        <w:rPr>
          <w:rFonts w:ascii="Times New Roman" w:hAnsi="Times New Roman" w:cs="Times New Roman"/>
          <w:sz w:val="21"/>
          <w:szCs w:val="21"/>
        </w:rPr>
        <w:t>, **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0.01</w:t>
      </w:r>
      <w:r>
        <w:rPr>
          <w:rFonts w:ascii="Times New Roman" w:hAnsi="Times New Roman" w:cs="Times New Roman"/>
          <w:sz w:val="21"/>
          <w:szCs w:val="21"/>
        </w:rPr>
        <w:t>, ***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0.001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116FEC95">
      <w:pPr>
        <w:jc w:val="center"/>
      </w:pPr>
      <w:r>
        <w:drawing>
          <wp:inline distT="0" distB="0" distL="114300" distR="114300">
            <wp:extent cx="5262880" cy="512064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A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FA9A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Differential miRNA expression profiles between SCs and SC-EVs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A</w:t>
      </w:r>
      <w:r>
        <w:rPr>
          <w:rFonts w:hint="eastAsia" w:ascii="Times New Roman" w:hAnsi="Times New Roman" w:cs="Times New Roman"/>
          <w:sz w:val="21"/>
          <w:szCs w:val="21"/>
        </w:rPr>
        <w:t>) PCA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B</w:t>
      </w:r>
      <w:r>
        <w:rPr>
          <w:rFonts w:hint="eastAsia" w:ascii="Times New Roman" w:hAnsi="Times New Roman" w:cs="Times New Roman"/>
          <w:sz w:val="21"/>
          <w:szCs w:val="21"/>
        </w:rPr>
        <w:t>) Inter-sample correlation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C</w:t>
      </w:r>
      <w:r>
        <w:rPr>
          <w:rFonts w:hint="eastAsia" w:ascii="Times New Roman" w:hAnsi="Times New Roman" w:cs="Times New Roman"/>
          <w:sz w:val="21"/>
          <w:szCs w:val="21"/>
        </w:rPr>
        <w:t>) Heatmap of differentially expressed miRNAs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D</w:t>
      </w:r>
      <w:r>
        <w:rPr>
          <w:rFonts w:hint="eastAsia" w:ascii="Times New Roman" w:hAnsi="Times New Roman" w:cs="Times New Roman"/>
          <w:sz w:val="21"/>
          <w:szCs w:val="21"/>
        </w:rPr>
        <w:t>) KEGG pathway enrichment bar plot</w:t>
      </w:r>
    </w:p>
    <w:p w14:paraId="1046369C">
      <w:pPr>
        <w:rPr>
          <w:rFonts w:ascii="Times New Roman" w:hAnsi="Times New Roman" w:cs="Times New Roman"/>
          <w:szCs w:val="21"/>
        </w:rPr>
      </w:pPr>
    </w:p>
    <w:p w14:paraId="446BE1C2">
      <w:pPr>
        <w:rPr>
          <w:rFonts w:ascii="Times New Roman" w:hAnsi="Times New Roman" w:cs="Times New Roman"/>
          <w:szCs w:val="21"/>
        </w:rPr>
      </w:pPr>
    </w:p>
    <w:p w14:paraId="392D111D">
      <w:pPr>
        <w:jc w:val="center"/>
      </w:pPr>
      <w:r>
        <w:drawing>
          <wp:inline distT="0" distB="0" distL="114300" distR="114300">
            <wp:extent cx="2753360" cy="2410460"/>
            <wp:effectExtent l="0" t="0" r="889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3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325A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Zeta potential of engineered SC-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B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TE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V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s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</w:rPr>
        <w:t xml:space="preserve"> by DLS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.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</w:rPr>
        <w:t>Zeta potential of engineered SC-BTEVs measured by DLS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.</w:t>
      </w:r>
    </w:p>
    <w:p w14:paraId="547963E2">
      <w:pPr>
        <w:jc w:val="left"/>
        <w:rPr>
          <w:rFonts w:ascii="Times New Roman" w:hAnsi="Times New Roman" w:cs="Times New Roman"/>
          <w:szCs w:val="21"/>
        </w:rPr>
      </w:pPr>
    </w:p>
    <w:p w14:paraId="0D3557DD">
      <w:pPr>
        <w:jc w:val="left"/>
        <w:rPr>
          <w:rFonts w:ascii="Times New Roman" w:hAnsi="Times New Roman" w:cs="Times New Roman"/>
          <w:szCs w:val="21"/>
        </w:rPr>
      </w:pPr>
    </w:p>
    <w:p w14:paraId="7B2D45A7">
      <w:pPr>
        <w:jc w:val="center"/>
      </w:pPr>
      <w:r>
        <w:drawing>
          <wp:inline distT="0" distB="0" distL="114300" distR="114300">
            <wp:extent cx="2282825" cy="2458720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5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DF99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 xml:space="preserve">Serum levels of the bone resorption marker CTX-I measured by ELISA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from mice in different treatment groups</w:t>
      </w:r>
      <w:r>
        <w:rPr>
          <w:rFonts w:ascii="Times New Roman" w:hAnsi="Times New Roman" w:cs="Times New Roman"/>
          <w:sz w:val="21"/>
          <w:szCs w:val="21"/>
        </w:rPr>
        <w:t xml:space="preserve">. n = 5, 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>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0.05</w:t>
      </w:r>
      <w:r>
        <w:rPr>
          <w:rFonts w:ascii="Times New Roman" w:hAnsi="Times New Roman" w:cs="Times New Roman"/>
          <w:sz w:val="21"/>
          <w:szCs w:val="21"/>
        </w:rPr>
        <w:t>,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 xml:space="preserve"> **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0.01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>***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0.001</w:t>
      </w:r>
      <w:r>
        <w:rPr>
          <w:rFonts w:ascii="Times New Roman" w:hAnsi="Times New Roman" w:cs="Times New Roman"/>
          <w:sz w:val="21"/>
          <w:szCs w:val="21"/>
        </w:rPr>
        <w:t xml:space="preserve">; 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>#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0.05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>##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0.01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1"/>
          <w:szCs w:val="21"/>
        </w:rPr>
        <w:t>###</w:t>
      </w:r>
      <w:r>
        <w:rPr>
          <w:rFonts w:ascii="Times New Roman" w:hAnsi="Times New Roman" w:cs="Times New Roman"/>
          <w:i/>
          <w:iCs/>
          <w:sz w:val="21"/>
          <w:szCs w:val="21"/>
        </w:rPr>
        <w:t>P &lt; 0.001</w:t>
      </w:r>
      <w:r>
        <w:rPr>
          <w:rFonts w:ascii="Times New Roman" w:hAnsi="Times New Roman" w:cs="Times New Roman"/>
          <w:sz w:val="21"/>
          <w:szCs w:val="21"/>
        </w:rPr>
        <w:t xml:space="preserve"> vs. SHAM</w:t>
      </w:r>
    </w:p>
    <w:p w14:paraId="750BC34E">
      <w:pPr>
        <w:jc w:val="center"/>
        <w:rPr>
          <w:rFonts w:ascii="Times New Roman" w:hAnsi="Times New Roman" w:cs="Times New Roman"/>
          <w:szCs w:val="21"/>
        </w:rPr>
      </w:pPr>
    </w:p>
    <w:p w14:paraId="0EE516AA">
      <w:pPr>
        <w:jc w:val="center"/>
      </w:pPr>
      <w:r>
        <w:drawing>
          <wp:inline distT="0" distB="0" distL="114300" distR="114300">
            <wp:extent cx="4999355" cy="48882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9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E93F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H&amp;E staining of heart, liver, spleen, lung, and kidney from mice in different treatment groups</w:t>
      </w:r>
    </w:p>
    <w:p w14:paraId="060D4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7F624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7D892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4DC8C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60066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5792D2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134C4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7A73F4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35998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</w:p>
    <w:p w14:paraId="49705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Times New Roman"/>
          <w:sz w:val="21"/>
          <w:szCs w:val="21"/>
        </w:rPr>
      </w:pPr>
      <w:bookmarkStart w:id="1" w:name="_GoBack"/>
      <w:bookmarkEnd w:id="1"/>
    </w:p>
    <w:p w14:paraId="31EA1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S1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The primers of genes used in the article</w:t>
      </w:r>
    </w:p>
    <w:p w14:paraId="7C83E008">
      <w:pPr>
        <w:jc w:val="center"/>
        <w:rPr>
          <w:rFonts w:ascii="Times New Roman" w:hAnsi="Times New Roman" w:cs="Times New Roman"/>
          <w:b/>
          <w:bCs/>
          <w:szCs w:val="21"/>
        </w:rPr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0"/>
        <w:gridCol w:w="4148"/>
      </w:tblGrid>
      <w:tr w14:paraId="4F40D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6A3692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Gene</w:t>
            </w:r>
          </w:p>
        </w:tc>
        <w:tc>
          <w:tcPr>
            <w:tcW w:w="414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4AA24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Primer sequence (5‘ to 3’)</w:t>
            </w:r>
          </w:p>
        </w:tc>
      </w:tr>
      <w:tr w14:paraId="6426E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tcBorders>
              <w:top w:val="single" w:color="auto" w:sz="4" w:space="0"/>
            </w:tcBorders>
            <w:vAlign w:val="center"/>
          </w:tcPr>
          <w:p w14:paraId="0529C9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Nfatc1-F</w:t>
            </w:r>
          </w:p>
        </w:tc>
        <w:tc>
          <w:tcPr>
            <w:tcW w:w="4148" w:type="dxa"/>
            <w:tcBorders>
              <w:top w:val="single" w:color="auto" w:sz="4" w:space="0"/>
            </w:tcBorders>
            <w:vAlign w:val="center"/>
          </w:tcPr>
          <w:p w14:paraId="2F2CC8FA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CACTCCACCCACTTCTGACTTCC</w:t>
            </w:r>
          </w:p>
        </w:tc>
      </w:tr>
      <w:tr w14:paraId="24AEA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42A8E4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Nfatc1-R</w:t>
            </w:r>
          </w:p>
        </w:tc>
        <w:tc>
          <w:tcPr>
            <w:tcW w:w="4148" w:type="dxa"/>
            <w:vAlign w:val="center"/>
          </w:tcPr>
          <w:p w14:paraId="6462283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GGCTGCCTTCCGTCTCATAGTG</w:t>
            </w:r>
          </w:p>
        </w:tc>
      </w:tr>
      <w:tr w14:paraId="64807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5A4E32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ACP5-F</w:t>
            </w:r>
          </w:p>
        </w:tc>
        <w:tc>
          <w:tcPr>
            <w:tcW w:w="4148" w:type="dxa"/>
            <w:vAlign w:val="center"/>
          </w:tcPr>
          <w:p w14:paraId="04E1C64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CACGATGCCAGCGACAAGA</w:t>
            </w:r>
          </w:p>
        </w:tc>
      </w:tr>
      <w:tr w14:paraId="635B1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2E82AD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ACP5-R</w:t>
            </w:r>
          </w:p>
        </w:tc>
        <w:tc>
          <w:tcPr>
            <w:tcW w:w="4148" w:type="dxa"/>
            <w:vAlign w:val="center"/>
          </w:tcPr>
          <w:p w14:paraId="665844FA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TGAAGCGCAAACGGTAGTAAGG</w:t>
            </w:r>
          </w:p>
        </w:tc>
      </w:tr>
      <w:tr w14:paraId="6AFAB6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38389D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Ctsk-F</w:t>
            </w:r>
          </w:p>
        </w:tc>
        <w:tc>
          <w:tcPr>
            <w:tcW w:w="4148" w:type="dxa"/>
            <w:vAlign w:val="center"/>
          </w:tcPr>
          <w:p w14:paraId="6EF5E90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GTTGACTTCCGCAATCCTTACC</w:t>
            </w:r>
          </w:p>
        </w:tc>
      </w:tr>
      <w:tr w14:paraId="38037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2F37FC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Ctsk-R</w:t>
            </w:r>
          </w:p>
        </w:tc>
        <w:tc>
          <w:tcPr>
            <w:tcW w:w="4148" w:type="dxa"/>
            <w:vAlign w:val="center"/>
          </w:tcPr>
          <w:p w14:paraId="11CE72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CAGCAGAAACTTGAACACCCAC</w:t>
            </w:r>
          </w:p>
        </w:tc>
      </w:tr>
      <w:tr w14:paraId="5A7E3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2E41A8AD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PTEN-F</w:t>
            </w:r>
          </w:p>
        </w:tc>
        <w:tc>
          <w:tcPr>
            <w:tcW w:w="4148" w:type="dxa"/>
            <w:vAlign w:val="center"/>
          </w:tcPr>
          <w:p w14:paraId="27F0C339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TTGAAGACCATAACCCACCACA</w:t>
            </w:r>
          </w:p>
        </w:tc>
      </w:tr>
      <w:tr w14:paraId="4C4F5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56F524EE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PTEN-R</w:t>
            </w:r>
          </w:p>
        </w:tc>
        <w:tc>
          <w:tcPr>
            <w:tcW w:w="4148" w:type="dxa"/>
            <w:vAlign w:val="center"/>
          </w:tcPr>
          <w:p w14:paraId="15969142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ATCATTACACCAGTCCGTCCCT</w:t>
            </w:r>
          </w:p>
        </w:tc>
      </w:tr>
      <w:tr w14:paraId="6DA8E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vAlign w:val="center"/>
          </w:tcPr>
          <w:p w14:paraId="509E8BE0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GAPDH -F</w:t>
            </w:r>
          </w:p>
        </w:tc>
        <w:tc>
          <w:tcPr>
            <w:tcW w:w="4148" w:type="dxa"/>
            <w:vAlign w:val="center"/>
          </w:tcPr>
          <w:p w14:paraId="6D68EF15">
            <w:pPr>
              <w:spacing w:line="360" w:lineRule="auto"/>
              <w:jc w:val="center"/>
              <w:rPr>
                <w:rFonts w:ascii="Times New Roman" w:hAnsi="Times New Roman" w:eastAsia="微软雅黑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CCTCGTCCCGTAGACAAAATG</w:t>
            </w:r>
          </w:p>
        </w:tc>
      </w:tr>
      <w:tr w14:paraId="433625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0" w:type="dxa"/>
            <w:tcBorders>
              <w:bottom w:val="single" w:color="auto" w:sz="12" w:space="0"/>
            </w:tcBorders>
            <w:vAlign w:val="center"/>
          </w:tcPr>
          <w:p w14:paraId="63AB98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szCs w:val="21"/>
              </w:rPr>
              <w:t>GAPDH -R</w:t>
            </w:r>
          </w:p>
        </w:tc>
        <w:tc>
          <w:tcPr>
            <w:tcW w:w="4148" w:type="dxa"/>
            <w:tcBorders>
              <w:bottom w:val="single" w:color="auto" w:sz="12" w:space="0"/>
            </w:tcBorders>
            <w:vAlign w:val="center"/>
          </w:tcPr>
          <w:p w14:paraId="4911996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微软雅黑" w:cs="Times New Roman"/>
                <w:szCs w:val="21"/>
              </w:rPr>
              <w:t>TGAGGTCAATGAAGGGGTCGT</w:t>
            </w:r>
          </w:p>
        </w:tc>
      </w:tr>
    </w:tbl>
    <w:p w14:paraId="0F3D5B16">
      <w:pPr>
        <w:rPr>
          <w:rFonts w:ascii="Times New Roman" w:hAnsi="Times New Roman" w:cs="Times New Roman"/>
          <w:szCs w:val="21"/>
        </w:rPr>
      </w:pPr>
    </w:p>
    <w:p w14:paraId="34A36687">
      <w:pPr>
        <w:rPr>
          <w:rFonts w:ascii="Times New Roman" w:hAnsi="Times New Roman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67A43CE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Huijian Yang, Biao Yu, Ruiyang Li and Yang Hong contributed equally to this work.</w:t>
      </w:r>
    </w:p>
    <w:p w14:paraId="3B19BC3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___________________________</w:t>
      </w:r>
    </w:p>
    <w:p w14:paraId="5C0E60F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*</w:t>
      </w:r>
      <w:r>
        <w:rPr>
          <w:rFonts w:hint="default" w:ascii="Times New Roman" w:hAnsi="Times New Roman" w:cs="Times New Roman"/>
          <w:sz w:val="21"/>
          <w:szCs w:val="21"/>
        </w:rPr>
        <w:t>Correspondence:</w:t>
      </w:r>
    </w:p>
    <w:p w14:paraId="38E689E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Ke Xu </w:t>
      </w:r>
    </w:p>
    <w:p w14:paraId="5E9C6DB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kexu@shu.edu.cn </w:t>
      </w:r>
    </w:p>
    <w:p w14:paraId="14819CB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Yuhai Ma</w:t>
      </w:r>
    </w:p>
    <w:p w14:paraId="6D08096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fldChar w:fldCharType="begin"/>
      </w: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instrText xml:space="preserve"> HYPERLINK "mailto:yuhaima@126.com" </w:instrText>
      </w: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fldChar w:fldCharType="separate"/>
      </w:r>
      <w:r>
        <w:rPr>
          <w:rStyle w:val="9"/>
          <w:rFonts w:hint="default" w:ascii="Times New Roman" w:hAnsi="Times New Roman" w:cs="Times New Roman"/>
          <w:color w:val="auto"/>
          <w:sz w:val="21"/>
          <w:szCs w:val="21"/>
          <w:u w:val="none"/>
        </w:rPr>
        <w:t>yuhaima@126.com</w:t>
      </w: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fldChar w:fldCharType="end"/>
      </w:r>
    </w:p>
    <w:p w14:paraId="67FAEDB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Mengmeng Li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</w:p>
    <w:p w14:paraId="2783303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  <w:fldChar w:fldCharType="begin"/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  <w:instrText xml:space="preserve"> HYPERLINK "mailto:mengmengli@shu.edu.cn" </w:instrTex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  <w:fldChar w:fldCharType="separate"/>
      </w:r>
      <w:r>
        <w:rPr>
          <w:rStyle w:val="9"/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  <w:t>mengmengli@shu.edu.cn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u w:val="none"/>
        </w:rPr>
        <w:fldChar w:fldCharType="end"/>
      </w:r>
    </w:p>
    <w:p w14:paraId="1CFBE34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Jiacan Su</w:t>
      </w:r>
    </w:p>
    <w:p w14:paraId="2AE2825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drsujiacan@163.com </w:t>
      </w:r>
    </w:p>
    <w:p w14:paraId="2F58C5F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Full list of author information is available at the end of the articl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footnotePr>
    <w:footnote w:id="2"/>
    <w:footnote w:id="3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84"/>
    <w:rsid w:val="00097621"/>
    <w:rsid w:val="000E1022"/>
    <w:rsid w:val="00133ED0"/>
    <w:rsid w:val="0014011A"/>
    <w:rsid w:val="001478E9"/>
    <w:rsid w:val="001B6E51"/>
    <w:rsid w:val="001E6E01"/>
    <w:rsid w:val="00245C21"/>
    <w:rsid w:val="002C7CF5"/>
    <w:rsid w:val="0030164F"/>
    <w:rsid w:val="00361314"/>
    <w:rsid w:val="003710A2"/>
    <w:rsid w:val="003A5B00"/>
    <w:rsid w:val="00494144"/>
    <w:rsid w:val="004A722E"/>
    <w:rsid w:val="004E630A"/>
    <w:rsid w:val="00521D56"/>
    <w:rsid w:val="00552921"/>
    <w:rsid w:val="006039FF"/>
    <w:rsid w:val="006226A8"/>
    <w:rsid w:val="006479DF"/>
    <w:rsid w:val="006B011C"/>
    <w:rsid w:val="006C20C3"/>
    <w:rsid w:val="006E6CA6"/>
    <w:rsid w:val="00747412"/>
    <w:rsid w:val="007760CB"/>
    <w:rsid w:val="007764F8"/>
    <w:rsid w:val="00796D74"/>
    <w:rsid w:val="007C278D"/>
    <w:rsid w:val="0081319A"/>
    <w:rsid w:val="00842A1E"/>
    <w:rsid w:val="008E60DA"/>
    <w:rsid w:val="00904115"/>
    <w:rsid w:val="009178DB"/>
    <w:rsid w:val="00942817"/>
    <w:rsid w:val="0098664B"/>
    <w:rsid w:val="00A56184"/>
    <w:rsid w:val="00AE79EF"/>
    <w:rsid w:val="00B23EA9"/>
    <w:rsid w:val="00BE46E8"/>
    <w:rsid w:val="00BF0F99"/>
    <w:rsid w:val="00BF46D3"/>
    <w:rsid w:val="00C17B28"/>
    <w:rsid w:val="00CD22AC"/>
    <w:rsid w:val="00DB76C7"/>
    <w:rsid w:val="00EB2304"/>
    <w:rsid w:val="00F1146E"/>
    <w:rsid w:val="00F13BC2"/>
    <w:rsid w:val="00F13CCE"/>
    <w:rsid w:val="00F312F6"/>
    <w:rsid w:val="00F5383C"/>
    <w:rsid w:val="00F548B3"/>
    <w:rsid w:val="00F63042"/>
    <w:rsid w:val="00F82114"/>
    <w:rsid w:val="036965D0"/>
    <w:rsid w:val="130848A2"/>
    <w:rsid w:val="14080104"/>
    <w:rsid w:val="18BC7F9F"/>
    <w:rsid w:val="1A661FA5"/>
    <w:rsid w:val="22C207DB"/>
    <w:rsid w:val="25F05151"/>
    <w:rsid w:val="27725403"/>
    <w:rsid w:val="29012DC4"/>
    <w:rsid w:val="2D222D4C"/>
    <w:rsid w:val="30BF6D70"/>
    <w:rsid w:val="342F1837"/>
    <w:rsid w:val="3B482949"/>
    <w:rsid w:val="3C6C2344"/>
    <w:rsid w:val="3D6C6A24"/>
    <w:rsid w:val="3DB7010B"/>
    <w:rsid w:val="48474F49"/>
    <w:rsid w:val="48F11E74"/>
    <w:rsid w:val="4BA35157"/>
    <w:rsid w:val="4C072A52"/>
    <w:rsid w:val="4DBF0BD6"/>
    <w:rsid w:val="55C17CC6"/>
    <w:rsid w:val="56B7773E"/>
    <w:rsid w:val="5B0867BA"/>
    <w:rsid w:val="61691760"/>
    <w:rsid w:val="64C1713F"/>
    <w:rsid w:val="656F3050"/>
    <w:rsid w:val="66067D9A"/>
    <w:rsid w:val="6A2C0DAF"/>
    <w:rsid w:val="71283E5B"/>
    <w:rsid w:val="78A70F68"/>
    <w:rsid w:val="78E5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styleId="10">
    <w:name w:val="footnote reference"/>
    <w:basedOn w:val="8"/>
    <w:qFormat/>
    <w:uiPriority w:val="0"/>
    <w:rPr>
      <w:vertAlign w:val="superscript"/>
    </w:rPr>
  </w:style>
  <w:style w:type="character" w:customStyle="1" w:styleId="11">
    <w:name w:val="页眉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231</Words>
  <Characters>1372</Characters>
  <Lines>16</Lines>
  <Paragraphs>4</Paragraphs>
  <TotalTime>0</TotalTime>
  <ScaleCrop>false</ScaleCrop>
  <LinksUpToDate>false</LinksUpToDate>
  <CharactersWithSpaces>1564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2024-11-11T05:44:00Z</dcterms:created>
  <dc:creator>标 于</dc:creator>
  <cp:lastModifiedBy>吴腊梅</cp:lastModifiedBy>
  <dcterms:modified xsi:type="dcterms:W3CDTF">2025-09-01T12:10:39Z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eyJoZGlkIjoiNWI0MDNmNzE3ODg0NjU3NTU4ZTUyZmE4YjBjYmQyODYiLCJ1c2VySWQiOiI0NDMzOTU3MjgifQ==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19CA8D7D2C7C4517A0017D795D993530_13</vt:lpwstr>
  </property>
</Properties>
</file>