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8A185" w14:textId="77777777" w:rsidR="009505A7" w:rsidRPr="001846E1" w:rsidRDefault="006D755F" w:rsidP="0050243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846E1">
        <w:rPr>
          <w:rFonts w:ascii="Times New Roman" w:hAnsi="Times New Roman" w:cs="Times New Roman"/>
          <w:b/>
          <w:sz w:val="24"/>
          <w:szCs w:val="24"/>
        </w:rPr>
        <w:t>Appendix A</w:t>
      </w:r>
    </w:p>
    <w:p w14:paraId="72193B43" w14:textId="77777777" w:rsidR="009505A7" w:rsidRPr="001846E1" w:rsidRDefault="001846E1" w:rsidP="001846E1">
      <w:pPr>
        <w:jc w:val="center"/>
        <w:rPr>
          <w:rFonts w:ascii="Times New Roman" w:hAnsi="Times New Roman" w:cs="Times New Roman"/>
          <w:sz w:val="24"/>
          <w:szCs w:val="24"/>
        </w:rPr>
      </w:pPr>
      <w:r w:rsidRPr="001846E1">
        <w:rPr>
          <w:rFonts w:ascii="Times New Roman" w:hAnsi="Times New Roman" w:cs="Times New Roman"/>
          <w:b/>
          <w:sz w:val="24"/>
          <w:szCs w:val="24"/>
        </w:rPr>
        <w:t>Table A1</w:t>
      </w:r>
      <w:r>
        <w:rPr>
          <w:rFonts w:ascii="Times New Roman" w:hAnsi="Times New Roman" w:cs="Times New Roman"/>
          <w:sz w:val="24"/>
          <w:szCs w:val="24"/>
        </w:rPr>
        <w:t>. Empirical studies</w:t>
      </w:r>
    </w:p>
    <w:tbl>
      <w:tblPr>
        <w:tblStyle w:val="TableGrid"/>
        <w:tblW w:w="139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559"/>
        <w:gridCol w:w="2335"/>
        <w:gridCol w:w="1431"/>
        <w:gridCol w:w="128"/>
        <w:gridCol w:w="1289"/>
        <w:gridCol w:w="1559"/>
        <w:gridCol w:w="1418"/>
        <w:gridCol w:w="1559"/>
        <w:gridCol w:w="2027"/>
      </w:tblGrid>
      <w:tr w:rsidR="00012319" w:rsidRPr="00275077" w14:paraId="2F4EB55C" w14:textId="77777777" w:rsidTr="007F6EC3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D037246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Ref.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843C7DD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  <w:p w14:paraId="7B573A5B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gramStart"/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  <w:proofErr w:type="gramEnd"/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5C66A36D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Aims(s)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987BDD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Methodology 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3CD4C35F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proofErr w:type="gramStart"/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Sample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details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957F78A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Main variables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EC055C7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Measurement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3A79BAB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>Main findings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100BC9F0" w14:textId="77777777" w:rsidR="00012319" w:rsidRPr="00275077" w:rsidRDefault="00012319" w:rsidP="0001231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Implications </w:t>
            </w:r>
          </w:p>
        </w:tc>
      </w:tr>
      <w:tr w:rsidR="00012319" w:rsidRPr="007E0810" w14:paraId="17F3EA01" w14:textId="77777777" w:rsidTr="007F6EC3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9905499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10A6B0B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Switzerland/</w:t>
            </w:r>
          </w:p>
          <w:p w14:paraId="77B94967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1A41EE67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Explore user perceptions and experiences of netiquette, or digital social norms that guide digitally mediated interactions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6E63B42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Exploratory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03ABC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Young adults, aged 22 to 39: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convenient sampling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1E23A0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Characteristics of netiquette;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Acquiring and managing netiquette; Social dynamics of netiquette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D8E9A0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Qualitative  content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28769C1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Digital social norms vary by platform; expectations for constant responsiveness and power dynamics shape perceptions of appropriate netiquette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3FF0E7A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Netiquette is shaped by social status and power, not just offline norms; further research is needed on its impact on well-being</w:t>
            </w:r>
          </w:p>
        </w:tc>
      </w:tr>
      <w:tr w:rsidR="00012319" w:rsidRPr="007E0810" w14:paraId="248D435B" w14:textId="77777777" w:rsidTr="007F6EC3">
        <w:trPr>
          <w:jc w:val="center"/>
        </w:trPr>
        <w:tc>
          <w:tcPr>
            <w:tcW w:w="630" w:type="dxa"/>
            <w:tcBorders>
              <w:top w:val="single" w:sz="4" w:space="0" w:color="auto"/>
            </w:tcBorders>
          </w:tcPr>
          <w:p w14:paraId="0364F744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36EA971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India/</w:t>
            </w:r>
          </w:p>
          <w:p w14:paraId="576747AA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35" w:type="dxa"/>
            <w:tcBorders>
              <w:top w:val="single" w:sz="4" w:space="0" w:color="auto"/>
            </w:tcBorders>
          </w:tcPr>
          <w:p w14:paraId="3035290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Cyber  etiquettes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 of prospective teachers with respect to gender, types of families, stream, caste, and habitat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0273334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research method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188306CF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250 prospective teachers random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sampling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5A8E8C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Cyber  etiquette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, gender, types of family, stream, caste, and habitat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BF6DFE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 standardized Cyber Etiquette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Scale developed and standardized by Santhosh and </w:t>
            </w:r>
            <w:proofErr w:type="spell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Thiyagu</w:t>
            </w:r>
            <w:proofErr w:type="spellEnd"/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(2022)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8F8710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Majority  of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 the prospective teachers had average-level cyber etiquette; Gender, family type, social category, and habitat influence prospective teachers' cyber etiquette</w:t>
            </w:r>
          </w:p>
        </w:tc>
        <w:tc>
          <w:tcPr>
            <w:tcW w:w="2027" w:type="dxa"/>
            <w:tcBorders>
              <w:top w:val="single" w:sz="4" w:space="0" w:color="auto"/>
            </w:tcBorders>
          </w:tcPr>
          <w:p w14:paraId="6E148709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Targeted interventions in training programs are needed, especially for males, joint family members, and those from rural or lower social backgrounds</w:t>
            </w:r>
          </w:p>
        </w:tc>
      </w:tr>
      <w:tr w:rsidR="00012319" w:rsidRPr="007E0810" w14:paraId="2F6D0A65" w14:textId="77777777" w:rsidTr="006D755F">
        <w:trPr>
          <w:jc w:val="center"/>
        </w:trPr>
        <w:tc>
          <w:tcPr>
            <w:tcW w:w="630" w:type="dxa"/>
          </w:tcPr>
          <w:p w14:paraId="5A5DC0DD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14:paraId="59BCD113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275077">
              <w:rPr>
                <w:rFonts w:ascii="Times New Roman" w:hAnsi="Times New Roman" w:cs="Times New Roman"/>
                <w:sz w:val="20"/>
                <w:szCs w:val="20"/>
              </w:rPr>
              <w:t>Georgia/</w:t>
            </w:r>
          </w:p>
          <w:p w14:paraId="3BADAA3B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5077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35" w:type="dxa"/>
          </w:tcPr>
          <w:p w14:paraId="10687B9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Describe Digital Citizenship Education (DCE), explore its foundational understanding (including comparisons across school locations), and identify self-reported DCE competencies among teachers, students, and parents</w:t>
            </w:r>
          </w:p>
        </w:tc>
        <w:tc>
          <w:tcPr>
            <w:tcW w:w="1431" w:type="dxa"/>
          </w:tcPr>
          <w:p w14:paraId="135A27C0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75077">
              <w:rPr>
                <w:rFonts w:ascii="Times New Roman" w:hAnsi="Times New Roman" w:cs="Times New Roman"/>
                <w:sz w:val="20"/>
                <w:szCs w:val="20"/>
              </w:rPr>
              <w:t>Exploratory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 </w:t>
            </w:r>
            <w:r w:rsidRPr="00275077">
              <w:rPr>
                <w:rFonts w:ascii="Times New Roman" w:hAnsi="Times New Roman" w:cs="Times New Roman"/>
                <w:sz w:val="20"/>
                <w:szCs w:val="20"/>
              </w:rPr>
              <w:t>sequential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275077">
              <w:rPr>
                <w:rFonts w:ascii="Times New Roman" w:hAnsi="Times New Roman" w:cs="Times New Roman"/>
                <w:sz w:val="20"/>
                <w:szCs w:val="20"/>
              </w:rPr>
              <w:t xml:space="preserve">design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(qualitative followed by quantitative)</w:t>
            </w:r>
          </w:p>
        </w:tc>
        <w:tc>
          <w:tcPr>
            <w:tcW w:w="1417" w:type="dxa"/>
            <w:gridSpan w:val="2"/>
          </w:tcPr>
          <w:p w14:paraId="04B3A6B4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0BFD">
              <w:rPr>
                <w:rFonts w:ascii="Times New Roman" w:hAnsi="Times New Roman" w:cs="Times New Roman"/>
                <w:sz w:val="20"/>
                <w:szCs w:val="20"/>
              </w:rPr>
              <w:t>1,954 individuals, including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teachers (205),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students (972), and parents/guardians (777)</w:t>
            </w:r>
          </w:p>
        </w:tc>
        <w:tc>
          <w:tcPr>
            <w:tcW w:w="1559" w:type="dxa"/>
          </w:tcPr>
          <w:p w14:paraId="7B0EF279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0BFD">
              <w:rPr>
                <w:rFonts w:ascii="Times New Roman" w:hAnsi="Times New Roman" w:cs="Times New Roman"/>
                <w:sz w:val="20"/>
                <w:szCs w:val="20"/>
              </w:rPr>
              <w:t>Awareness of the DCE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940BFD">
              <w:rPr>
                <w:rFonts w:ascii="Times New Roman" w:hAnsi="Times New Roman" w:cs="Times New Roman"/>
                <w:sz w:val="20"/>
                <w:szCs w:val="20"/>
              </w:rPr>
              <w:t xml:space="preserve">concept;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Understanding of the DCE concept's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foundations; Self-reported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DCE competences;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DCE practices and activities</w:t>
            </w:r>
          </w:p>
        </w:tc>
        <w:tc>
          <w:tcPr>
            <w:tcW w:w="1418" w:type="dxa"/>
          </w:tcPr>
          <w:p w14:paraId="0778F6CF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Surveys /online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559" w:type="dxa"/>
          </w:tcPr>
          <w:p w14:paraId="46A1179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Half of the school society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members claim to be aware of the DCE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concept, they lack the right competences to apply them in their daily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</w:p>
        </w:tc>
        <w:tc>
          <w:tcPr>
            <w:tcW w:w="2027" w:type="dxa"/>
          </w:tcPr>
          <w:p w14:paraId="2D123AF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Awareness of </w:t>
            </w: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DCE;  enlightening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 parents on their involvement in fostering the Digital Literacy and Cyber-Ethics of their children; ethical dimensions of parenting in the digital age without alienating excessive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bans or restrictions on technology use</w:t>
            </w:r>
          </w:p>
        </w:tc>
      </w:tr>
      <w:tr w:rsidR="00012319" w:rsidRPr="007E0810" w14:paraId="21930C30" w14:textId="77777777" w:rsidTr="006D755F">
        <w:trPr>
          <w:jc w:val="center"/>
        </w:trPr>
        <w:tc>
          <w:tcPr>
            <w:tcW w:w="630" w:type="dxa"/>
          </w:tcPr>
          <w:p w14:paraId="0534976B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1559" w:type="dxa"/>
          </w:tcPr>
          <w:p w14:paraId="4DA1855D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India/</w:t>
            </w:r>
          </w:p>
          <w:p w14:paraId="4886220B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2335" w:type="dxa"/>
          </w:tcPr>
          <w:p w14:paraId="5CD4D0F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To explore</w:t>
            </w:r>
            <w:r w:rsidRPr="003241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the perception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and preferences</w:t>
            </w:r>
            <w:r w:rsidRPr="003241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of students and teachers</w:t>
            </w:r>
            <w:r w:rsidRPr="003241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towards the use of WhatsApp and Telegram as educational tools</w:t>
            </w:r>
          </w:p>
        </w:tc>
        <w:tc>
          <w:tcPr>
            <w:tcW w:w="1431" w:type="dxa"/>
          </w:tcPr>
          <w:p w14:paraId="6B6287A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755F">
              <w:rPr>
                <w:rStyle w:val="rpv-coretext-layer-text"/>
                <w:rFonts w:ascii="Times New Roman" w:hAnsi="Times New Roman" w:cs="Times New Roman"/>
                <w:sz w:val="20"/>
                <w:szCs w:val="20"/>
              </w:rPr>
              <w:t xml:space="preserve">Descriptive </w:t>
            </w:r>
            <w:r w:rsidRPr="006D755F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D755F">
              <w:rPr>
                <w:rStyle w:val="rpv-coretext-layer-text"/>
                <w:rFonts w:ascii="Times New Roman" w:hAnsi="Times New Roman" w:cs="Times New Roman"/>
                <w:sz w:val="20"/>
                <w:szCs w:val="20"/>
              </w:rPr>
              <w:t>quantitative</w:t>
            </w:r>
            <w:r w:rsidRPr="007E0810">
              <w:rPr>
                <w:rStyle w:val="rpv-coretext-layer-text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6D755F">
              <w:rPr>
                <w:rStyle w:val="rpv-coretext-layer-text"/>
                <w:rFonts w:ascii="Times New Roman" w:hAnsi="Times New Roman" w:cs="Times New Roman"/>
                <w:sz w:val="20"/>
                <w:szCs w:val="20"/>
              </w:rPr>
              <w:t>research method</w:t>
            </w:r>
          </w:p>
        </w:tc>
        <w:tc>
          <w:tcPr>
            <w:tcW w:w="1417" w:type="dxa"/>
            <w:gridSpan w:val="2"/>
          </w:tcPr>
          <w:p w14:paraId="3DFBC4C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150 participants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(100 undergraduate students and 50 undergraduate teachers)</w:t>
            </w:r>
          </w:p>
        </w:tc>
        <w:tc>
          <w:tcPr>
            <w:tcW w:w="1559" w:type="dxa"/>
          </w:tcPr>
          <w:p w14:paraId="7EB9B4E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Participants' views on using social messaging apps in education focused on effectiveness, interaction, learning, retention, communication, and other related aspects</w:t>
            </w:r>
          </w:p>
        </w:tc>
        <w:tc>
          <w:tcPr>
            <w:tcW w:w="1418" w:type="dxa"/>
          </w:tcPr>
          <w:p w14:paraId="355EDAB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Self-developed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perception questionnaire</w:t>
            </w:r>
          </w:p>
        </w:tc>
        <w:tc>
          <w:tcPr>
            <w:tcW w:w="1559" w:type="dxa"/>
          </w:tcPr>
          <w:p w14:paraId="12FA5B35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Both teachers and students preferred WhatsApp over Telegram for education, with teachers favoring both apps and students viewing WhatsApp favorably but Telegram neutrally</w:t>
            </w:r>
          </w:p>
        </w:tc>
        <w:tc>
          <w:tcPr>
            <w:tcW w:w="2027" w:type="dxa"/>
          </w:tcPr>
          <w:p w14:paraId="2989ABD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Most teachers favored WhatsApp and Telegram as educational tools, while students preferred WhatsApp but were neutral about Telegram. Both groups preferred WhatsApp over Telegram for educational use</w:t>
            </w:r>
          </w:p>
        </w:tc>
      </w:tr>
      <w:tr w:rsidR="00012319" w:rsidRPr="007E0810" w14:paraId="70E5AABA" w14:textId="77777777" w:rsidTr="006D755F">
        <w:trPr>
          <w:jc w:val="center"/>
        </w:trPr>
        <w:tc>
          <w:tcPr>
            <w:tcW w:w="630" w:type="dxa"/>
          </w:tcPr>
          <w:p w14:paraId="21474B2E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</w:tcPr>
          <w:p w14:paraId="471BF0F6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Russia/</w:t>
            </w:r>
          </w:p>
          <w:p w14:paraId="15F7F1A0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35" w:type="dxa"/>
          </w:tcPr>
          <w:p w14:paraId="63FD3BF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'Digital ethics' and explore value and moral guidelines in virtual communication among higher education students</w:t>
            </w:r>
          </w:p>
        </w:tc>
        <w:tc>
          <w:tcPr>
            <w:tcW w:w="1431" w:type="dxa"/>
          </w:tcPr>
          <w:p w14:paraId="04F1B54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Sociological survey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1417" w:type="dxa"/>
            <w:gridSpan w:val="2"/>
          </w:tcPr>
          <w:p w14:paraId="47C4B3D2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59 student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participants aged 17 to 25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</w:p>
        </w:tc>
        <w:tc>
          <w:tcPr>
            <w:tcW w:w="1559" w:type="dxa"/>
          </w:tcPr>
          <w:p w14:paraId="60335442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students' understanding of 'digital ethics,' key ethical values, the influence of factors like residence, social status, and age on ethical compliance, and factors shaping digital behavior culture</w:t>
            </w:r>
          </w:p>
        </w:tc>
        <w:tc>
          <w:tcPr>
            <w:tcW w:w="1418" w:type="dxa"/>
          </w:tcPr>
          <w:p w14:paraId="2C344111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Online questionnaire</w:t>
            </w:r>
          </w:p>
        </w:tc>
        <w:tc>
          <w:tcPr>
            <w:tcW w:w="1559" w:type="dxa"/>
          </w:tcPr>
          <w:p w14:paraId="6BB101E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Cultured   and prefer in-person communication; digital ethics and online communication culture as average to high; obscene language, insults, and discrimination, most students oppose common unethical </w:t>
            </w:r>
            <w:proofErr w:type="spell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behaviour</w:t>
            </w:r>
            <w:proofErr w:type="spellEnd"/>
          </w:p>
        </w:tc>
        <w:tc>
          <w:tcPr>
            <w:tcW w:w="2027" w:type="dxa"/>
          </w:tcPr>
          <w:p w14:paraId="00A26412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Addressing digital ethics challenges requires a comprehensive approach focusing on education, cultural preservation, regulatory frameworks, and ongoing research</w:t>
            </w:r>
          </w:p>
        </w:tc>
      </w:tr>
      <w:tr w:rsidR="00012319" w:rsidRPr="007E0810" w14:paraId="03F34D9A" w14:textId="77777777" w:rsidTr="001846E1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35D39782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16837DC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Saudi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Arabia/</w:t>
            </w:r>
          </w:p>
          <w:p w14:paraId="6633C065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2335" w:type="dxa"/>
            <w:tcBorders>
              <w:bottom w:val="single" w:sz="4" w:space="0" w:color="auto"/>
            </w:tcBorders>
          </w:tcPr>
          <w:p w14:paraId="6A68DBD9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The study explored undergraduates' knowledge and practice of eight digital citizenship elements, excluding digital access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3C70905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 xml:space="preserve">Descriptive 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15B1E1F5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204 undergraduate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students; female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students; between 18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 26 years old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361F0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Students' knowledge of digital citizenship; practice of eight elements: digital commerce,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communication, literacy, etiquette, law, rights and responsibility, health and wellness, and security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B5099F9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 survey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E2F9DC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Students showed insufficient knowledge of digital citizenship, but many practiced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ethical digital behaviors. However, concerns about security and safety were prevalent</w:t>
            </w: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14:paraId="73C5B216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Digital citizenship should be a core course in undergrad programs, with training for both faculty and students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through workshops and seminars</w:t>
            </w:r>
          </w:p>
          <w:p w14:paraId="024DF66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2319" w:rsidRPr="007E0810" w14:paraId="55C38BB1" w14:textId="77777777" w:rsidTr="001846E1">
        <w:trPr>
          <w:trHeight w:val="3452"/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7F4C18D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3B1F5F5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United States/</w:t>
            </w:r>
          </w:p>
          <w:p w14:paraId="0D35AE5B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5F6E9BF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To examine K-12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educators' perceptions of their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students' digital citizenship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knowledge and practices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31625AC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423EE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One-hundred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and seven K-12 educators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9748C0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Cyberbullying;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br/>
              <w:t>Digital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footprint; Digital privacy;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 xml:space="preserve">Digital netiquette;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Digital identity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72D7790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 xml:space="preserve">Survey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65082A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Educators perceive students' overall digital citizenship, especially netiquette, as lacking—many don’t understand that using ALL CAPS or sharing mean content is inappropriate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09B09151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There is a need for clear instruction, ongoing K–12 integration, and teacher training in digital netiquette and citizenship</w:t>
            </w:r>
          </w:p>
        </w:tc>
      </w:tr>
      <w:tr w:rsidR="00012319" w:rsidRPr="007E0810" w14:paraId="7772A6E5" w14:textId="77777777" w:rsidTr="001846E1">
        <w:trPr>
          <w:jc w:val="center"/>
        </w:trPr>
        <w:tc>
          <w:tcPr>
            <w:tcW w:w="630" w:type="dxa"/>
            <w:tcBorders>
              <w:top w:val="single" w:sz="4" w:space="0" w:color="auto"/>
            </w:tcBorders>
          </w:tcPr>
          <w:p w14:paraId="49D2F924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DACACE0" w14:textId="77777777" w:rsidR="00012319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Germany/</w:t>
            </w:r>
          </w:p>
          <w:p w14:paraId="2470DC34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2335" w:type="dxa"/>
            <w:tcBorders>
              <w:top w:val="single" w:sz="4" w:space="0" w:color="auto"/>
            </w:tcBorders>
          </w:tcPr>
          <w:p w14:paraId="18BC6DA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To investigate different aspects of Facebook contacts between students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and their lecturers (SL-contacts)</w:t>
            </w:r>
          </w:p>
          <w:p w14:paraId="0FC7E422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0287A9DF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methodology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298C885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2,849 participants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(2,550 students and 299 lecturers)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F57FBA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SL-contact emergence, Netiquette as injunctive norms, perceived behaviors of students and lecturers as descriptive norms, and the gap between these two norms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D5F0CE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C4351">
              <w:rPr>
                <w:rFonts w:ascii="Times New Roman" w:hAnsi="Times New Roman" w:cs="Times New Roman"/>
                <w:sz w:val="20"/>
                <w:szCs w:val="20"/>
              </w:rPr>
              <w:t>Online survey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27F4A8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SL-contacts were mainly student-initiated but acceptable from both sides; norms were aligned; contacts were appropriate with mutual sympathy, friendship, or academic sharing</w:t>
            </w:r>
          </w:p>
        </w:tc>
        <w:tc>
          <w:tcPr>
            <w:tcW w:w="2027" w:type="dxa"/>
            <w:tcBorders>
              <w:top w:val="single" w:sz="4" w:space="0" w:color="auto"/>
            </w:tcBorders>
          </w:tcPr>
          <w:p w14:paraId="685A9E2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Facebook is unsuitable for academic work but useful for building social ties that can support intellectual exchange</w:t>
            </w:r>
          </w:p>
        </w:tc>
      </w:tr>
      <w:tr w:rsidR="00012319" w:rsidRPr="007E0810" w14:paraId="25F4DB47" w14:textId="77777777" w:rsidTr="006D755F">
        <w:trPr>
          <w:jc w:val="center"/>
        </w:trPr>
        <w:tc>
          <w:tcPr>
            <w:tcW w:w="630" w:type="dxa"/>
          </w:tcPr>
          <w:p w14:paraId="047996C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59" w:type="dxa"/>
          </w:tcPr>
          <w:p w14:paraId="479A263C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Spain/</w:t>
            </w:r>
          </w:p>
          <w:p w14:paraId="7FB9B2BF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  <w:p w14:paraId="120B3942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</w:p>
        </w:tc>
        <w:tc>
          <w:tcPr>
            <w:tcW w:w="2335" w:type="dxa"/>
          </w:tcPr>
          <w:p w14:paraId="53A053C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To differentially analyze the relationships between empathy, online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emotional content, and netiquette according to gender in adolescents in compulsory secondary education</w:t>
            </w:r>
          </w:p>
        </w:tc>
        <w:tc>
          <w:tcPr>
            <w:tcW w:w="1431" w:type="dxa"/>
          </w:tcPr>
          <w:p w14:paraId="48BB832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Quantitative</w:t>
            </w:r>
          </w:p>
        </w:tc>
        <w:tc>
          <w:tcPr>
            <w:tcW w:w="1417" w:type="dxa"/>
            <w:gridSpan w:val="2"/>
          </w:tcPr>
          <w:p w14:paraId="5CA2C13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774 adolescent (ages 10-15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years old)</w:t>
            </w:r>
          </w:p>
        </w:tc>
        <w:tc>
          <w:tcPr>
            <w:tcW w:w="1559" w:type="dxa"/>
          </w:tcPr>
          <w:p w14:paraId="6ADC0DB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>Netiquette;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C6E77">
              <w:rPr>
                <w:rFonts w:ascii="Times New Roman" w:hAnsi="Times New Roman" w:cs="Times New Roman"/>
                <w:sz w:val="20"/>
                <w:szCs w:val="20"/>
              </w:rPr>
              <w:t xml:space="preserve">Online </w:t>
            </w:r>
            <w:r w:rsidRPr="00885A0C">
              <w:rPr>
                <w:rFonts w:ascii="Times New Roman" w:hAnsi="Times New Roman" w:cs="Times New Roman"/>
                <w:sz w:val="20"/>
                <w:szCs w:val="20"/>
              </w:rPr>
              <w:t xml:space="preserve">emotional </w:t>
            </w:r>
            <w:r w:rsidRPr="00885A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content; Empathy</w:t>
            </w:r>
          </w:p>
        </w:tc>
        <w:tc>
          <w:tcPr>
            <w:tcW w:w="1418" w:type="dxa"/>
          </w:tcPr>
          <w:p w14:paraId="1707D791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Questionnaire. Likert scale</w:t>
            </w:r>
          </w:p>
        </w:tc>
        <w:tc>
          <w:tcPr>
            <w:tcW w:w="1559" w:type="dxa"/>
          </w:tcPr>
          <w:p w14:paraId="22E5894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Girls scored higher than boys in netiquette,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online emotional content, and empathy; managing online emotions predicted better netiquette for both genders, while emotional expression predicted worse netiquette; cognitive empathy uniquely predicted netiquette for boys</w:t>
            </w:r>
          </w:p>
        </w:tc>
        <w:tc>
          <w:tcPr>
            <w:tcW w:w="2027" w:type="dxa"/>
          </w:tcPr>
          <w:p w14:paraId="5AD12E94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Netiquette should be included in emotional learning for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adolescents, with gender-specific approaches and more research across cultures</w:t>
            </w:r>
          </w:p>
        </w:tc>
      </w:tr>
      <w:tr w:rsidR="00012319" w:rsidRPr="007E0810" w14:paraId="20EC4449" w14:textId="77777777" w:rsidTr="00CB29F5">
        <w:trPr>
          <w:trHeight w:val="2988"/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3D8D01C5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89A746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Spain/</w:t>
            </w:r>
          </w:p>
          <w:p w14:paraId="6CE317EC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2663F0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35" w:type="dxa"/>
            <w:tcBorders>
              <w:bottom w:val="single" w:sz="4" w:space="0" w:color="auto"/>
            </w:tcBorders>
          </w:tcPr>
          <w:p w14:paraId="5F199D5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To analyze the extent to which</w:t>
            </w:r>
            <w:r w:rsidRPr="00CB29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online emotional content and the use</w:t>
            </w:r>
            <w:r w:rsidRPr="00CB29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of netiquette predict phubbing,</w:t>
            </w:r>
            <w:r w:rsidRPr="00CB29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considering the possibility of</w:t>
            </w:r>
            <w:r w:rsidRPr="00CB29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differences among genders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74B6D08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246A996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953 students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aged 12 to 17/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sampling procedure was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non-probabilistic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F12775">
              <w:rPr>
                <w:rFonts w:ascii="Times New Roman" w:hAnsi="Times New Roman" w:cs="Times New Roman"/>
                <w:sz w:val="20"/>
                <w:szCs w:val="20"/>
              </w:rPr>
              <w:t>for convenience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88C77B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267DD">
              <w:rPr>
                <w:rFonts w:ascii="Times New Roman" w:hAnsi="Times New Roman" w:cs="Times New Roman"/>
                <w:sz w:val="20"/>
                <w:szCs w:val="20"/>
              </w:rPr>
              <w:t>Phubbing;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267DD">
              <w:rPr>
                <w:rFonts w:ascii="Times New Roman" w:hAnsi="Times New Roman" w:cs="Times New Roman"/>
                <w:sz w:val="20"/>
                <w:szCs w:val="20"/>
              </w:rPr>
              <w:t>Online emotional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267DD">
              <w:rPr>
                <w:rFonts w:ascii="Times New Roman" w:hAnsi="Times New Roman" w:cs="Times New Roman"/>
                <w:sz w:val="20"/>
                <w:szCs w:val="20"/>
              </w:rPr>
              <w:t>content; Netiquette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FD952C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8267DD">
              <w:rPr>
                <w:rFonts w:ascii="Times New Roman" w:hAnsi="Times New Roman" w:cs="Times New Roman"/>
                <w:sz w:val="20"/>
                <w:szCs w:val="20"/>
              </w:rPr>
              <w:t>Self-reported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8267DD">
              <w:rPr>
                <w:rFonts w:ascii="Times New Roman" w:hAnsi="Times New Roman" w:cs="Times New Roman"/>
                <w:sz w:val="20"/>
                <w:szCs w:val="20"/>
              </w:rPr>
              <w:t>questionnaires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49E8C6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Higher emotional content linked to more phubbing in both boys and girls; Netiquette reduces phubbing, with a stronger effect for girls</w:t>
            </w: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14:paraId="1173C228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Adolescents need education on responsible online emotional expression and netiquette, with socio-emotional skills integrated into school curricula and learning programs</w:t>
            </w:r>
          </w:p>
        </w:tc>
      </w:tr>
      <w:tr w:rsidR="00012319" w:rsidRPr="007E0810" w14:paraId="38EF7875" w14:textId="77777777" w:rsidTr="00CB29F5">
        <w:trPr>
          <w:trHeight w:val="2400"/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3047080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C5C9904" w14:textId="77777777" w:rsidR="00012319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Jordan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14:paraId="07672957" w14:textId="77777777" w:rsidR="00012319" w:rsidRPr="007E0810" w:rsidRDefault="00012319" w:rsidP="00012319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1BA99DE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To investigate the extent of</w:t>
            </w:r>
            <w:r w:rsidRPr="00CB29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implementing Netiquette practices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among university students at Tafila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Technical University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551AD88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Quantitative;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F2267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undergraduate students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1BB42A8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Gender (male, female</w:t>
            </w:r>
            <w:proofErr w:type="gramStart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);  Specialization</w:t>
            </w:r>
            <w:proofErr w:type="gramEnd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(classroom teacher, special education</w:t>
            </w:r>
            <w:proofErr w:type="gramStart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);  Study</w:t>
            </w:r>
            <w:proofErr w:type="gramEnd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level (66 vs. 100 credits)</w:t>
            </w:r>
          </w:p>
          <w:p w14:paraId="47F8F82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555E2B0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Questionnaire;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Likert scale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AE65BF2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Limited awareness of Netiquette rules;</w:t>
            </w:r>
          </w:p>
          <w:p w14:paraId="32621CDF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Varied levels of implementation;</w:t>
            </w:r>
          </w:p>
          <w:p w14:paraId="78FA553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No impact from gender, specialization, or study level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36A37C97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Knowledge about Netiquette; its practices should be spread among university students; Academic institutions should include Netiquette ethics and rules in undergraduate and graduate curricula</w:t>
            </w:r>
          </w:p>
        </w:tc>
      </w:tr>
      <w:tr w:rsidR="00012319" w:rsidRPr="007E0810" w14:paraId="4C8CC90B" w14:textId="77777777" w:rsidTr="00CB29F5">
        <w:trPr>
          <w:trHeight w:val="3534"/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55ED04E8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0E22169" w14:textId="77777777" w:rsidR="00012319" w:rsidRDefault="00012319" w:rsidP="00615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Thailand/</w:t>
            </w:r>
          </w:p>
          <w:p w14:paraId="7E28668C" w14:textId="77777777" w:rsidR="00012319" w:rsidRPr="007E0810" w:rsidRDefault="00012319" w:rsidP="00615D7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6EF30BE8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Examine perceived digital etiquette behaviors among Thai college students; Compare perceived digital etiquette by gender; Compare perceived digital etiquette across study programs (management, 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ccounting, information systems)</w:t>
            </w:r>
          </w:p>
          <w:p w14:paraId="7D1CC32E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5378BE4F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Quantitative;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29CD9D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109 first-year college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students (18 to 22 year</w:t>
            </w:r>
            <w:r w:rsidRPr="00740687">
              <w:rPr>
                <w:rFonts w:ascii="Times New Roman" w:hAnsi="Times New Roman" w:cs="Times New Roman"/>
                <w:sz w:val="20"/>
                <w:szCs w:val="20"/>
              </w:rPr>
              <w:t>s)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0C1F5FA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Perceived digital etiquette behavior;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gender differences in perceived digital </w:t>
            </w:r>
            <w:proofErr w:type="spellStart"/>
            <w:proofErr w:type="gramStart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etiquette;major</w:t>
            </w:r>
            <w:proofErr w:type="gramEnd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-based</w:t>
            </w:r>
            <w:proofErr w:type="spellEnd"/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differences in perceived digital etiquette (management, accounting, information systems)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C06278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Self-administrated questionnaire;</w:t>
            </w:r>
          </w:p>
          <w:p w14:paraId="13281AC0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5-point rating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395AE2"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496F904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Overall digital etiquette behaviors were high; no gender differences in perceived digital etiquette;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accounting students showed higher digital etiquette than management students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2EDBC9F3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Integrate digital citizenship and etiquette into university curriculum and programs; use findings to guide future research on di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gital etiquette and citizenship</w:t>
            </w:r>
          </w:p>
          <w:p w14:paraId="40DF2B4C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</w:p>
        </w:tc>
      </w:tr>
      <w:tr w:rsidR="00012319" w:rsidRPr="007E0810" w14:paraId="6979B289" w14:textId="77777777" w:rsidTr="00CB29F5">
        <w:trPr>
          <w:trHeight w:val="2677"/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50097AF2" w14:textId="77777777" w:rsidR="00012319" w:rsidRPr="007E0810" w:rsidRDefault="00012319" w:rsidP="00BA19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6BE687D" w14:textId="77777777" w:rsidR="00012319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Philippines/</w:t>
            </w:r>
          </w:p>
          <w:p w14:paraId="21BB3D55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2024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14:paraId="272CA904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To evaluate college students’ awareness of social media netiquette, its impact on their online behavior, influencing factors, behavioral patterns, and to propose strategies for encouraging responsible digital conduct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775CCEB3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Quantitative;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729779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342 college students (55.8%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female and 44.2% male respondents)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D29CCE8" w14:textId="77777777" w:rsidR="00012319" w:rsidRPr="007E0810" w:rsidRDefault="00012319" w:rsidP="0001231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081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Netiquette Awareness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students' understandin</w:t>
            </w: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>g of proper online behavior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E081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Online Behavior</w:t>
            </w:r>
            <w:r w:rsidRPr="007E08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students' actual digital actions and practices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7A6B2DA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Survey Likert scale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128357B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High level of netiquette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awareness among college students; Positive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correlation between awareness and online behavior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14:paraId="6E9872D1" w14:textId="77777777" w:rsidR="00012319" w:rsidRPr="007E0810" w:rsidRDefault="00012319" w:rsidP="00012319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</w:pPr>
            <w:proofErr w:type="gramStart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Promoting  netiquette</w:t>
            </w:r>
            <w:proofErr w:type="gramEnd"/>
            <w:r w:rsidRPr="007E0810">
              <w:rPr>
                <w:rFonts w:ascii="Times New Roman" w:hAnsi="Times New Roman" w:cs="Times New Roman"/>
                <w:sz w:val="20"/>
                <w:szCs w:val="20"/>
              </w:rPr>
              <w:t xml:space="preserve"> education and training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among college students; incorporate</w:t>
            </w:r>
            <w:r w:rsidRPr="007E0810">
              <w:rPr>
                <w:rFonts w:ascii="Times New Roman" w:hAnsi="Times New Roman" w:cs="Times New Roman"/>
                <w:sz w:val="20"/>
                <w:szCs w:val="20"/>
                <w:shd w:val="clear" w:color="auto" w:fill="F5F8FF"/>
              </w:rPr>
              <w:t xml:space="preserve"> </w:t>
            </w:r>
            <w:r w:rsidRPr="007E0810">
              <w:rPr>
                <w:rFonts w:ascii="Times New Roman" w:hAnsi="Times New Roman" w:cs="Times New Roman"/>
                <w:sz w:val="20"/>
                <w:szCs w:val="20"/>
              </w:rPr>
              <w:t>comprehensive digital literacy programs and responsible online conduct</w:t>
            </w:r>
          </w:p>
        </w:tc>
      </w:tr>
    </w:tbl>
    <w:p w14:paraId="7CC32049" w14:textId="77777777" w:rsidR="00642196" w:rsidRDefault="00CB29F5" w:rsidP="00CB29F5">
      <w:pPr>
        <w:pStyle w:val="NormalWeb"/>
        <w:tabs>
          <w:tab w:val="left" w:pos="10528"/>
        </w:tabs>
        <w:jc w:val="both"/>
        <w:rPr>
          <w:b/>
        </w:rPr>
      </w:pPr>
      <w:r>
        <w:rPr>
          <w:b/>
        </w:rPr>
        <w:tab/>
      </w:r>
    </w:p>
    <w:p w14:paraId="25778B02" w14:textId="70D157E3" w:rsidR="0032312E" w:rsidRPr="00BC731A" w:rsidRDefault="0032312E" w:rsidP="009E6A9F">
      <w:pPr>
        <w:pStyle w:val="ListParagraph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2312E" w:rsidRPr="00BC731A" w:rsidSect="00163277">
      <w:foot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7A5E6" w14:textId="77777777" w:rsidR="00330838" w:rsidRDefault="00330838" w:rsidP="00BC731A">
      <w:pPr>
        <w:spacing w:after="0" w:line="240" w:lineRule="auto"/>
      </w:pPr>
      <w:r>
        <w:separator/>
      </w:r>
    </w:p>
  </w:endnote>
  <w:endnote w:type="continuationSeparator" w:id="0">
    <w:p w14:paraId="52F8D04D" w14:textId="77777777" w:rsidR="00330838" w:rsidRDefault="00330838" w:rsidP="00BC7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9585110"/>
      <w:docPartObj>
        <w:docPartGallery w:val="Page Numbers (Bottom of Page)"/>
        <w:docPartUnique/>
      </w:docPartObj>
    </w:sdtPr>
    <w:sdtContent>
      <w:p w14:paraId="4363A04E" w14:textId="77777777" w:rsidR="00BC731A" w:rsidRDefault="003852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53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09AA19" w14:textId="77777777" w:rsidR="00BC731A" w:rsidRDefault="00BC7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748EF" w14:textId="77777777" w:rsidR="00330838" w:rsidRDefault="00330838" w:rsidP="00BC731A">
      <w:pPr>
        <w:spacing w:after="0" w:line="240" w:lineRule="auto"/>
      </w:pPr>
      <w:r>
        <w:separator/>
      </w:r>
    </w:p>
  </w:footnote>
  <w:footnote w:type="continuationSeparator" w:id="0">
    <w:p w14:paraId="6445B87E" w14:textId="77777777" w:rsidR="00330838" w:rsidRDefault="00330838" w:rsidP="00BC7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31743"/>
    <w:multiLevelType w:val="hybridMultilevel"/>
    <w:tmpl w:val="1A5207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4486A"/>
    <w:multiLevelType w:val="hybridMultilevel"/>
    <w:tmpl w:val="B3A67A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D69B4"/>
    <w:multiLevelType w:val="multilevel"/>
    <w:tmpl w:val="CA9AF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CA1C89"/>
    <w:multiLevelType w:val="multilevel"/>
    <w:tmpl w:val="6722F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910C4A"/>
    <w:multiLevelType w:val="hybridMultilevel"/>
    <w:tmpl w:val="661CAE6A"/>
    <w:lvl w:ilvl="0" w:tplc="AAFADAE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E46073"/>
    <w:multiLevelType w:val="hybridMultilevel"/>
    <w:tmpl w:val="E5569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C352E6"/>
    <w:multiLevelType w:val="hybridMultilevel"/>
    <w:tmpl w:val="EBFE3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12502F"/>
    <w:multiLevelType w:val="multilevel"/>
    <w:tmpl w:val="6722F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26220B"/>
    <w:multiLevelType w:val="hybridMultilevel"/>
    <w:tmpl w:val="71C4F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2F6FAE"/>
    <w:multiLevelType w:val="multilevel"/>
    <w:tmpl w:val="6722F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E660F9"/>
    <w:multiLevelType w:val="multilevel"/>
    <w:tmpl w:val="EC96B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B157A0"/>
    <w:multiLevelType w:val="multilevel"/>
    <w:tmpl w:val="BCF481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5D3C1613"/>
    <w:multiLevelType w:val="multilevel"/>
    <w:tmpl w:val="0DE6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4C71F6"/>
    <w:multiLevelType w:val="multilevel"/>
    <w:tmpl w:val="6722F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EC792B"/>
    <w:multiLevelType w:val="multilevel"/>
    <w:tmpl w:val="9326A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2266176">
    <w:abstractNumId w:val="9"/>
  </w:num>
  <w:num w:numId="2" w16cid:durableId="92241848">
    <w:abstractNumId w:val="8"/>
  </w:num>
  <w:num w:numId="3" w16cid:durableId="1190605400">
    <w:abstractNumId w:val="13"/>
  </w:num>
  <w:num w:numId="4" w16cid:durableId="1912277434">
    <w:abstractNumId w:val="7"/>
  </w:num>
  <w:num w:numId="5" w16cid:durableId="945573807">
    <w:abstractNumId w:val="3"/>
  </w:num>
  <w:num w:numId="6" w16cid:durableId="359598223">
    <w:abstractNumId w:val="12"/>
  </w:num>
  <w:num w:numId="7" w16cid:durableId="1178347919">
    <w:abstractNumId w:val="5"/>
  </w:num>
  <w:num w:numId="8" w16cid:durableId="964001765">
    <w:abstractNumId w:val="6"/>
  </w:num>
  <w:num w:numId="9" w16cid:durableId="911500754">
    <w:abstractNumId w:val="1"/>
  </w:num>
  <w:num w:numId="10" w16cid:durableId="732191914">
    <w:abstractNumId w:val="14"/>
  </w:num>
  <w:num w:numId="11" w16cid:durableId="665287150">
    <w:abstractNumId w:val="2"/>
  </w:num>
  <w:num w:numId="12" w16cid:durableId="389232011">
    <w:abstractNumId w:val="11"/>
  </w:num>
  <w:num w:numId="13" w16cid:durableId="106196298">
    <w:abstractNumId w:val="4"/>
  </w:num>
  <w:num w:numId="14" w16cid:durableId="498236793">
    <w:abstractNumId w:val="10"/>
  </w:num>
  <w:num w:numId="15" w16cid:durableId="4404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511"/>
    <w:rsid w:val="00012319"/>
    <w:rsid w:val="000169F8"/>
    <w:rsid w:val="00051D65"/>
    <w:rsid w:val="0005235B"/>
    <w:rsid w:val="00056D86"/>
    <w:rsid w:val="00057FDB"/>
    <w:rsid w:val="000676B2"/>
    <w:rsid w:val="00075EFE"/>
    <w:rsid w:val="00097BA7"/>
    <w:rsid w:val="000D0433"/>
    <w:rsid w:val="000D25AC"/>
    <w:rsid w:val="000D331E"/>
    <w:rsid w:val="00105DA9"/>
    <w:rsid w:val="00117BBC"/>
    <w:rsid w:val="00117C47"/>
    <w:rsid w:val="0014112C"/>
    <w:rsid w:val="00163277"/>
    <w:rsid w:val="00171879"/>
    <w:rsid w:val="00172622"/>
    <w:rsid w:val="00172786"/>
    <w:rsid w:val="00180293"/>
    <w:rsid w:val="001846E1"/>
    <w:rsid w:val="0019152C"/>
    <w:rsid w:val="001A5056"/>
    <w:rsid w:val="001B471F"/>
    <w:rsid w:val="001D44CF"/>
    <w:rsid w:val="001D6D8A"/>
    <w:rsid w:val="00214519"/>
    <w:rsid w:val="00214A99"/>
    <w:rsid w:val="002228BD"/>
    <w:rsid w:val="00224299"/>
    <w:rsid w:val="002269FE"/>
    <w:rsid w:val="00231BB7"/>
    <w:rsid w:val="00235991"/>
    <w:rsid w:val="00247670"/>
    <w:rsid w:val="002522F7"/>
    <w:rsid w:val="002535BB"/>
    <w:rsid w:val="00262E09"/>
    <w:rsid w:val="00277BF1"/>
    <w:rsid w:val="00290059"/>
    <w:rsid w:val="002A481F"/>
    <w:rsid w:val="002B7A8E"/>
    <w:rsid w:val="002E04A1"/>
    <w:rsid w:val="002E283B"/>
    <w:rsid w:val="00302520"/>
    <w:rsid w:val="00302E7C"/>
    <w:rsid w:val="00316BA1"/>
    <w:rsid w:val="0032312E"/>
    <w:rsid w:val="00330838"/>
    <w:rsid w:val="00335C34"/>
    <w:rsid w:val="00343203"/>
    <w:rsid w:val="003467ED"/>
    <w:rsid w:val="00347993"/>
    <w:rsid w:val="00375122"/>
    <w:rsid w:val="00385231"/>
    <w:rsid w:val="00387EE8"/>
    <w:rsid w:val="00391399"/>
    <w:rsid w:val="003A5599"/>
    <w:rsid w:val="003D4EE8"/>
    <w:rsid w:val="003E1F8B"/>
    <w:rsid w:val="003F16B4"/>
    <w:rsid w:val="003F36B5"/>
    <w:rsid w:val="003F3F7B"/>
    <w:rsid w:val="00402FD9"/>
    <w:rsid w:val="0041474E"/>
    <w:rsid w:val="00423092"/>
    <w:rsid w:val="00430795"/>
    <w:rsid w:val="00437850"/>
    <w:rsid w:val="004543FA"/>
    <w:rsid w:val="00457018"/>
    <w:rsid w:val="004573D3"/>
    <w:rsid w:val="00483904"/>
    <w:rsid w:val="00486405"/>
    <w:rsid w:val="00495FD9"/>
    <w:rsid w:val="004A2D85"/>
    <w:rsid w:val="004A74F3"/>
    <w:rsid w:val="004B4477"/>
    <w:rsid w:val="004B46BA"/>
    <w:rsid w:val="004D17B3"/>
    <w:rsid w:val="004D7444"/>
    <w:rsid w:val="004E626E"/>
    <w:rsid w:val="004F7F8B"/>
    <w:rsid w:val="005004EB"/>
    <w:rsid w:val="00502435"/>
    <w:rsid w:val="00502B9A"/>
    <w:rsid w:val="00520F50"/>
    <w:rsid w:val="00530DA4"/>
    <w:rsid w:val="00534130"/>
    <w:rsid w:val="00534E85"/>
    <w:rsid w:val="0055552A"/>
    <w:rsid w:val="00556E13"/>
    <w:rsid w:val="00566270"/>
    <w:rsid w:val="00570FB6"/>
    <w:rsid w:val="00595226"/>
    <w:rsid w:val="005A50EA"/>
    <w:rsid w:val="005B26C3"/>
    <w:rsid w:val="005B69FA"/>
    <w:rsid w:val="005D57FA"/>
    <w:rsid w:val="005D64B1"/>
    <w:rsid w:val="005E4AF3"/>
    <w:rsid w:val="005E7895"/>
    <w:rsid w:val="005E7ED0"/>
    <w:rsid w:val="00615D30"/>
    <w:rsid w:val="00615D7F"/>
    <w:rsid w:val="006273D7"/>
    <w:rsid w:val="00631CA1"/>
    <w:rsid w:val="00634F03"/>
    <w:rsid w:val="00635719"/>
    <w:rsid w:val="00642196"/>
    <w:rsid w:val="0065666A"/>
    <w:rsid w:val="006575CD"/>
    <w:rsid w:val="00680C3A"/>
    <w:rsid w:val="006843B3"/>
    <w:rsid w:val="00693861"/>
    <w:rsid w:val="00693F70"/>
    <w:rsid w:val="0069529B"/>
    <w:rsid w:val="006B6A71"/>
    <w:rsid w:val="006D755F"/>
    <w:rsid w:val="006F4670"/>
    <w:rsid w:val="00702C4A"/>
    <w:rsid w:val="007078A4"/>
    <w:rsid w:val="00717FC7"/>
    <w:rsid w:val="00733E43"/>
    <w:rsid w:val="00743BCE"/>
    <w:rsid w:val="007527CA"/>
    <w:rsid w:val="00793F75"/>
    <w:rsid w:val="007950D5"/>
    <w:rsid w:val="007A0EA1"/>
    <w:rsid w:val="007A4080"/>
    <w:rsid w:val="007D4D1B"/>
    <w:rsid w:val="007E0810"/>
    <w:rsid w:val="007E3000"/>
    <w:rsid w:val="007E71C0"/>
    <w:rsid w:val="007F6EC3"/>
    <w:rsid w:val="0082212D"/>
    <w:rsid w:val="00824E0A"/>
    <w:rsid w:val="00832CB4"/>
    <w:rsid w:val="008337FA"/>
    <w:rsid w:val="0084218F"/>
    <w:rsid w:val="00842669"/>
    <w:rsid w:val="00854D2E"/>
    <w:rsid w:val="00890D47"/>
    <w:rsid w:val="0089563D"/>
    <w:rsid w:val="00895FD2"/>
    <w:rsid w:val="008C1E6B"/>
    <w:rsid w:val="008E66F0"/>
    <w:rsid w:val="00913AC5"/>
    <w:rsid w:val="00914BD1"/>
    <w:rsid w:val="00930E75"/>
    <w:rsid w:val="00950588"/>
    <w:rsid w:val="009505A7"/>
    <w:rsid w:val="00956284"/>
    <w:rsid w:val="00963F00"/>
    <w:rsid w:val="00964964"/>
    <w:rsid w:val="00976296"/>
    <w:rsid w:val="00994E1E"/>
    <w:rsid w:val="009A0807"/>
    <w:rsid w:val="009B1DDD"/>
    <w:rsid w:val="009C4699"/>
    <w:rsid w:val="009D131A"/>
    <w:rsid w:val="009D339E"/>
    <w:rsid w:val="009D7C19"/>
    <w:rsid w:val="009E4DEF"/>
    <w:rsid w:val="009E4FD6"/>
    <w:rsid w:val="009E6A9F"/>
    <w:rsid w:val="009F14DE"/>
    <w:rsid w:val="009F250B"/>
    <w:rsid w:val="009F6341"/>
    <w:rsid w:val="00A020F9"/>
    <w:rsid w:val="00A14C82"/>
    <w:rsid w:val="00A22092"/>
    <w:rsid w:val="00A350B0"/>
    <w:rsid w:val="00A37DC7"/>
    <w:rsid w:val="00A66D8B"/>
    <w:rsid w:val="00A8388F"/>
    <w:rsid w:val="00A84511"/>
    <w:rsid w:val="00A971AB"/>
    <w:rsid w:val="00AA184E"/>
    <w:rsid w:val="00AC7624"/>
    <w:rsid w:val="00AE6C9F"/>
    <w:rsid w:val="00B060E4"/>
    <w:rsid w:val="00B17704"/>
    <w:rsid w:val="00B30A8E"/>
    <w:rsid w:val="00B421E3"/>
    <w:rsid w:val="00B47E73"/>
    <w:rsid w:val="00B6443C"/>
    <w:rsid w:val="00B645EC"/>
    <w:rsid w:val="00B653A6"/>
    <w:rsid w:val="00B719EB"/>
    <w:rsid w:val="00B71E97"/>
    <w:rsid w:val="00B77A73"/>
    <w:rsid w:val="00BA192D"/>
    <w:rsid w:val="00BA278F"/>
    <w:rsid w:val="00BA3753"/>
    <w:rsid w:val="00BA7B31"/>
    <w:rsid w:val="00BB1EB3"/>
    <w:rsid w:val="00BB69E2"/>
    <w:rsid w:val="00BC731A"/>
    <w:rsid w:val="00BF35FB"/>
    <w:rsid w:val="00C21D98"/>
    <w:rsid w:val="00C224E7"/>
    <w:rsid w:val="00C26D74"/>
    <w:rsid w:val="00C33322"/>
    <w:rsid w:val="00C74742"/>
    <w:rsid w:val="00C77991"/>
    <w:rsid w:val="00C85FD9"/>
    <w:rsid w:val="00C86655"/>
    <w:rsid w:val="00C90FD9"/>
    <w:rsid w:val="00CB29F5"/>
    <w:rsid w:val="00CC0C8B"/>
    <w:rsid w:val="00CD750B"/>
    <w:rsid w:val="00CD79C2"/>
    <w:rsid w:val="00CE34CF"/>
    <w:rsid w:val="00CF63DF"/>
    <w:rsid w:val="00D0375A"/>
    <w:rsid w:val="00D04355"/>
    <w:rsid w:val="00D10403"/>
    <w:rsid w:val="00D22E56"/>
    <w:rsid w:val="00D35534"/>
    <w:rsid w:val="00D45531"/>
    <w:rsid w:val="00D456CE"/>
    <w:rsid w:val="00D46E66"/>
    <w:rsid w:val="00D853F4"/>
    <w:rsid w:val="00DB5A8E"/>
    <w:rsid w:val="00DE23C8"/>
    <w:rsid w:val="00E21E18"/>
    <w:rsid w:val="00E266AA"/>
    <w:rsid w:val="00E31CE0"/>
    <w:rsid w:val="00E44B93"/>
    <w:rsid w:val="00E463A9"/>
    <w:rsid w:val="00E60A45"/>
    <w:rsid w:val="00E9244C"/>
    <w:rsid w:val="00E952A3"/>
    <w:rsid w:val="00EA619D"/>
    <w:rsid w:val="00EE18D2"/>
    <w:rsid w:val="00EF3146"/>
    <w:rsid w:val="00EF5D52"/>
    <w:rsid w:val="00F0642F"/>
    <w:rsid w:val="00F17E7C"/>
    <w:rsid w:val="00F2150A"/>
    <w:rsid w:val="00F369A2"/>
    <w:rsid w:val="00F4015C"/>
    <w:rsid w:val="00F6438F"/>
    <w:rsid w:val="00F763CB"/>
    <w:rsid w:val="00F83F6D"/>
    <w:rsid w:val="00FB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346D1"/>
  <w15:docId w15:val="{2ECDE592-5F49-4E70-8C2B-0543DBD6B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991"/>
  </w:style>
  <w:style w:type="paragraph" w:styleId="Heading1">
    <w:name w:val="heading 1"/>
    <w:basedOn w:val="Normal"/>
    <w:next w:val="Normal"/>
    <w:link w:val="Heading1Char"/>
    <w:uiPriority w:val="9"/>
    <w:qFormat/>
    <w:rsid w:val="004B44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4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C1E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lative">
    <w:name w:val="relative"/>
    <w:basedOn w:val="DefaultParagraphFont"/>
    <w:rsid w:val="00A84511"/>
  </w:style>
  <w:style w:type="character" w:styleId="Strong">
    <w:name w:val="Strong"/>
    <w:basedOn w:val="DefaultParagraphFont"/>
    <w:uiPriority w:val="22"/>
    <w:qFormat/>
    <w:rsid w:val="009E4DEF"/>
    <w:rPr>
      <w:b/>
      <w:bCs/>
    </w:rPr>
  </w:style>
  <w:style w:type="paragraph" w:styleId="NoSpacing">
    <w:name w:val="No Spacing"/>
    <w:uiPriority w:val="1"/>
    <w:qFormat/>
    <w:rsid w:val="00172622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8C1E6B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59"/>
    <w:rsid w:val="00A37D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rpv-coretext-layer-text">
    <w:name w:val="rpv-core__text-layer-text"/>
    <w:basedOn w:val="DefaultParagraphFont"/>
    <w:rsid w:val="00A37DC7"/>
  </w:style>
  <w:style w:type="paragraph" w:styleId="ListParagraph">
    <w:name w:val="List Paragraph"/>
    <w:basedOn w:val="Normal"/>
    <w:uiPriority w:val="34"/>
    <w:qFormat/>
    <w:rsid w:val="00A37D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13A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D331E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693F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93F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B30A8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44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4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value">
    <w:name w:val="value"/>
    <w:basedOn w:val="DefaultParagraphFont"/>
    <w:rsid w:val="0032312E"/>
  </w:style>
  <w:style w:type="character" w:customStyle="1" w:styleId="overflow-hidden">
    <w:name w:val="overflow-hidden"/>
    <w:basedOn w:val="DefaultParagraphFont"/>
    <w:rsid w:val="00635719"/>
  </w:style>
  <w:style w:type="paragraph" w:styleId="BalloonText">
    <w:name w:val="Balloon Text"/>
    <w:basedOn w:val="Normal"/>
    <w:link w:val="BalloonTextChar"/>
    <w:uiPriority w:val="99"/>
    <w:semiHidden/>
    <w:unhideWhenUsed/>
    <w:rsid w:val="00AE6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C73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731A"/>
  </w:style>
  <w:style w:type="paragraph" w:styleId="Footer">
    <w:name w:val="footer"/>
    <w:basedOn w:val="Normal"/>
    <w:link w:val="FooterChar"/>
    <w:uiPriority w:val="99"/>
    <w:unhideWhenUsed/>
    <w:rsid w:val="00BC73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31A"/>
  </w:style>
  <w:style w:type="character" w:styleId="UnresolvedMention">
    <w:name w:val="Unresolved Mention"/>
    <w:basedOn w:val="DefaultParagraphFont"/>
    <w:uiPriority w:val="99"/>
    <w:semiHidden/>
    <w:unhideWhenUsed/>
    <w:rsid w:val="00CD7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01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5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34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80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4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09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2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48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1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6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155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703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221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3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05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B9367-E5C8-4032-B22B-529003A6D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1448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Bhushan Tandale</cp:lastModifiedBy>
  <cp:revision>13</cp:revision>
  <dcterms:created xsi:type="dcterms:W3CDTF">2025-09-02T04:04:00Z</dcterms:created>
  <dcterms:modified xsi:type="dcterms:W3CDTF">2025-09-04T09:33:00Z</dcterms:modified>
</cp:coreProperties>
</file>