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00F0" w14:textId="36BEF9C7" w:rsidR="007360E5" w:rsidRPr="007360E5" w:rsidRDefault="00961461" w:rsidP="007360E5">
      <w:pPr>
        <w:rPr>
          <w:rFonts w:ascii="Times New Roman" w:hAnsi="Times New Roman" w:cs="Times New Roman"/>
          <w:b/>
          <w:bCs/>
          <w:sz w:val="24"/>
        </w:rPr>
      </w:pPr>
      <w:r w:rsidRPr="00961461">
        <w:rPr>
          <w:rFonts w:ascii="Times New Roman" w:hAnsi="Times New Roman" w:cs="Times New Roman"/>
          <w:b/>
          <w:bCs/>
          <w:sz w:val="24"/>
        </w:rPr>
        <w:t>A Preliminary Validation Study of PES-JP Item 5 With and Without Explanatory Labels</w:t>
      </w:r>
    </w:p>
    <w:p w14:paraId="1AC0E8C8" w14:textId="77777777" w:rsidR="007360E5" w:rsidRPr="00961461" w:rsidRDefault="007360E5" w:rsidP="007360E5">
      <w:pPr>
        <w:rPr>
          <w:rFonts w:ascii="Times New Roman" w:hAnsi="Times New Roman" w:cs="Times New Roman"/>
          <w:i/>
          <w:iCs/>
          <w:sz w:val="24"/>
        </w:rPr>
      </w:pPr>
      <w:r w:rsidRPr="00961461">
        <w:rPr>
          <w:rFonts w:ascii="Times New Roman" w:hAnsi="Times New Roman" w:cs="Times New Roman"/>
          <w:i/>
          <w:iCs/>
          <w:sz w:val="24"/>
        </w:rPr>
        <w:t>Study Overview</w:t>
      </w:r>
    </w:p>
    <w:p w14:paraId="75AF0237" w14:textId="5A0F5DF4" w:rsidR="007360E5" w:rsidRDefault="00E53ADE" w:rsidP="00E53ADE">
      <w:pPr>
        <w:ind w:firstLine="840"/>
        <w:rPr>
          <w:rFonts w:ascii="Times New Roman" w:hAnsi="Times New Roman" w:cs="Times New Roman"/>
          <w:sz w:val="24"/>
        </w:rPr>
      </w:pPr>
      <w:r w:rsidRPr="00E53ADE">
        <w:rPr>
          <w:rFonts w:ascii="Times New Roman" w:hAnsi="Times New Roman" w:cs="Times New Roman"/>
          <w:sz w:val="24"/>
        </w:rPr>
        <w:t>A preliminary validation study involving 200 participants was conducted to examine whether the version of PES-JP Item 5</w:t>
      </w:r>
      <w:r>
        <w:rPr>
          <w:rFonts w:ascii="Times New Roman" w:hAnsi="Times New Roman" w:cs="Times New Roman" w:hint="eastAsia"/>
          <w:sz w:val="24"/>
        </w:rPr>
        <w:t xml:space="preserve"> </w:t>
      </w:r>
      <w:r w:rsidRPr="0044753A">
        <w:rPr>
          <w:rFonts w:ascii="Times New Roman" w:hAnsi="Times New Roman" w:cs="Times New Roman"/>
          <w:color w:val="000000" w:themeColor="text1"/>
          <w:sz w:val="24"/>
        </w:rPr>
        <w:t>(exerting physical effort does not appeal to me)</w:t>
      </w:r>
      <w:r w:rsidRPr="00E53ADE">
        <w:rPr>
          <w:rFonts w:ascii="Times New Roman" w:hAnsi="Times New Roman" w:cs="Times New Roman"/>
          <w:sz w:val="24"/>
        </w:rPr>
        <w:t xml:space="preserve"> with explanatory labels on the scale points demonstrated better construct validity than the version without such labels. The results indicated that the labeled version showed stronger concurrent, convergent, and discriminant validity.</w:t>
      </w:r>
    </w:p>
    <w:p w14:paraId="20D566F8" w14:textId="77777777" w:rsidR="00FB5C27" w:rsidRPr="007360E5" w:rsidRDefault="00FB5C27" w:rsidP="007360E5">
      <w:pPr>
        <w:rPr>
          <w:rFonts w:ascii="Times New Roman" w:hAnsi="Times New Roman" w:cs="Times New Roman"/>
          <w:sz w:val="24"/>
        </w:rPr>
      </w:pPr>
    </w:p>
    <w:p w14:paraId="31831904" w14:textId="72871EC2" w:rsidR="007360E5" w:rsidRPr="00961461" w:rsidRDefault="007360E5" w:rsidP="007360E5">
      <w:pPr>
        <w:rPr>
          <w:rFonts w:ascii="Times New Roman" w:hAnsi="Times New Roman" w:cs="Times New Roman"/>
          <w:i/>
          <w:iCs/>
          <w:sz w:val="24"/>
        </w:rPr>
      </w:pPr>
      <w:r w:rsidRPr="00961461">
        <w:rPr>
          <w:rFonts w:ascii="Times New Roman" w:hAnsi="Times New Roman" w:cs="Times New Roman"/>
          <w:i/>
          <w:iCs/>
          <w:sz w:val="24"/>
        </w:rPr>
        <w:t>Group Classification</w:t>
      </w:r>
    </w:p>
    <w:p w14:paraId="4D3FA3DF" w14:textId="77777777" w:rsidR="00E53ADE" w:rsidRPr="00E53ADE" w:rsidRDefault="00E53ADE" w:rsidP="00E53ADE">
      <w:pPr>
        <w:ind w:firstLine="840"/>
        <w:rPr>
          <w:rFonts w:ascii="Times New Roman" w:hAnsi="Times New Roman" w:cs="Times New Roman"/>
          <w:sz w:val="24"/>
        </w:rPr>
      </w:pPr>
      <w:r w:rsidRPr="00E53ADE">
        <w:rPr>
          <w:rFonts w:ascii="Times New Roman" w:hAnsi="Times New Roman" w:cs="Times New Roman"/>
          <w:sz w:val="24"/>
        </w:rPr>
        <w:t>Group 1 (n = 100): Participants who completed the questionnaire version with explanatory labels added to the scale points of Item 5.</w:t>
      </w:r>
    </w:p>
    <w:p w14:paraId="5A002D6E" w14:textId="1D7E757C" w:rsidR="007360E5" w:rsidRDefault="00E53ADE" w:rsidP="00E53ADE">
      <w:pPr>
        <w:ind w:firstLine="840"/>
        <w:rPr>
          <w:rFonts w:ascii="Times New Roman" w:hAnsi="Times New Roman" w:cs="Times New Roman"/>
          <w:sz w:val="24"/>
        </w:rPr>
      </w:pPr>
      <w:r w:rsidRPr="00E53ADE">
        <w:rPr>
          <w:rFonts w:ascii="Times New Roman" w:hAnsi="Times New Roman" w:cs="Times New Roman"/>
          <w:sz w:val="24"/>
        </w:rPr>
        <w:t>Group 2 (n = 100): Participants who completed the version without explanatory labels.</w:t>
      </w:r>
    </w:p>
    <w:p w14:paraId="6BD89454" w14:textId="77777777" w:rsidR="00E53ADE" w:rsidRDefault="00E53ADE" w:rsidP="00E53ADE">
      <w:pPr>
        <w:rPr>
          <w:rFonts w:ascii="Times New Roman" w:hAnsi="Times New Roman" w:cs="Times New Roman"/>
          <w:b/>
          <w:bCs/>
          <w:sz w:val="24"/>
        </w:rPr>
      </w:pPr>
    </w:p>
    <w:p w14:paraId="569A2F48" w14:textId="5256762B" w:rsidR="00973205" w:rsidRPr="00961461" w:rsidRDefault="00973205" w:rsidP="00973205">
      <w:pPr>
        <w:rPr>
          <w:rFonts w:ascii="Times New Roman" w:hAnsi="Times New Roman" w:cs="Times New Roman"/>
          <w:i/>
          <w:iCs/>
          <w:sz w:val="24"/>
        </w:rPr>
      </w:pPr>
      <w:r w:rsidRPr="00961461">
        <w:rPr>
          <w:rFonts w:ascii="Times New Roman" w:hAnsi="Times New Roman" w:cs="Times New Roman"/>
          <w:i/>
          <w:iCs/>
          <w:sz w:val="24"/>
        </w:rPr>
        <w:t>Con</w:t>
      </w:r>
      <w:r w:rsidRPr="00961461">
        <w:rPr>
          <w:rFonts w:ascii="Times New Roman" w:hAnsi="Times New Roman" w:cs="Times New Roman" w:hint="eastAsia"/>
          <w:i/>
          <w:iCs/>
          <w:sz w:val="24"/>
        </w:rPr>
        <w:t>current</w:t>
      </w:r>
      <w:r w:rsidRPr="00961461">
        <w:rPr>
          <w:rFonts w:ascii="Times New Roman" w:hAnsi="Times New Roman" w:cs="Times New Roman"/>
          <w:i/>
          <w:iCs/>
          <w:sz w:val="24"/>
        </w:rPr>
        <w:t xml:space="preserve"> Validity</w:t>
      </w:r>
    </w:p>
    <w:p w14:paraId="0559B581" w14:textId="4258D760" w:rsidR="007360E5" w:rsidRDefault="00826D7D" w:rsidP="00E53ADE">
      <w:pPr>
        <w:ind w:firstLine="840"/>
        <w:rPr>
          <w:rFonts w:ascii="Times New Roman" w:hAnsi="Times New Roman" w:cs="Times New Roman"/>
          <w:sz w:val="24"/>
        </w:rPr>
      </w:pPr>
      <w:r w:rsidRPr="00826D7D">
        <w:rPr>
          <w:rFonts w:ascii="Times New Roman" w:hAnsi="Times New Roman" w:cs="Times New Roman"/>
          <w:sz w:val="24"/>
        </w:rPr>
        <w:t xml:space="preserve">Concurrent validity was assessed by examining the associations between PES-JP Item 5 and physical activity </w:t>
      </w:r>
      <w:r w:rsidR="00CC1BBF">
        <w:rPr>
          <w:rFonts w:ascii="Times New Roman" w:hAnsi="Times New Roman" w:cs="Times New Roman" w:hint="eastAsia"/>
          <w:sz w:val="24"/>
        </w:rPr>
        <w:t xml:space="preserve">(PA) </w:t>
      </w:r>
      <w:r w:rsidRPr="00826D7D">
        <w:rPr>
          <w:rFonts w:ascii="Times New Roman" w:hAnsi="Times New Roman" w:cs="Times New Roman"/>
          <w:sz w:val="24"/>
        </w:rPr>
        <w:t>levels as measured by the IPAQ, comparing responses between Group 1 (with explanatory labels) and Group 2 (without explanatory labels). The results are summarized in Supplemental Table 1.</w:t>
      </w:r>
    </w:p>
    <w:p w14:paraId="127A001B" w14:textId="77777777" w:rsidR="00BE5F23" w:rsidRDefault="00BE5F23" w:rsidP="00E53ADE">
      <w:pPr>
        <w:ind w:firstLine="840"/>
        <w:rPr>
          <w:rFonts w:ascii="Times New Roman" w:hAnsi="Times New Roman" w:cs="Times New Roman"/>
          <w:sz w:val="24"/>
        </w:rPr>
      </w:pPr>
    </w:p>
    <w:p w14:paraId="30C08FC0" w14:textId="0BECF39C" w:rsidR="00010411" w:rsidRPr="00010411" w:rsidRDefault="00010411" w:rsidP="00010411">
      <w:pPr>
        <w:rPr>
          <w:rFonts w:ascii="Times New Roman" w:hAnsi="Times New Roman" w:cs="Times New Roman"/>
          <w:b/>
          <w:bCs/>
          <w:sz w:val="24"/>
        </w:rPr>
      </w:pPr>
      <w:r w:rsidRPr="00010411">
        <w:rPr>
          <w:rFonts w:ascii="Times New Roman" w:hAnsi="Times New Roman" w:cs="Times New Roman"/>
          <w:b/>
          <w:bCs/>
          <w:sz w:val="24"/>
        </w:rPr>
        <w:t>Supplemental Table 1. Concurrent, convergent, and discriminant validity of PES-JP Item 5 across two versions (with and without explanatory labels).</w:t>
      </w:r>
    </w:p>
    <w:tbl>
      <w:tblPr>
        <w:tblW w:w="10016" w:type="dxa"/>
        <w:tblCellMar>
          <w:left w:w="0" w:type="dxa"/>
          <w:right w:w="0" w:type="dxa"/>
        </w:tblCellMar>
        <w:tblLook w:val="0420" w:firstRow="1" w:lastRow="0" w:firstColumn="0" w:lastColumn="0" w:noHBand="0" w:noVBand="1"/>
      </w:tblPr>
      <w:tblGrid>
        <w:gridCol w:w="1962"/>
        <w:gridCol w:w="1175"/>
        <w:gridCol w:w="1072"/>
        <w:gridCol w:w="1050"/>
        <w:gridCol w:w="411"/>
        <w:gridCol w:w="1608"/>
        <w:gridCol w:w="1209"/>
        <w:gridCol w:w="1221"/>
        <w:gridCol w:w="308"/>
      </w:tblGrid>
      <w:tr w:rsidR="00010411" w:rsidRPr="00010411" w14:paraId="79770B20" w14:textId="77777777" w:rsidTr="00010411">
        <w:trPr>
          <w:trHeight w:val="667"/>
        </w:trPr>
        <w:tc>
          <w:tcPr>
            <w:tcW w:w="1962"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70194A66"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3297" w:type="dxa"/>
            <w:gridSpan w:val="3"/>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5481A7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Group 1</w:t>
            </w:r>
          </w:p>
        </w:tc>
        <w:tc>
          <w:tcPr>
            <w:tcW w:w="411"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A2C71B2"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4038" w:type="dxa"/>
            <w:gridSpan w:val="3"/>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612760E"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Group 2</w:t>
            </w:r>
          </w:p>
        </w:tc>
        <w:tc>
          <w:tcPr>
            <w:tcW w:w="30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D47E05C"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27C381B5" w14:textId="77777777" w:rsidTr="00010411">
        <w:trPr>
          <w:trHeight w:val="381"/>
        </w:trPr>
        <w:tc>
          <w:tcPr>
            <w:tcW w:w="1962"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66F2C56E"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17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0A8D0214"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N</w:t>
            </w:r>
          </w:p>
        </w:tc>
        <w:tc>
          <w:tcPr>
            <w:tcW w:w="107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E956911"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β</w:t>
            </w:r>
          </w:p>
        </w:tc>
        <w:tc>
          <w:tcPr>
            <w:tcW w:w="105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4ECAD0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i/>
                <w:iCs/>
                <w:color w:val="000000"/>
                <w:kern w:val="24"/>
                <w:sz w:val="24"/>
                <w14:ligatures w14:val="none"/>
              </w:rPr>
              <w:t>p</w:t>
            </w:r>
          </w:p>
        </w:tc>
        <w:tc>
          <w:tcPr>
            <w:tcW w:w="411"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26B6EF6A"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30B7160"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N</w:t>
            </w:r>
          </w:p>
        </w:tc>
        <w:tc>
          <w:tcPr>
            <w:tcW w:w="1209"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9094EBB"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β</w:t>
            </w:r>
          </w:p>
        </w:tc>
        <w:tc>
          <w:tcPr>
            <w:tcW w:w="122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51E5A7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i/>
                <w:iCs/>
                <w:color w:val="000000"/>
                <w:kern w:val="24"/>
                <w:sz w:val="24"/>
                <w14:ligatures w14:val="none"/>
              </w:rPr>
              <w:t>p</w:t>
            </w:r>
          </w:p>
        </w:tc>
        <w:tc>
          <w:tcPr>
            <w:tcW w:w="30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8823F4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1F1A0CFB" w14:textId="77777777" w:rsidTr="00010411">
        <w:trPr>
          <w:trHeight w:val="704"/>
        </w:trPr>
        <w:tc>
          <w:tcPr>
            <w:tcW w:w="1962"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1253C596"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b/>
                <w:bCs/>
                <w:color w:val="000000"/>
                <w:kern w:val="24"/>
                <w:sz w:val="24"/>
                <w14:ligatures w14:val="none"/>
              </w:rPr>
              <w:t>Concurrent validity</w:t>
            </w:r>
          </w:p>
        </w:tc>
        <w:tc>
          <w:tcPr>
            <w:tcW w:w="1175"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32CFD440"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6A0E5D09"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050"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44140E8A"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507EB007"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2733EBF7"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0DF01A08"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221"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4F235A54"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1A4D35EA"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07330350" w14:textId="77777777" w:rsidTr="00010411">
        <w:trPr>
          <w:trHeight w:val="667"/>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4570AAC9"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Usual level of PA</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0E54C44E"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64FB8B4C"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211BCDD5"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42B43B72"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175960CE"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5AE370E3"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626E9B31"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484481C3"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79E6DACF" w14:textId="77777777" w:rsidTr="00010411">
        <w:trPr>
          <w:trHeight w:val="380"/>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4B12D60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MVPA</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2CA891D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59EFEF1F"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-0.19</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64B5686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0.053</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1E741A95"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672C78B4"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301F828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0.00</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43DF7FE3"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0.977</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7039F131"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204094B0" w14:textId="77777777" w:rsidTr="00010411">
        <w:trPr>
          <w:trHeight w:val="430"/>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28653AB3"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Moderate PA</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4E89B67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142A2ACF"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-0.10</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30B8FB6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0.340</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43924F3A"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5EF63A9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27336B02"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0.06</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7A9CFA9F"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0.560</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7347B03A"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2C95345C" w14:textId="77777777" w:rsidTr="00010411">
        <w:trPr>
          <w:trHeight w:val="424"/>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6894E1E7"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Vigorous PA</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32AB3D13"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6E52D9C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-0.20</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7B7A1D0E" w14:textId="77777777" w:rsidR="00010411" w:rsidRPr="00010411" w:rsidRDefault="00010411" w:rsidP="00010411">
            <w:pPr>
              <w:widowControl/>
              <w:jc w:val="center"/>
              <w:textAlignment w:val="top"/>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b/>
                <w:bCs/>
                <w:color w:val="000000"/>
                <w:kern w:val="24"/>
                <w:sz w:val="24"/>
                <w14:ligatures w14:val="none"/>
              </w:rPr>
              <w:t>0.042</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16B999E6"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6951D11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02D0271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-0.04</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06788A3B"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0.710</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595BA9FD"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6869B9B6" w14:textId="77777777" w:rsidTr="00010411">
        <w:trPr>
          <w:trHeight w:val="290"/>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73067D5E"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Walking</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5B047815"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557F9DE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-0.26</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1BD9DD25"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0.010</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1005A4B1"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438BE262"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68789966"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0.03</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75A1C90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0.735</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5AAAE03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39FCAB43" w14:textId="77777777" w:rsidTr="00010411">
        <w:trPr>
          <w:trHeight w:val="340"/>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3B065961"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Sitting</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7D9FA50B"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708B89C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0.23</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3431C859"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0.022</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74DFE08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4BB6D32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3FD0172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0.20</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2D15EB2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0.045</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3CEBB7F3"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29DB0894" w14:textId="77777777" w:rsidTr="00010411">
        <w:trPr>
          <w:trHeight w:val="259"/>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2D42F5D8"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7CDE2466"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71276173"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0ED2777C"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3B3E8984"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692E7301"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35FED657"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0C718D71"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7B4BE69D"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52FA25D1" w14:textId="77777777" w:rsidTr="00010411">
        <w:trPr>
          <w:trHeight w:val="843"/>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52E4CCB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b/>
                <w:bCs/>
                <w:color w:val="000000"/>
                <w:kern w:val="24"/>
                <w:sz w:val="24"/>
                <w14:ligatures w14:val="none"/>
              </w:rPr>
              <w:lastRenderedPageBreak/>
              <w:t>Convergent validity</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2E8D5B3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7FF25B85"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0FAE0324"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21BB3F4A"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2777D11A"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3A9D9668"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4A9FE3F4"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72F8EF1D"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5237EB06" w14:textId="77777777" w:rsidTr="00010411">
        <w:trPr>
          <w:trHeight w:val="714"/>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6189AD8C"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Autonomous motivation</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79D3BFE7"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4B75FE46"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-0.43</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08A898E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&lt;0.001</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46FF793D"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51DAFB64"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58EB0A30"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-0.28</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4BF2ABA1"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0.005</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37AF115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2547FE74" w14:textId="77777777" w:rsidTr="00010411">
        <w:trPr>
          <w:trHeight w:val="698"/>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46403187"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Affective attitudes</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27B8D48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78BEC3C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-0.21</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496A20C8"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0.038</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0778710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3293C665"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6A2EEFC6"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-0.20</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25B16C07"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0.045</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228A0E01"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52D8F51C" w14:textId="77777777" w:rsidTr="00010411">
        <w:trPr>
          <w:trHeight w:val="399"/>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55F9638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Intentions</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5B6D405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094AFA58"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-0.33</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1C72AB2F"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0.001</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761DD9CD"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7239825C"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234AEB0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-0.02</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0C280D4B"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0.850</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7792B93B"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36CBD64D" w14:textId="77777777" w:rsidTr="00010411">
        <w:trPr>
          <w:trHeight w:val="421"/>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68400391"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Automaticity</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7AD5CE0E"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774EDD01"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-0.28</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27815B30"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0.005</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2894029A"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51349055"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6891E42B"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-0.16</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3FEB36E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0.123</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3DA67B0F"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39C8B356" w14:textId="77777777" w:rsidTr="00010411">
        <w:trPr>
          <w:trHeight w:val="139"/>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44E9185F"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3D58CA88"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125E8AF7"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5005EB1D"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0E199905"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0710145C"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0EE9C21A"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38C80728"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6CC76DB5"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0FF4A2F1" w14:textId="77777777" w:rsidTr="00010411">
        <w:trPr>
          <w:trHeight w:val="786"/>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6394CA6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b/>
                <w:bCs/>
                <w:color w:val="000000"/>
                <w:kern w:val="24"/>
                <w:sz w:val="24"/>
                <w14:ligatures w14:val="none"/>
              </w:rPr>
              <w:t>Discriminant validity</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5E24A070"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3E2BC12E"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2F9EC90B"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799381D6"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2AE8DC97"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42634B45"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764B7BAB"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48D434A6" w14:textId="77777777" w:rsidR="00010411" w:rsidRPr="00010411" w:rsidRDefault="00010411" w:rsidP="00010411">
            <w:pPr>
              <w:widowControl/>
              <w:jc w:val="left"/>
              <w:rPr>
                <w:rFonts w:ascii="Times New Roman" w:eastAsia="Times New Roman" w:hAnsi="Times New Roman" w:cs="Times New Roman"/>
                <w:kern w:val="0"/>
                <w:sz w:val="24"/>
                <w14:ligatures w14:val="none"/>
              </w:rPr>
            </w:pPr>
          </w:p>
        </w:tc>
      </w:tr>
      <w:tr w:rsidR="00010411" w:rsidRPr="00010411" w14:paraId="3FE38768" w14:textId="77777777" w:rsidTr="00010411">
        <w:trPr>
          <w:trHeight w:val="776"/>
        </w:trPr>
        <w:tc>
          <w:tcPr>
            <w:tcW w:w="1962" w:type="dxa"/>
            <w:tcBorders>
              <w:top w:val="nil"/>
              <w:left w:val="nil"/>
              <w:bottom w:val="nil"/>
              <w:right w:val="nil"/>
            </w:tcBorders>
            <w:shd w:val="clear" w:color="auto" w:fill="auto"/>
            <w:tcMar>
              <w:top w:w="72" w:type="dxa"/>
              <w:left w:w="144" w:type="dxa"/>
              <w:bottom w:w="72" w:type="dxa"/>
              <w:right w:w="144" w:type="dxa"/>
            </w:tcMar>
            <w:hideMark/>
          </w:tcPr>
          <w:p w14:paraId="371BBAD6"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Controlled motivation</w:t>
            </w:r>
          </w:p>
        </w:tc>
        <w:tc>
          <w:tcPr>
            <w:tcW w:w="1175" w:type="dxa"/>
            <w:tcBorders>
              <w:top w:val="nil"/>
              <w:left w:val="nil"/>
              <w:bottom w:val="nil"/>
              <w:right w:val="nil"/>
            </w:tcBorders>
            <w:shd w:val="clear" w:color="auto" w:fill="auto"/>
            <w:tcMar>
              <w:top w:w="72" w:type="dxa"/>
              <w:left w:w="144" w:type="dxa"/>
              <w:bottom w:w="72" w:type="dxa"/>
              <w:right w:w="144" w:type="dxa"/>
            </w:tcMar>
            <w:hideMark/>
          </w:tcPr>
          <w:p w14:paraId="3DDB81E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nil"/>
              <w:right w:val="nil"/>
            </w:tcBorders>
            <w:shd w:val="clear" w:color="auto" w:fill="auto"/>
            <w:tcMar>
              <w:top w:w="72" w:type="dxa"/>
              <w:left w:w="144" w:type="dxa"/>
              <w:bottom w:w="72" w:type="dxa"/>
              <w:right w:w="144" w:type="dxa"/>
            </w:tcMar>
            <w:hideMark/>
          </w:tcPr>
          <w:p w14:paraId="2914474D"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-0.11</w:t>
            </w:r>
          </w:p>
        </w:tc>
        <w:tc>
          <w:tcPr>
            <w:tcW w:w="1050" w:type="dxa"/>
            <w:tcBorders>
              <w:top w:val="nil"/>
              <w:left w:val="nil"/>
              <w:bottom w:val="nil"/>
              <w:right w:val="nil"/>
            </w:tcBorders>
            <w:shd w:val="clear" w:color="auto" w:fill="auto"/>
            <w:tcMar>
              <w:top w:w="72" w:type="dxa"/>
              <w:left w:w="144" w:type="dxa"/>
              <w:bottom w:w="72" w:type="dxa"/>
              <w:right w:w="144" w:type="dxa"/>
            </w:tcMar>
            <w:hideMark/>
          </w:tcPr>
          <w:p w14:paraId="0A002586"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0.287</w:t>
            </w:r>
          </w:p>
        </w:tc>
        <w:tc>
          <w:tcPr>
            <w:tcW w:w="411" w:type="dxa"/>
            <w:tcBorders>
              <w:top w:val="nil"/>
              <w:left w:val="nil"/>
              <w:bottom w:val="nil"/>
              <w:right w:val="nil"/>
            </w:tcBorders>
            <w:shd w:val="clear" w:color="auto" w:fill="auto"/>
            <w:tcMar>
              <w:top w:w="72" w:type="dxa"/>
              <w:left w:w="144" w:type="dxa"/>
              <w:bottom w:w="72" w:type="dxa"/>
              <w:right w:w="144" w:type="dxa"/>
            </w:tcMar>
            <w:hideMark/>
          </w:tcPr>
          <w:p w14:paraId="42AC4345"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nil"/>
              <w:right w:val="nil"/>
            </w:tcBorders>
            <w:shd w:val="clear" w:color="auto" w:fill="auto"/>
            <w:tcMar>
              <w:top w:w="72" w:type="dxa"/>
              <w:left w:w="144" w:type="dxa"/>
              <w:bottom w:w="72" w:type="dxa"/>
              <w:right w:w="144" w:type="dxa"/>
            </w:tcMar>
            <w:hideMark/>
          </w:tcPr>
          <w:p w14:paraId="659D93BE"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nil"/>
              <w:right w:val="nil"/>
            </w:tcBorders>
            <w:shd w:val="clear" w:color="auto" w:fill="auto"/>
            <w:tcMar>
              <w:top w:w="72" w:type="dxa"/>
              <w:left w:w="144" w:type="dxa"/>
              <w:bottom w:w="72" w:type="dxa"/>
              <w:right w:w="144" w:type="dxa"/>
            </w:tcMar>
            <w:hideMark/>
          </w:tcPr>
          <w:p w14:paraId="6939CC84"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-0.15</w:t>
            </w:r>
          </w:p>
        </w:tc>
        <w:tc>
          <w:tcPr>
            <w:tcW w:w="1221" w:type="dxa"/>
            <w:tcBorders>
              <w:top w:val="nil"/>
              <w:left w:val="nil"/>
              <w:bottom w:val="nil"/>
              <w:right w:val="nil"/>
            </w:tcBorders>
            <w:shd w:val="clear" w:color="auto" w:fill="auto"/>
            <w:tcMar>
              <w:top w:w="72" w:type="dxa"/>
              <w:left w:w="144" w:type="dxa"/>
              <w:bottom w:w="72" w:type="dxa"/>
              <w:right w:w="144" w:type="dxa"/>
            </w:tcMar>
            <w:hideMark/>
          </w:tcPr>
          <w:p w14:paraId="6967E4C1"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0.141</w:t>
            </w:r>
          </w:p>
        </w:tc>
        <w:tc>
          <w:tcPr>
            <w:tcW w:w="308" w:type="dxa"/>
            <w:tcBorders>
              <w:top w:val="nil"/>
              <w:left w:val="nil"/>
              <w:bottom w:val="nil"/>
              <w:right w:val="nil"/>
            </w:tcBorders>
            <w:shd w:val="clear" w:color="auto" w:fill="auto"/>
            <w:tcMar>
              <w:top w:w="72" w:type="dxa"/>
              <w:left w:w="144" w:type="dxa"/>
              <w:bottom w:w="72" w:type="dxa"/>
              <w:right w:w="144" w:type="dxa"/>
            </w:tcMar>
            <w:hideMark/>
          </w:tcPr>
          <w:p w14:paraId="51BFA32B"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r w:rsidR="00010411" w:rsidRPr="00010411" w14:paraId="7116C1A3" w14:textId="77777777" w:rsidTr="00010411">
        <w:trPr>
          <w:trHeight w:val="752"/>
        </w:trPr>
        <w:tc>
          <w:tcPr>
            <w:tcW w:w="1962"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16CE7202"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Instrumental attitudes</w:t>
            </w:r>
          </w:p>
        </w:tc>
        <w:tc>
          <w:tcPr>
            <w:tcW w:w="1175"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08F8664F"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072"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3C79A54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-0.01</w:t>
            </w:r>
          </w:p>
        </w:tc>
        <w:tc>
          <w:tcPr>
            <w:tcW w:w="1050"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21C6D164"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0.895</w:t>
            </w:r>
          </w:p>
        </w:tc>
        <w:tc>
          <w:tcPr>
            <w:tcW w:w="411"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635BA412"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c>
          <w:tcPr>
            <w:tcW w:w="1608"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4DB22FF6"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ＭＳ Ｐゴシック" w:hAnsi="Times New Roman" w:cs="Times New Roman"/>
                <w:color w:val="000000"/>
                <w:kern w:val="24"/>
                <w:sz w:val="24"/>
                <w14:ligatures w14:val="none"/>
              </w:rPr>
              <w:t>100</w:t>
            </w:r>
          </w:p>
        </w:tc>
        <w:tc>
          <w:tcPr>
            <w:tcW w:w="1209"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47E6E003"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0.01</w:t>
            </w:r>
          </w:p>
        </w:tc>
        <w:tc>
          <w:tcPr>
            <w:tcW w:w="1221"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7F2C9F4A" w14:textId="77777777" w:rsidR="00010411" w:rsidRPr="00010411" w:rsidRDefault="00010411" w:rsidP="00010411">
            <w:pPr>
              <w:widowControl/>
              <w:jc w:val="center"/>
              <w:rPr>
                <w:rFonts w:ascii="Times New Roman" w:eastAsia="ＭＳ Ｐゴシック" w:hAnsi="Times New Roman" w:cs="Times New Roman"/>
                <w:kern w:val="0"/>
                <w:sz w:val="24"/>
                <w14:ligatures w14:val="none"/>
              </w:rPr>
            </w:pPr>
            <w:r w:rsidRPr="00010411">
              <w:rPr>
                <w:rFonts w:ascii="Times New Roman" w:eastAsia="Yu Gothic" w:hAnsi="Times New Roman" w:cs="Times New Roman"/>
                <w:color w:val="000000"/>
                <w:kern w:val="24"/>
                <w:sz w:val="24"/>
                <w14:ligatures w14:val="none"/>
              </w:rPr>
              <w:t>0.958</w:t>
            </w:r>
          </w:p>
        </w:tc>
        <w:tc>
          <w:tcPr>
            <w:tcW w:w="308"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6DE7CFAB" w14:textId="77777777" w:rsidR="00010411" w:rsidRPr="00010411" w:rsidRDefault="00010411" w:rsidP="00010411">
            <w:pPr>
              <w:widowControl/>
              <w:jc w:val="left"/>
              <w:rPr>
                <w:rFonts w:ascii="Times New Roman" w:eastAsia="ＭＳ Ｐゴシック" w:hAnsi="Times New Roman" w:cs="Times New Roman"/>
                <w:kern w:val="0"/>
                <w:sz w:val="24"/>
                <w14:ligatures w14:val="none"/>
              </w:rPr>
            </w:pPr>
          </w:p>
        </w:tc>
      </w:tr>
    </w:tbl>
    <w:p w14:paraId="3E681E2F" w14:textId="465A7D96" w:rsidR="00010411" w:rsidRDefault="00010411" w:rsidP="00010411">
      <w:pPr>
        <w:rPr>
          <w:rFonts w:ascii="Times New Roman" w:hAnsi="Times New Roman" w:cs="Times New Roman"/>
          <w:sz w:val="24"/>
        </w:rPr>
      </w:pPr>
      <w:r w:rsidRPr="00010411">
        <w:rPr>
          <w:rFonts w:ascii="Times New Roman" w:hAnsi="Times New Roman" w:cs="Times New Roman"/>
          <w:i/>
          <w:iCs/>
          <w:sz w:val="24"/>
        </w:rPr>
        <w:t>Notes</w:t>
      </w:r>
      <w:r w:rsidRPr="00010411">
        <w:rPr>
          <w:rFonts w:ascii="Times New Roman" w:hAnsi="Times New Roman" w:cs="Times New Roman"/>
          <w:sz w:val="24"/>
        </w:rPr>
        <w:t>. Usual level of PA =Physical activity as assessed by the International Physical Activity Questionnaire (IPAQ; Craig et al., 2003); MVPA = moderate-to-vigorous physical activity. Univariate linear regressions were used to assess the associations. All the variables were scaled to obtain standardized coefficients. Group 1 refers to participants who completed the version of the questionnaire with explanatory labels on Item 5 scale points, while Group 2 refers to those who completed the version without explanatory labels.</w:t>
      </w:r>
    </w:p>
    <w:p w14:paraId="65BF0C3D" w14:textId="77777777" w:rsidR="00010411" w:rsidRPr="00010411" w:rsidRDefault="00010411" w:rsidP="00010411">
      <w:pPr>
        <w:rPr>
          <w:rFonts w:ascii="Times New Roman" w:hAnsi="Times New Roman" w:cs="Times New Roman"/>
          <w:sz w:val="24"/>
        </w:rPr>
      </w:pPr>
    </w:p>
    <w:p w14:paraId="322A8730" w14:textId="537AAA5F" w:rsidR="007360E5" w:rsidRPr="007360E5" w:rsidRDefault="00826D7D" w:rsidP="00826D7D">
      <w:pPr>
        <w:ind w:firstLine="840"/>
        <w:rPr>
          <w:rFonts w:ascii="Times New Roman" w:hAnsi="Times New Roman" w:cs="Times New Roman"/>
          <w:sz w:val="24"/>
        </w:rPr>
      </w:pPr>
      <w:r>
        <w:rPr>
          <w:rFonts w:ascii="Times New Roman" w:hAnsi="Times New Roman" w:cs="Times New Roman" w:hint="eastAsia"/>
          <w:sz w:val="24"/>
        </w:rPr>
        <w:t xml:space="preserve">In Group 1, </w:t>
      </w:r>
      <w:r w:rsidRPr="00826D7D">
        <w:rPr>
          <w:rFonts w:ascii="Times New Roman" w:hAnsi="Times New Roman" w:cs="Times New Roman"/>
          <w:sz w:val="24"/>
        </w:rPr>
        <w:t xml:space="preserve">Item 5 showed significant associations with vigorous </w:t>
      </w:r>
      <w:r w:rsidR="00CC1BBF">
        <w:rPr>
          <w:rFonts w:ascii="Times New Roman" w:hAnsi="Times New Roman" w:cs="Times New Roman"/>
          <w:sz w:val="24"/>
        </w:rPr>
        <w:t>PA</w:t>
      </w:r>
      <w:r w:rsidRPr="00826D7D">
        <w:rPr>
          <w:rFonts w:ascii="Times New Roman" w:hAnsi="Times New Roman" w:cs="Times New Roman"/>
          <w:sz w:val="24"/>
        </w:rPr>
        <w:t xml:space="preserve"> (β = –.20, p = .042), walking (β = –.26, p = .010), and sitting time (β = .23, p = .022). No significant associations were found with moderate </w:t>
      </w:r>
      <w:r w:rsidR="00CC1BBF">
        <w:rPr>
          <w:rFonts w:ascii="Times New Roman" w:hAnsi="Times New Roman" w:cs="Times New Roman"/>
          <w:sz w:val="24"/>
        </w:rPr>
        <w:t>PA</w:t>
      </w:r>
      <w:r w:rsidRPr="00826D7D">
        <w:rPr>
          <w:rFonts w:ascii="Times New Roman" w:hAnsi="Times New Roman" w:cs="Times New Roman"/>
          <w:sz w:val="24"/>
        </w:rPr>
        <w:t xml:space="preserve"> or moderate-to-vigorous </w:t>
      </w:r>
      <w:r w:rsidR="00CC1BBF">
        <w:rPr>
          <w:rFonts w:ascii="Times New Roman" w:hAnsi="Times New Roman" w:cs="Times New Roman"/>
          <w:sz w:val="24"/>
        </w:rPr>
        <w:t>PA</w:t>
      </w:r>
      <w:r w:rsidRPr="00826D7D">
        <w:rPr>
          <w:rFonts w:ascii="Times New Roman" w:hAnsi="Times New Roman" w:cs="Times New Roman"/>
          <w:sz w:val="24"/>
        </w:rPr>
        <w:t xml:space="preserve"> (MVPA).</w:t>
      </w:r>
    </w:p>
    <w:p w14:paraId="4FD837F6" w14:textId="3D76F2B4" w:rsidR="007360E5" w:rsidRDefault="00826D7D" w:rsidP="00826D7D">
      <w:pPr>
        <w:ind w:firstLine="840"/>
        <w:rPr>
          <w:rFonts w:ascii="Times New Roman" w:hAnsi="Times New Roman" w:cs="Times New Roman"/>
          <w:sz w:val="24"/>
        </w:rPr>
      </w:pPr>
      <w:r w:rsidRPr="00826D7D">
        <w:rPr>
          <w:rFonts w:ascii="Times New Roman" w:hAnsi="Times New Roman" w:cs="Times New Roman"/>
          <w:sz w:val="24"/>
        </w:rPr>
        <w:t xml:space="preserve">In </w:t>
      </w:r>
      <w:r>
        <w:rPr>
          <w:rFonts w:ascii="Times New Roman" w:hAnsi="Times New Roman" w:cs="Times New Roman"/>
          <w:sz w:val="24"/>
        </w:rPr>
        <w:t>Group</w:t>
      </w:r>
      <w:r>
        <w:rPr>
          <w:rFonts w:ascii="Times New Roman" w:hAnsi="Times New Roman" w:cs="Times New Roman" w:hint="eastAsia"/>
          <w:sz w:val="24"/>
        </w:rPr>
        <w:t xml:space="preserve"> 2,</w:t>
      </w:r>
      <w:r w:rsidRPr="00826D7D">
        <w:rPr>
          <w:rFonts w:ascii="Times New Roman" w:hAnsi="Times New Roman" w:cs="Times New Roman"/>
          <w:sz w:val="24"/>
        </w:rPr>
        <w:t xml:space="preserve"> the version without explanatory labels showed weaker concurrent validity. Item 5 was significantly associated only with sitting time (β = .20, p = .045), with no significant associations observed for MVPA, moderate </w:t>
      </w:r>
      <w:r w:rsidR="00CC1BBF">
        <w:rPr>
          <w:rFonts w:ascii="Times New Roman" w:hAnsi="Times New Roman" w:cs="Times New Roman"/>
          <w:sz w:val="24"/>
        </w:rPr>
        <w:t>PA</w:t>
      </w:r>
      <w:r w:rsidRPr="00826D7D">
        <w:rPr>
          <w:rFonts w:ascii="Times New Roman" w:hAnsi="Times New Roman" w:cs="Times New Roman"/>
          <w:sz w:val="24"/>
        </w:rPr>
        <w:t xml:space="preserve">, vigorous </w:t>
      </w:r>
      <w:r w:rsidR="00CC1BBF">
        <w:rPr>
          <w:rFonts w:ascii="Times New Roman" w:hAnsi="Times New Roman" w:cs="Times New Roman"/>
          <w:sz w:val="24"/>
        </w:rPr>
        <w:t>PA</w:t>
      </w:r>
      <w:r w:rsidRPr="00826D7D">
        <w:rPr>
          <w:rFonts w:ascii="Times New Roman" w:hAnsi="Times New Roman" w:cs="Times New Roman"/>
          <w:sz w:val="24"/>
        </w:rPr>
        <w:t>, or walking.</w:t>
      </w:r>
    </w:p>
    <w:p w14:paraId="26221446" w14:textId="77777777" w:rsidR="00FB5C27" w:rsidRPr="00FB5C27" w:rsidRDefault="00FB5C27" w:rsidP="007360E5">
      <w:pPr>
        <w:rPr>
          <w:rFonts w:ascii="Times New Roman" w:hAnsi="Times New Roman" w:cs="Times New Roman"/>
          <w:sz w:val="24"/>
        </w:rPr>
      </w:pPr>
    </w:p>
    <w:p w14:paraId="5CD9627C" w14:textId="2B773A2E" w:rsidR="00973205" w:rsidRPr="00961461" w:rsidRDefault="00973205" w:rsidP="007360E5">
      <w:pPr>
        <w:rPr>
          <w:rFonts w:ascii="Times New Roman" w:hAnsi="Times New Roman" w:cs="Times New Roman"/>
          <w:i/>
          <w:iCs/>
          <w:sz w:val="24"/>
        </w:rPr>
      </w:pPr>
      <w:r w:rsidRPr="00961461">
        <w:rPr>
          <w:rFonts w:ascii="Times New Roman" w:hAnsi="Times New Roman" w:cs="Times New Roman"/>
          <w:i/>
          <w:iCs/>
          <w:sz w:val="24"/>
        </w:rPr>
        <w:t xml:space="preserve">Convergent and </w:t>
      </w:r>
      <w:r w:rsidR="00961461">
        <w:rPr>
          <w:rFonts w:ascii="Times New Roman" w:hAnsi="Times New Roman" w:cs="Times New Roman" w:hint="eastAsia"/>
          <w:i/>
          <w:iCs/>
          <w:sz w:val="24"/>
        </w:rPr>
        <w:t>D</w:t>
      </w:r>
      <w:r w:rsidRPr="00961461">
        <w:rPr>
          <w:rFonts w:ascii="Times New Roman" w:hAnsi="Times New Roman" w:cs="Times New Roman"/>
          <w:i/>
          <w:iCs/>
          <w:sz w:val="24"/>
        </w:rPr>
        <w:t xml:space="preserve">iscriminant </w:t>
      </w:r>
      <w:r w:rsidR="00961461">
        <w:rPr>
          <w:rFonts w:ascii="Times New Roman" w:hAnsi="Times New Roman" w:cs="Times New Roman" w:hint="eastAsia"/>
          <w:i/>
          <w:iCs/>
          <w:sz w:val="24"/>
        </w:rPr>
        <w:t>V</w:t>
      </w:r>
      <w:r w:rsidRPr="00961461">
        <w:rPr>
          <w:rFonts w:ascii="Times New Roman" w:hAnsi="Times New Roman" w:cs="Times New Roman"/>
          <w:i/>
          <w:iCs/>
          <w:sz w:val="24"/>
        </w:rPr>
        <w:t>alidity</w:t>
      </w:r>
    </w:p>
    <w:p w14:paraId="0EEA204F" w14:textId="4697156E" w:rsidR="00B24099" w:rsidRDefault="00AC4F31" w:rsidP="00826D7D">
      <w:pPr>
        <w:ind w:firstLine="840"/>
        <w:rPr>
          <w:rFonts w:ascii="Times New Roman" w:hAnsi="Times New Roman" w:cs="Times New Roman"/>
          <w:sz w:val="24"/>
        </w:rPr>
      </w:pPr>
      <w:r>
        <w:rPr>
          <w:rFonts w:ascii="Times New Roman" w:hAnsi="Times New Roman" w:cs="Times New Roman"/>
          <w:sz w:val="24"/>
        </w:rPr>
        <w:t>Supplemental Figure 1</w:t>
      </w:r>
      <w:r w:rsidRPr="00651516">
        <w:rPr>
          <w:rFonts w:ascii="Times New Roman" w:hAnsi="Times New Roman" w:cs="Times New Roman"/>
          <w:sz w:val="24"/>
        </w:rPr>
        <w:t xml:space="preserve"> illustrates the correlations between </w:t>
      </w:r>
      <w:r w:rsidRPr="00E53ADE">
        <w:rPr>
          <w:rFonts w:ascii="Times New Roman" w:hAnsi="Times New Roman" w:cs="Times New Roman"/>
          <w:sz w:val="24"/>
        </w:rPr>
        <w:t>PES-JP Item 5</w:t>
      </w:r>
      <w:r>
        <w:rPr>
          <w:rFonts w:ascii="Times New Roman" w:hAnsi="Times New Roman" w:cs="Times New Roman" w:hint="eastAsia"/>
          <w:sz w:val="24"/>
        </w:rPr>
        <w:t xml:space="preserve"> score</w:t>
      </w:r>
      <w:r w:rsidRPr="00651516">
        <w:rPr>
          <w:rFonts w:ascii="Times New Roman" w:hAnsi="Times New Roman" w:cs="Times New Roman"/>
          <w:sz w:val="24"/>
        </w:rPr>
        <w:t xml:space="preserve"> and the variables used to assess convergent and discriminant validity.</w:t>
      </w:r>
      <w:r>
        <w:rPr>
          <w:rFonts w:ascii="Times New Roman" w:hAnsi="Times New Roman" w:cs="Times New Roman" w:hint="eastAsia"/>
          <w:sz w:val="24"/>
        </w:rPr>
        <w:t xml:space="preserve"> </w:t>
      </w:r>
      <w:r w:rsidR="00826D7D" w:rsidRPr="00826D7D">
        <w:rPr>
          <w:rFonts w:ascii="Times New Roman" w:hAnsi="Times New Roman" w:cs="Times New Roman"/>
          <w:sz w:val="24"/>
        </w:rPr>
        <w:t xml:space="preserve">To assess convergent and discriminant validity, PES-JP Item 5 </w:t>
      </w:r>
      <w:r w:rsidR="00826D7D">
        <w:rPr>
          <w:rFonts w:ascii="Times New Roman" w:hAnsi="Times New Roman" w:cs="Times New Roman" w:hint="eastAsia"/>
          <w:sz w:val="24"/>
        </w:rPr>
        <w:t>was</w:t>
      </w:r>
      <w:r w:rsidR="00826D7D" w:rsidRPr="00826D7D">
        <w:rPr>
          <w:rFonts w:ascii="Times New Roman" w:hAnsi="Times New Roman" w:cs="Times New Roman"/>
          <w:sz w:val="24"/>
        </w:rPr>
        <w:t xml:space="preserve"> examined in relation to theoretically relevant constructs for both Group 1 (with explanatory labels) and Group 2 (without explanatory labels): autonomous motivation, affective </w:t>
      </w:r>
      <w:r w:rsidR="00826D7D" w:rsidRPr="00826D7D">
        <w:rPr>
          <w:rFonts w:ascii="Times New Roman" w:hAnsi="Times New Roman" w:cs="Times New Roman"/>
          <w:sz w:val="24"/>
        </w:rPr>
        <w:lastRenderedPageBreak/>
        <w:t xml:space="preserve">attitudes, and intentions (convergent validity); and controlled motivation and instrumental attitudes </w:t>
      </w:r>
      <w:r w:rsidR="00010411">
        <w:rPr>
          <w:rFonts w:ascii="Times New Roman" w:hAnsi="Times New Roman" w:cs="Times New Roman"/>
          <w:noProof/>
          <w:sz w:val="24"/>
        </w:rPr>
        <w:drawing>
          <wp:anchor distT="0" distB="0" distL="114300" distR="114300" simplePos="0" relativeHeight="251660288" behindDoc="0" locked="0" layoutInCell="1" allowOverlap="1" wp14:anchorId="154074F0" wp14:editId="7AD97D91">
            <wp:simplePos x="0" y="0"/>
            <wp:positionH relativeFrom="column">
              <wp:posOffset>-116840</wp:posOffset>
            </wp:positionH>
            <wp:positionV relativeFrom="paragraph">
              <wp:posOffset>587375</wp:posOffset>
            </wp:positionV>
            <wp:extent cx="6309995" cy="3442970"/>
            <wp:effectExtent l="0" t="0" r="1905" b="0"/>
            <wp:wrapTopAndBottom/>
            <wp:docPr id="1363698478" name="図 1" descr="グラフ, バブル チャー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98478" name="図 1" descr="グラフ, バブル チャート&#10;&#10;AI 生成コンテンツは誤りを含む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09995" cy="3442970"/>
                    </a:xfrm>
                    <a:prstGeom prst="rect">
                      <a:avLst/>
                    </a:prstGeom>
                  </pic:spPr>
                </pic:pic>
              </a:graphicData>
            </a:graphic>
            <wp14:sizeRelH relativeFrom="page">
              <wp14:pctWidth>0</wp14:pctWidth>
            </wp14:sizeRelH>
            <wp14:sizeRelV relativeFrom="page">
              <wp14:pctHeight>0</wp14:pctHeight>
            </wp14:sizeRelV>
          </wp:anchor>
        </w:drawing>
      </w:r>
      <w:r w:rsidR="00826D7D" w:rsidRPr="00826D7D">
        <w:rPr>
          <w:rFonts w:ascii="Times New Roman" w:hAnsi="Times New Roman" w:cs="Times New Roman"/>
          <w:sz w:val="24"/>
        </w:rPr>
        <w:t>(discriminant validity).</w:t>
      </w:r>
    </w:p>
    <w:p w14:paraId="50E1C985" w14:textId="07CC604D" w:rsidR="00010411" w:rsidRDefault="00010411" w:rsidP="00826D7D">
      <w:pPr>
        <w:ind w:firstLine="840"/>
        <w:rPr>
          <w:rFonts w:ascii="Times New Roman" w:hAnsi="Times New Roman" w:cs="Times New Roman"/>
          <w:sz w:val="24"/>
        </w:rPr>
      </w:pPr>
    </w:p>
    <w:p w14:paraId="74916B86" w14:textId="508CEB25" w:rsidR="00010411" w:rsidRDefault="00010411" w:rsidP="00010411">
      <w:pPr>
        <w:rPr>
          <w:rFonts w:ascii="Times New Roman" w:hAnsi="Times New Roman" w:cs="Times New Roman"/>
          <w:b/>
          <w:bCs/>
          <w:sz w:val="24"/>
        </w:rPr>
      </w:pPr>
      <w:r w:rsidRPr="00765737">
        <w:rPr>
          <w:rFonts w:ascii="Times New Roman" w:hAnsi="Times New Roman" w:cs="Times New Roman"/>
          <w:b/>
          <w:bCs/>
          <w:sz w:val="24"/>
        </w:rPr>
        <w:t>Supplemental Figure 1. Correlation PES-JP Item 5 and related psychological variables.</w:t>
      </w:r>
    </w:p>
    <w:p w14:paraId="09D6FB30" w14:textId="7729F573" w:rsidR="00010411" w:rsidRPr="00765737" w:rsidRDefault="00010411" w:rsidP="00010411">
      <w:pPr>
        <w:rPr>
          <w:rFonts w:ascii="Times New Roman" w:hAnsi="Times New Roman" w:cs="Times New Roman"/>
          <w:sz w:val="24"/>
        </w:rPr>
      </w:pPr>
      <w:r w:rsidRPr="00765737">
        <w:rPr>
          <w:rFonts w:ascii="Times New Roman" w:hAnsi="Times New Roman" w:cs="Times New Roman"/>
          <w:i/>
          <w:iCs/>
          <w:sz w:val="24"/>
        </w:rPr>
        <w:t>Notes</w:t>
      </w:r>
      <w:r w:rsidRPr="00765737">
        <w:rPr>
          <w:rFonts w:ascii="Times New Roman" w:hAnsi="Times New Roman" w:cs="Times New Roman"/>
          <w:sz w:val="24"/>
        </w:rPr>
        <w:t>. Correlation coefficients are represented as colored circles. Larger and bluer circles indicate stronger positive correlations (closer to +1), redder and larger circles indicate stronger negative correlations (closer to –1), and smaller, whiter circles indicate weak or no correlation (closer to 0). (a) Group 1: Participants who completed the version with explanatory labels added to the scale points of Item 5. (b) Group 2: Participants who completed the version without explanatory labels.</w:t>
      </w:r>
    </w:p>
    <w:p w14:paraId="3174CB09" w14:textId="284BA400" w:rsidR="00010411" w:rsidRDefault="00010411" w:rsidP="00010411">
      <w:pPr>
        <w:rPr>
          <w:rFonts w:ascii="Times New Roman" w:hAnsi="Times New Roman" w:cs="Times New Roman"/>
          <w:sz w:val="24"/>
        </w:rPr>
      </w:pPr>
    </w:p>
    <w:p w14:paraId="48D04B9B" w14:textId="3FD0B722" w:rsidR="00B24099" w:rsidRDefault="00826D7D" w:rsidP="00826D7D">
      <w:pPr>
        <w:ind w:firstLine="840"/>
        <w:rPr>
          <w:rFonts w:ascii="Times New Roman" w:hAnsi="Times New Roman" w:cs="Times New Roman"/>
          <w:sz w:val="24"/>
        </w:rPr>
      </w:pPr>
      <w:r>
        <w:rPr>
          <w:rFonts w:ascii="Times New Roman" w:hAnsi="Times New Roman" w:cs="Times New Roman" w:hint="eastAsia"/>
          <w:sz w:val="24"/>
        </w:rPr>
        <w:t>In Group1, c</w:t>
      </w:r>
      <w:r w:rsidR="00B24099" w:rsidRPr="00B24099">
        <w:rPr>
          <w:rFonts w:ascii="Times New Roman" w:hAnsi="Times New Roman" w:cs="Times New Roman"/>
          <w:sz w:val="24"/>
        </w:rPr>
        <w:t xml:space="preserve">onvergent validity was supported by statistically significant associations in the expected directions. </w:t>
      </w:r>
      <w:r w:rsidRPr="00826D7D">
        <w:rPr>
          <w:rFonts w:ascii="Times New Roman" w:hAnsi="Times New Roman" w:cs="Times New Roman"/>
          <w:sz w:val="24"/>
        </w:rPr>
        <w:t>Item 5 showed significant negative associations</w:t>
      </w:r>
      <w:r w:rsidR="00B24099" w:rsidRPr="00B24099">
        <w:rPr>
          <w:rFonts w:ascii="Times New Roman" w:hAnsi="Times New Roman" w:cs="Times New Roman"/>
          <w:sz w:val="24"/>
        </w:rPr>
        <w:t xml:space="preserve"> with autonomous motivation (β = -.43, p &lt;</w:t>
      </w:r>
      <w:r w:rsidR="00B24099">
        <w:rPr>
          <w:rFonts w:ascii="Times New Roman" w:hAnsi="Times New Roman" w:cs="Times New Roman"/>
          <w:sz w:val="24"/>
        </w:rPr>
        <w:t xml:space="preserve"> </w:t>
      </w:r>
      <w:r w:rsidR="00B24099" w:rsidRPr="00B24099">
        <w:rPr>
          <w:rFonts w:ascii="Times New Roman" w:hAnsi="Times New Roman" w:cs="Times New Roman"/>
          <w:sz w:val="24"/>
        </w:rPr>
        <w:t xml:space="preserve">0.001), affective attitudes (β = </w:t>
      </w:r>
      <w:r w:rsidR="00B24099" w:rsidRPr="00B24099">
        <w:rPr>
          <w:rFonts w:ascii="Times New Roman" w:hAnsi="Times New Roman" w:cs="Times New Roman"/>
        </w:rPr>
        <w:t>-.21</w:t>
      </w:r>
      <w:r w:rsidR="00B24099" w:rsidRPr="00B24099">
        <w:rPr>
          <w:rFonts w:ascii="Times New Roman" w:hAnsi="Times New Roman" w:cs="Times New Roman"/>
          <w:sz w:val="24"/>
        </w:rPr>
        <w:t>, p = .038), and intentions (β = -.33, p = .001)</w:t>
      </w:r>
      <w:r w:rsidR="00B24099">
        <w:rPr>
          <w:rFonts w:ascii="Times New Roman" w:hAnsi="Times New Roman" w:cs="Times New Roman"/>
          <w:sz w:val="24"/>
        </w:rPr>
        <w:t>, and a</w:t>
      </w:r>
      <w:r w:rsidR="00B24099" w:rsidRPr="00B24099">
        <w:rPr>
          <w:rFonts w:ascii="Times New Roman" w:hAnsi="Times New Roman" w:cs="Times New Roman"/>
          <w:sz w:val="24"/>
        </w:rPr>
        <w:t>utomaticity (β = -.</w:t>
      </w:r>
      <w:r w:rsidR="00B24099">
        <w:rPr>
          <w:rFonts w:ascii="Times New Roman" w:hAnsi="Times New Roman" w:cs="Times New Roman"/>
          <w:sz w:val="24"/>
        </w:rPr>
        <w:t>28</w:t>
      </w:r>
      <w:r w:rsidR="00B24099" w:rsidRPr="00B24099">
        <w:rPr>
          <w:rFonts w:ascii="Times New Roman" w:hAnsi="Times New Roman" w:cs="Times New Roman"/>
          <w:sz w:val="24"/>
        </w:rPr>
        <w:t>, p = .00</w:t>
      </w:r>
      <w:r w:rsidR="00B24099">
        <w:rPr>
          <w:rFonts w:ascii="Times New Roman" w:hAnsi="Times New Roman" w:cs="Times New Roman"/>
          <w:sz w:val="24"/>
        </w:rPr>
        <w:t>5</w:t>
      </w:r>
      <w:r w:rsidR="00B24099" w:rsidRPr="00B24099">
        <w:rPr>
          <w:rFonts w:ascii="Times New Roman" w:hAnsi="Times New Roman" w:cs="Times New Roman"/>
          <w:sz w:val="24"/>
        </w:rPr>
        <w:t xml:space="preserve">). For discriminant validity, </w:t>
      </w:r>
      <w:r w:rsidRPr="00826D7D">
        <w:rPr>
          <w:rFonts w:ascii="Times New Roman" w:hAnsi="Times New Roman" w:cs="Times New Roman"/>
          <w:sz w:val="24"/>
        </w:rPr>
        <w:t>no significant associations were observed with controlled motivation or instrumental attitudes.</w:t>
      </w:r>
    </w:p>
    <w:p w14:paraId="4EEA5989" w14:textId="64A53A69" w:rsidR="00B24099" w:rsidRDefault="00826D7D" w:rsidP="00AC4F31">
      <w:pPr>
        <w:ind w:firstLine="840"/>
        <w:rPr>
          <w:rFonts w:ascii="Times New Roman" w:hAnsi="Times New Roman" w:cs="Times New Roman"/>
          <w:sz w:val="24"/>
        </w:rPr>
      </w:pPr>
      <w:r>
        <w:rPr>
          <w:rFonts w:ascii="Times New Roman" w:hAnsi="Times New Roman" w:cs="Times New Roman" w:hint="eastAsia"/>
          <w:sz w:val="24"/>
        </w:rPr>
        <w:t xml:space="preserve">In Group 2, </w:t>
      </w:r>
      <w:r w:rsidRPr="00826D7D">
        <w:rPr>
          <w:rFonts w:ascii="Times New Roman" w:hAnsi="Times New Roman" w:cs="Times New Roman"/>
          <w:sz w:val="24"/>
        </w:rPr>
        <w:t>convergent validity was partially supported. Item 5</w:t>
      </w:r>
      <w:r w:rsidR="00B24099" w:rsidRPr="00B24099">
        <w:rPr>
          <w:rFonts w:ascii="Times New Roman" w:hAnsi="Times New Roman" w:cs="Times New Roman"/>
          <w:sz w:val="24"/>
        </w:rPr>
        <w:t xml:space="preserve"> showed significant negative associations with autonomous motivation (β = -.</w:t>
      </w:r>
      <w:r w:rsidR="00B24099">
        <w:rPr>
          <w:rFonts w:ascii="Times New Roman" w:hAnsi="Times New Roman" w:cs="Times New Roman"/>
          <w:sz w:val="24"/>
        </w:rPr>
        <w:t>28</w:t>
      </w:r>
      <w:r w:rsidR="00B24099" w:rsidRPr="00B24099">
        <w:rPr>
          <w:rFonts w:ascii="Times New Roman" w:hAnsi="Times New Roman" w:cs="Times New Roman"/>
          <w:sz w:val="24"/>
        </w:rPr>
        <w:t xml:space="preserve">, p </w:t>
      </w:r>
      <w:r w:rsidR="00B24099">
        <w:rPr>
          <w:rFonts w:ascii="Times New Roman" w:hAnsi="Times New Roman" w:cs="Times New Roman"/>
          <w:sz w:val="24"/>
        </w:rPr>
        <w:t>=</w:t>
      </w:r>
      <w:r w:rsidR="00B24099" w:rsidRPr="00B24099">
        <w:rPr>
          <w:rFonts w:ascii="Times New Roman" w:hAnsi="Times New Roman" w:cs="Times New Roman"/>
          <w:sz w:val="24"/>
        </w:rPr>
        <w:t xml:space="preserve"> .00</w:t>
      </w:r>
      <w:r w:rsidR="00B24099">
        <w:rPr>
          <w:rFonts w:ascii="Times New Roman" w:hAnsi="Times New Roman" w:cs="Times New Roman"/>
          <w:sz w:val="24"/>
        </w:rPr>
        <w:t>5</w:t>
      </w:r>
      <w:r w:rsidR="00B24099" w:rsidRPr="00B24099">
        <w:rPr>
          <w:rFonts w:ascii="Times New Roman" w:hAnsi="Times New Roman" w:cs="Times New Roman"/>
          <w:sz w:val="24"/>
        </w:rPr>
        <w:t>)</w:t>
      </w:r>
      <w:r w:rsidR="00B24099">
        <w:rPr>
          <w:rFonts w:ascii="Times New Roman" w:hAnsi="Times New Roman" w:cs="Times New Roman"/>
          <w:sz w:val="24"/>
        </w:rPr>
        <w:t xml:space="preserve"> and</w:t>
      </w:r>
      <w:r w:rsidR="00B24099" w:rsidRPr="00B24099">
        <w:rPr>
          <w:rFonts w:ascii="Times New Roman" w:hAnsi="Times New Roman" w:cs="Times New Roman"/>
          <w:sz w:val="24"/>
        </w:rPr>
        <w:t xml:space="preserve"> affective attitudes (β = -.2</w:t>
      </w:r>
      <w:r w:rsidR="00B24099">
        <w:rPr>
          <w:rFonts w:ascii="Times New Roman" w:hAnsi="Times New Roman" w:cs="Times New Roman"/>
          <w:sz w:val="24"/>
        </w:rPr>
        <w:t>0</w:t>
      </w:r>
      <w:r w:rsidR="00B24099" w:rsidRPr="00B24099">
        <w:rPr>
          <w:rFonts w:ascii="Times New Roman" w:hAnsi="Times New Roman" w:cs="Times New Roman"/>
          <w:sz w:val="24"/>
        </w:rPr>
        <w:t>, p = .0</w:t>
      </w:r>
      <w:r w:rsidR="00B24099">
        <w:rPr>
          <w:rFonts w:ascii="Times New Roman" w:hAnsi="Times New Roman" w:cs="Times New Roman"/>
          <w:sz w:val="24"/>
        </w:rPr>
        <w:t>45</w:t>
      </w:r>
      <w:r w:rsidR="00B24099" w:rsidRPr="00B24099">
        <w:rPr>
          <w:rFonts w:ascii="Times New Roman" w:hAnsi="Times New Roman" w:cs="Times New Roman"/>
          <w:sz w:val="24"/>
        </w:rPr>
        <w:t xml:space="preserve">), </w:t>
      </w:r>
      <w:r w:rsidR="00B24099">
        <w:rPr>
          <w:rFonts w:ascii="Times New Roman" w:hAnsi="Times New Roman" w:cs="Times New Roman"/>
          <w:sz w:val="24"/>
        </w:rPr>
        <w:t>whereas no significant associations were observed for</w:t>
      </w:r>
      <w:r w:rsidR="00B24099" w:rsidRPr="00B24099">
        <w:rPr>
          <w:rFonts w:ascii="Times New Roman" w:hAnsi="Times New Roman" w:cs="Times New Roman"/>
          <w:sz w:val="24"/>
        </w:rPr>
        <w:t xml:space="preserve"> intentions and automaticity. </w:t>
      </w:r>
      <w:r w:rsidR="00AC4F31" w:rsidRPr="00AC4F31">
        <w:rPr>
          <w:rFonts w:ascii="Times New Roman" w:hAnsi="Times New Roman" w:cs="Times New Roman"/>
          <w:sz w:val="24"/>
        </w:rPr>
        <w:t xml:space="preserve">As </w:t>
      </w:r>
      <w:r w:rsidR="00AC4F31">
        <w:rPr>
          <w:rFonts w:ascii="Times New Roman" w:hAnsi="Times New Roman" w:cs="Times New Roman" w:hint="eastAsia"/>
          <w:sz w:val="24"/>
        </w:rPr>
        <w:t>in</w:t>
      </w:r>
      <w:r w:rsidR="00AC4F31" w:rsidRPr="00AC4F31">
        <w:rPr>
          <w:rFonts w:ascii="Times New Roman" w:hAnsi="Times New Roman" w:cs="Times New Roman"/>
          <w:sz w:val="24"/>
        </w:rPr>
        <w:t xml:space="preserve"> Group 1, no significant associations were found with controlled motivation or instrumental attitudes</w:t>
      </w:r>
      <w:r w:rsidR="00AC4F31">
        <w:rPr>
          <w:rFonts w:ascii="Times New Roman" w:hAnsi="Times New Roman" w:cs="Times New Roman" w:hint="eastAsia"/>
          <w:sz w:val="24"/>
        </w:rPr>
        <w:t>.</w:t>
      </w:r>
    </w:p>
    <w:p w14:paraId="5A8C193E" w14:textId="77777777" w:rsidR="00CF23CF" w:rsidRDefault="00CF23CF" w:rsidP="00AC4F31">
      <w:pPr>
        <w:ind w:firstLine="840"/>
        <w:rPr>
          <w:rFonts w:ascii="Times New Roman" w:hAnsi="Times New Roman" w:cs="Times New Roman"/>
          <w:sz w:val="24"/>
        </w:rPr>
      </w:pPr>
    </w:p>
    <w:p w14:paraId="6A54068C" w14:textId="64C0B195" w:rsidR="00CF23CF" w:rsidRDefault="00CF23CF" w:rsidP="00AC4F31">
      <w:pPr>
        <w:ind w:firstLine="840"/>
        <w:rPr>
          <w:rFonts w:ascii="Times New Roman" w:hAnsi="Times New Roman" w:cs="Times New Roman"/>
          <w:sz w:val="24"/>
        </w:rPr>
      </w:pPr>
      <w:r w:rsidRPr="00CF23CF">
        <w:rPr>
          <w:rFonts w:ascii="Times New Roman" w:hAnsi="Times New Roman" w:cs="Times New Roman"/>
          <w:sz w:val="24"/>
        </w:rPr>
        <w:t>These results collectively support the use of explanatory labels on PES-JP Item 5 to enhance construct validity.</w:t>
      </w:r>
    </w:p>
    <w:p w14:paraId="4CA421BB" w14:textId="77777777" w:rsidR="00B24099" w:rsidRDefault="00B24099" w:rsidP="00B24099"/>
    <w:p w14:paraId="0DA3B5D3" w14:textId="59DB31AA" w:rsidR="00B005DC" w:rsidRPr="00B005DC" w:rsidRDefault="00B005DC" w:rsidP="00B24099">
      <w:pPr>
        <w:rPr>
          <w:rFonts w:ascii="Times New Roman" w:hAnsi="Times New Roman" w:cs="Times New Roman"/>
          <w:b/>
          <w:bCs/>
          <w:sz w:val="24"/>
        </w:rPr>
      </w:pPr>
      <w:r w:rsidRPr="00B005DC">
        <w:rPr>
          <w:rFonts w:ascii="Times New Roman" w:hAnsi="Times New Roman" w:cs="Times New Roman"/>
          <w:b/>
          <w:bCs/>
          <w:sz w:val="24"/>
        </w:rPr>
        <w:lastRenderedPageBreak/>
        <w:t>Distribution of Physical Activity</w:t>
      </w:r>
    </w:p>
    <w:p w14:paraId="2D3976E0" w14:textId="25C65A64" w:rsidR="00B005DC" w:rsidRDefault="00961461" w:rsidP="00961461">
      <w:pPr>
        <w:ind w:firstLine="840"/>
        <w:rPr>
          <w:rFonts w:ascii="Times New Roman" w:hAnsi="Times New Roman" w:cs="Times New Roman"/>
          <w:sz w:val="24"/>
        </w:rPr>
      </w:pPr>
      <w:r w:rsidRPr="00961461">
        <w:rPr>
          <w:rFonts w:ascii="Times New Roman" w:hAnsi="Times New Roman" w:cs="Times New Roman"/>
          <w:sz w:val="24"/>
        </w:rPr>
        <w:t xml:space="preserve">A substantial proportion of participants reported no engagement in </w:t>
      </w:r>
      <w:r w:rsidR="00CC1BBF">
        <w:rPr>
          <w:rFonts w:ascii="Times New Roman" w:hAnsi="Times New Roman" w:cs="Times New Roman"/>
          <w:sz w:val="24"/>
        </w:rPr>
        <w:t>PA</w:t>
      </w:r>
      <w:r w:rsidR="00B43BDB">
        <w:rPr>
          <w:rFonts w:ascii="Times New Roman" w:hAnsi="Times New Roman" w:cs="Times New Roman"/>
          <w:sz w:val="24"/>
        </w:rPr>
        <w:t xml:space="preserve"> (Supplemental Figure 2)</w:t>
      </w:r>
      <w:r w:rsidR="00B005DC" w:rsidRPr="00B005DC">
        <w:rPr>
          <w:rFonts w:ascii="Times New Roman" w:hAnsi="Times New Roman" w:cs="Times New Roman"/>
          <w:sz w:val="24"/>
        </w:rPr>
        <w:t xml:space="preserve">. </w:t>
      </w:r>
      <w:r w:rsidRPr="00961461">
        <w:rPr>
          <w:rFonts w:ascii="Times New Roman" w:hAnsi="Times New Roman" w:cs="Times New Roman"/>
          <w:sz w:val="24"/>
        </w:rPr>
        <w:t xml:space="preserve">Specifically, among the 200 participants, 119 (59.5%) reported no MVPA, 142 (71.0%) reported no vigorous </w:t>
      </w:r>
      <w:r w:rsidR="00CC1BBF">
        <w:rPr>
          <w:rFonts w:ascii="Times New Roman" w:hAnsi="Times New Roman" w:cs="Times New Roman"/>
          <w:sz w:val="24"/>
        </w:rPr>
        <w:t>PA</w:t>
      </w:r>
      <w:r w:rsidRPr="00961461">
        <w:rPr>
          <w:rFonts w:ascii="Times New Roman" w:hAnsi="Times New Roman" w:cs="Times New Roman"/>
          <w:sz w:val="24"/>
        </w:rPr>
        <w:t xml:space="preserve">, and 140 (70.0%) reported no moderate </w:t>
      </w:r>
      <w:r w:rsidR="00CC1BBF">
        <w:rPr>
          <w:rFonts w:ascii="Times New Roman" w:hAnsi="Times New Roman" w:cs="Times New Roman"/>
          <w:sz w:val="24"/>
        </w:rPr>
        <w:t>PA</w:t>
      </w:r>
      <w:r w:rsidRPr="00961461">
        <w:rPr>
          <w:rFonts w:ascii="Times New Roman" w:hAnsi="Times New Roman" w:cs="Times New Roman"/>
          <w:sz w:val="24"/>
        </w:rPr>
        <w:t>. These findings underscore the high prevalence of physical inactivity in this preliminary validation study.</w:t>
      </w:r>
    </w:p>
    <w:p w14:paraId="69033A2C" w14:textId="458663E7" w:rsidR="00010411" w:rsidRDefault="00BE5F23" w:rsidP="00010411">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1312" behindDoc="0" locked="0" layoutInCell="1" allowOverlap="1" wp14:anchorId="2551955A" wp14:editId="4FB369E3">
            <wp:simplePos x="0" y="0"/>
            <wp:positionH relativeFrom="margin">
              <wp:align>center</wp:align>
            </wp:positionH>
            <wp:positionV relativeFrom="paragraph">
              <wp:posOffset>364230</wp:posOffset>
            </wp:positionV>
            <wp:extent cx="6188710" cy="4779010"/>
            <wp:effectExtent l="0" t="0" r="0" b="0"/>
            <wp:wrapTopAndBottom/>
            <wp:docPr id="99311710" name="図 3"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1710" name="図 3" descr="ダイアグラム&#10;&#10;AI 生成コンテンツは誤りを含む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6188710" cy="4779010"/>
                    </a:xfrm>
                    <a:prstGeom prst="rect">
                      <a:avLst/>
                    </a:prstGeom>
                  </pic:spPr>
                </pic:pic>
              </a:graphicData>
            </a:graphic>
            <wp14:sizeRelH relativeFrom="page">
              <wp14:pctWidth>0</wp14:pctWidth>
            </wp14:sizeRelH>
            <wp14:sizeRelV relativeFrom="page">
              <wp14:pctHeight>0</wp14:pctHeight>
            </wp14:sizeRelV>
          </wp:anchor>
        </w:drawing>
      </w:r>
    </w:p>
    <w:p w14:paraId="6791A4EF" w14:textId="30F2028E" w:rsidR="00765737" w:rsidRPr="00010411" w:rsidRDefault="00010411" w:rsidP="00765737">
      <w:pPr>
        <w:rPr>
          <w:rFonts w:ascii="Times New Roman" w:hAnsi="Times New Roman" w:cs="Times New Roman"/>
          <w:b/>
          <w:bCs/>
          <w:sz w:val="24"/>
        </w:rPr>
      </w:pPr>
      <w:r w:rsidRPr="00765737">
        <w:rPr>
          <w:rFonts w:ascii="Times New Roman" w:hAnsi="Times New Roman" w:cs="Times New Roman"/>
          <w:b/>
          <w:bCs/>
          <w:sz w:val="24"/>
        </w:rPr>
        <w:t xml:space="preserve">Supplemental Figure </w:t>
      </w:r>
      <w:r>
        <w:rPr>
          <w:rFonts w:ascii="Times New Roman" w:hAnsi="Times New Roman" w:cs="Times New Roman"/>
          <w:b/>
          <w:bCs/>
          <w:sz w:val="24"/>
        </w:rPr>
        <w:t>2</w:t>
      </w:r>
      <w:r w:rsidRPr="00765737">
        <w:rPr>
          <w:rFonts w:ascii="Times New Roman" w:hAnsi="Times New Roman" w:cs="Times New Roman"/>
          <w:b/>
          <w:bCs/>
          <w:sz w:val="24"/>
        </w:rPr>
        <w:t>.</w:t>
      </w:r>
      <w:r>
        <w:rPr>
          <w:rFonts w:ascii="Times New Roman" w:hAnsi="Times New Roman" w:cs="Times New Roman"/>
          <w:b/>
          <w:bCs/>
          <w:sz w:val="24"/>
        </w:rPr>
        <w:t xml:space="preserve"> </w:t>
      </w:r>
      <w:r w:rsidRPr="00765737">
        <w:rPr>
          <w:rFonts w:ascii="Times New Roman" w:hAnsi="Times New Roman" w:cs="Times New Roman"/>
          <w:b/>
          <w:bCs/>
          <w:sz w:val="24"/>
        </w:rPr>
        <w:t>Physical Activity Distribution in the Preliminary Validation Stud</w:t>
      </w:r>
      <w:r w:rsidR="00BE5F23">
        <w:rPr>
          <w:rFonts w:ascii="Times New Roman" w:hAnsi="Times New Roman" w:cs="Times New Roman"/>
          <w:b/>
          <w:bCs/>
          <w:sz w:val="24"/>
        </w:rPr>
        <w:t>y</w:t>
      </w:r>
    </w:p>
    <w:sectPr w:rsidR="00765737" w:rsidRPr="00010411" w:rsidSect="0001041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05"/>
    <w:rsid w:val="00003520"/>
    <w:rsid w:val="00010411"/>
    <w:rsid w:val="002B1207"/>
    <w:rsid w:val="00365C19"/>
    <w:rsid w:val="005625C1"/>
    <w:rsid w:val="007360E5"/>
    <w:rsid w:val="00765737"/>
    <w:rsid w:val="00826D7D"/>
    <w:rsid w:val="00961461"/>
    <w:rsid w:val="00973205"/>
    <w:rsid w:val="00A30183"/>
    <w:rsid w:val="00AC4F31"/>
    <w:rsid w:val="00B005DC"/>
    <w:rsid w:val="00B24099"/>
    <w:rsid w:val="00B43BDB"/>
    <w:rsid w:val="00BE5F23"/>
    <w:rsid w:val="00C54920"/>
    <w:rsid w:val="00CC1BBF"/>
    <w:rsid w:val="00CF23CF"/>
    <w:rsid w:val="00D378E1"/>
    <w:rsid w:val="00E53ADE"/>
    <w:rsid w:val="00FB5C27"/>
    <w:rsid w:val="00FC5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837FC"/>
  <w15:chartTrackingRefBased/>
  <w15:docId w15:val="{2FECCCBE-3A32-3746-8D02-10730411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205"/>
    <w:pPr>
      <w:widowControl w:val="0"/>
      <w:jc w:val="both"/>
    </w:pPr>
  </w:style>
  <w:style w:type="paragraph" w:styleId="1">
    <w:name w:val="heading 1"/>
    <w:basedOn w:val="a"/>
    <w:next w:val="a"/>
    <w:link w:val="10"/>
    <w:uiPriority w:val="9"/>
    <w:qFormat/>
    <w:rsid w:val="009732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2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2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732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2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2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2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2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2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2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2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2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32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2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2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2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2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2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2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2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205"/>
    <w:pPr>
      <w:spacing w:before="160" w:after="160"/>
      <w:jc w:val="center"/>
    </w:pPr>
    <w:rPr>
      <w:i/>
      <w:iCs/>
      <w:color w:val="404040" w:themeColor="text1" w:themeTint="BF"/>
    </w:rPr>
  </w:style>
  <w:style w:type="character" w:customStyle="1" w:styleId="a8">
    <w:name w:val="引用文 (文字)"/>
    <w:basedOn w:val="a0"/>
    <w:link w:val="a7"/>
    <w:uiPriority w:val="29"/>
    <w:rsid w:val="00973205"/>
    <w:rPr>
      <w:i/>
      <w:iCs/>
      <w:color w:val="404040" w:themeColor="text1" w:themeTint="BF"/>
    </w:rPr>
  </w:style>
  <w:style w:type="paragraph" w:styleId="a9">
    <w:name w:val="List Paragraph"/>
    <w:basedOn w:val="a"/>
    <w:uiPriority w:val="34"/>
    <w:qFormat/>
    <w:rsid w:val="00973205"/>
    <w:pPr>
      <w:ind w:left="720"/>
      <w:contextualSpacing/>
    </w:pPr>
  </w:style>
  <w:style w:type="character" w:styleId="21">
    <w:name w:val="Intense Emphasis"/>
    <w:basedOn w:val="a0"/>
    <w:uiPriority w:val="21"/>
    <w:qFormat/>
    <w:rsid w:val="00973205"/>
    <w:rPr>
      <w:i/>
      <w:iCs/>
      <w:color w:val="0F4761" w:themeColor="accent1" w:themeShade="BF"/>
    </w:rPr>
  </w:style>
  <w:style w:type="paragraph" w:styleId="22">
    <w:name w:val="Intense Quote"/>
    <w:basedOn w:val="a"/>
    <w:next w:val="a"/>
    <w:link w:val="23"/>
    <w:uiPriority w:val="30"/>
    <w:qFormat/>
    <w:rsid w:val="00973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3205"/>
    <w:rPr>
      <w:i/>
      <w:iCs/>
      <w:color w:val="0F4761" w:themeColor="accent1" w:themeShade="BF"/>
    </w:rPr>
  </w:style>
  <w:style w:type="character" w:styleId="24">
    <w:name w:val="Intense Reference"/>
    <w:basedOn w:val="a0"/>
    <w:uiPriority w:val="32"/>
    <w:qFormat/>
    <w:rsid w:val="00973205"/>
    <w:rPr>
      <w:b/>
      <w:bCs/>
      <w:smallCaps/>
      <w:color w:val="0F4761" w:themeColor="accent1" w:themeShade="BF"/>
      <w:spacing w:val="5"/>
    </w:rPr>
  </w:style>
  <w:style w:type="paragraph" w:styleId="Web">
    <w:name w:val="Normal (Web)"/>
    <w:basedOn w:val="a"/>
    <w:uiPriority w:val="99"/>
    <w:semiHidden/>
    <w:unhideWhenUsed/>
    <w:rsid w:val="00B24099"/>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styleId="aa">
    <w:name w:val="annotation reference"/>
    <w:basedOn w:val="a0"/>
    <w:uiPriority w:val="99"/>
    <w:semiHidden/>
    <w:unhideWhenUsed/>
    <w:rsid w:val="00365C19"/>
    <w:rPr>
      <w:sz w:val="18"/>
      <w:szCs w:val="18"/>
    </w:rPr>
  </w:style>
  <w:style w:type="paragraph" w:styleId="ab">
    <w:name w:val="annotation text"/>
    <w:basedOn w:val="a"/>
    <w:link w:val="ac"/>
    <w:uiPriority w:val="99"/>
    <w:unhideWhenUsed/>
    <w:rsid w:val="00365C19"/>
    <w:pPr>
      <w:jc w:val="left"/>
    </w:pPr>
  </w:style>
  <w:style w:type="character" w:customStyle="1" w:styleId="ac">
    <w:name w:val="コメント文字列 (文字)"/>
    <w:basedOn w:val="a0"/>
    <w:link w:val="ab"/>
    <w:uiPriority w:val="99"/>
    <w:rsid w:val="00365C19"/>
  </w:style>
  <w:style w:type="paragraph" w:styleId="ad">
    <w:name w:val="annotation subject"/>
    <w:basedOn w:val="ab"/>
    <w:next w:val="ab"/>
    <w:link w:val="ae"/>
    <w:uiPriority w:val="99"/>
    <w:semiHidden/>
    <w:unhideWhenUsed/>
    <w:rsid w:val="00365C19"/>
    <w:rPr>
      <w:b/>
      <w:bCs/>
    </w:rPr>
  </w:style>
  <w:style w:type="character" w:customStyle="1" w:styleId="ae">
    <w:name w:val="コメント内容 (文字)"/>
    <w:basedOn w:val="ac"/>
    <w:link w:val="ad"/>
    <w:uiPriority w:val="99"/>
    <w:semiHidden/>
    <w:rsid w:val="00365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177">
      <w:bodyDiv w:val="1"/>
      <w:marLeft w:val="0"/>
      <w:marRight w:val="0"/>
      <w:marTop w:val="0"/>
      <w:marBottom w:val="0"/>
      <w:divBdr>
        <w:top w:val="none" w:sz="0" w:space="0" w:color="auto"/>
        <w:left w:val="none" w:sz="0" w:space="0" w:color="auto"/>
        <w:bottom w:val="none" w:sz="0" w:space="0" w:color="auto"/>
        <w:right w:val="none" w:sz="0" w:space="0" w:color="auto"/>
      </w:divBdr>
    </w:div>
    <w:div w:id="220333451">
      <w:bodyDiv w:val="1"/>
      <w:marLeft w:val="0"/>
      <w:marRight w:val="0"/>
      <w:marTop w:val="0"/>
      <w:marBottom w:val="0"/>
      <w:divBdr>
        <w:top w:val="none" w:sz="0" w:space="0" w:color="auto"/>
        <w:left w:val="none" w:sz="0" w:space="0" w:color="auto"/>
        <w:bottom w:val="none" w:sz="0" w:space="0" w:color="auto"/>
        <w:right w:val="none" w:sz="0" w:space="0" w:color="auto"/>
      </w:divBdr>
    </w:div>
    <w:div w:id="405031600">
      <w:bodyDiv w:val="1"/>
      <w:marLeft w:val="0"/>
      <w:marRight w:val="0"/>
      <w:marTop w:val="0"/>
      <w:marBottom w:val="0"/>
      <w:divBdr>
        <w:top w:val="none" w:sz="0" w:space="0" w:color="auto"/>
        <w:left w:val="none" w:sz="0" w:space="0" w:color="auto"/>
        <w:bottom w:val="none" w:sz="0" w:space="0" w:color="auto"/>
        <w:right w:val="none" w:sz="0" w:space="0" w:color="auto"/>
      </w:divBdr>
    </w:div>
    <w:div w:id="710806524">
      <w:bodyDiv w:val="1"/>
      <w:marLeft w:val="0"/>
      <w:marRight w:val="0"/>
      <w:marTop w:val="0"/>
      <w:marBottom w:val="0"/>
      <w:divBdr>
        <w:top w:val="none" w:sz="0" w:space="0" w:color="auto"/>
        <w:left w:val="none" w:sz="0" w:space="0" w:color="auto"/>
        <w:bottom w:val="none" w:sz="0" w:space="0" w:color="auto"/>
        <w:right w:val="none" w:sz="0" w:space="0" w:color="auto"/>
      </w:divBdr>
    </w:div>
    <w:div w:id="945043806">
      <w:bodyDiv w:val="1"/>
      <w:marLeft w:val="0"/>
      <w:marRight w:val="0"/>
      <w:marTop w:val="0"/>
      <w:marBottom w:val="0"/>
      <w:divBdr>
        <w:top w:val="none" w:sz="0" w:space="0" w:color="auto"/>
        <w:left w:val="none" w:sz="0" w:space="0" w:color="auto"/>
        <w:bottom w:val="none" w:sz="0" w:space="0" w:color="auto"/>
        <w:right w:val="none" w:sz="0" w:space="0" w:color="auto"/>
      </w:divBdr>
    </w:div>
    <w:div w:id="1145439115">
      <w:bodyDiv w:val="1"/>
      <w:marLeft w:val="0"/>
      <w:marRight w:val="0"/>
      <w:marTop w:val="0"/>
      <w:marBottom w:val="0"/>
      <w:divBdr>
        <w:top w:val="none" w:sz="0" w:space="0" w:color="auto"/>
        <w:left w:val="none" w:sz="0" w:space="0" w:color="auto"/>
        <w:bottom w:val="none" w:sz="0" w:space="0" w:color="auto"/>
        <w:right w:val="none" w:sz="0" w:space="0" w:color="auto"/>
      </w:divBdr>
    </w:div>
    <w:div w:id="19976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啓史</dc:creator>
  <cp:keywords/>
  <dc:description/>
  <cp:lastModifiedBy>Keita Kamijo</cp:lastModifiedBy>
  <cp:revision>3</cp:revision>
  <dcterms:created xsi:type="dcterms:W3CDTF">2025-07-30T01:21:00Z</dcterms:created>
  <dcterms:modified xsi:type="dcterms:W3CDTF">2025-07-30T06:01:00Z</dcterms:modified>
</cp:coreProperties>
</file>