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36399C">
      <w:pPr>
        <w:spacing w:line="480" w:lineRule="auto"/>
        <w:jc w:val="center"/>
        <w:rPr>
          <w:rFonts w:ascii="Cambria" w:hAnsi="Cambria"/>
          <w:i/>
          <w:iCs/>
          <w:sz w:val="30"/>
          <w:szCs w:val="30"/>
        </w:rPr>
      </w:pPr>
      <w:r>
        <w:rPr>
          <w:rFonts w:ascii="Cambria" w:hAnsi="Cambria" w:cs="Segoe UI"/>
          <w:i/>
          <w:iCs/>
          <w:sz w:val="30"/>
          <w:szCs w:val="30"/>
        </w:rPr>
        <w:t>Supplementary Materials</w:t>
      </w:r>
    </w:p>
    <w:p w14:paraId="0A1C6FCC">
      <w:pPr>
        <w:pStyle w:val="13"/>
        <w:spacing w:line="480" w:lineRule="auto"/>
        <w:jc w:val="both"/>
        <w:rPr>
          <w:rFonts w:ascii="Times New Roman" w:hAnsi="Times New Roman" w:cs="Times New Roman"/>
          <w:b/>
          <w:sz w:val="36"/>
          <w:szCs w:val="36"/>
        </w:rPr>
      </w:pPr>
      <w:bookmarkStart w:id="0" w:name="_GoBack"/>
      <w:r>
        <w:rPr>
          <w:rFonts w:hint="default" w:ascii="Times New Roman" w:hAnsi="Times New Roman" w:eastAsia="宋体" w:cs="Times New Roman"/>
          <w:b/>
          <w:bCs/>
          <w:sz w:val="36"/>
          <w:szCs w:val="36"/>
          <w:lang w:val="de" w:eastAsia="zh-CN" w:bidi="ar"/>
        </w:rPr>
        <w:t>Degradable Scaffold-Mediated Synergistic Matrix Formation by Endogenous Cells: An In Vivo Manufacturing Strategy for Off-the-Shelf Cardiovascular Bypass Grafts to Address Clinical Shortages</w:t>
      </w:r>
    </w:p>
    <w:bookmarkEnd w:id="0"/>
    <w:p w14:paraId="7FF9A817">
      <w:pPr>
        <w:rPr>
          <w:rFonts w:ascii="Cambria" w:hAnsi="Cambria"/>
        </w:rPr>
      </w:pPr>
      <w:r>
        <w:rPr>
          <w:rFonts w:hint="eastAsia" w:ascii="Cambria" w:hAnsi="Cambria" w:eastAsiaTheme="majorEastAsia"/>
          <w:i/>
          <w:iCs/>
          <w:spacing w:val="13"/>
          <w:sz w:val="24"/>
          <w:szCs w:val="24"/>
        </w:rPr>
        <w:t>Yijie He</w:t>
      </w:r>
      <w:r>
        <w:rPr>
          <w:rFonts w:ascii="Cambria" w:hAnsi="Cambria"/>
          <w:vertAlign w:val="superscript"/>
        </w:rPr>
        <w:t>a</w:t>
      </w:r>
      <w:r>
        <w:rPr>
          <w:rFonts w:ascii="Cambria" w:hAnsi="Cambria"/>
        </w:rPr>
        <w:t>,</w:t>
      </w:r>
      <w:r>
        <w:rPr>
          <w:rFonts w:ascii="Cambria" w:hAnsi="Cambria"/>
          <w:b/>
          <w:bCs/>
          <w:lang w:val="it-IT"/>
        </w:rPr>
        <w:t xml:space="preserve"> </w:t>
      </w:r>
      <w:r>
        <w:rPr>
          <w:rFonts w:ascii="Cambria" w:hAnsi="Cambria" w:eastAsiaTheme="majorEastAsia"/>
          <w:i/>
          <w:iCs/>
          <w:spacing w:val="13"/>
          <w:sz w:val="24"/>
          <w:szCs w:val="24"/>
        </w:rPr>
        <w:t>Yunfei Mo</w:t>
      </w:r>
      <w:r>
        <w:rPr>
          <w:rFonts w:ascii="Cambria" w:hAnsi="Cambria"/>
          <w:vertAlign w:val="superscript"/>
        </w:rPr>
        <w:t>a</w:t>
      </w:r>
      <w:r>
        <w:rPr>
          <w:rFonts w:ascii="Cambria" w:hAnsi="Cambria"/>
        </w:rPr>
        <w:t>,</w:t>
      </w:r>
      <w:r>
        <w:rPr>
          <w:rFonts w:hint="eastAsia" w:ascii="Cambria" w:hAnsi="Cambria"/>
        </w:rPr>
        <w:t xml:space="preserve"> </w:t>
      </w:r>
      <w:r>
        <w:rPr>
          <w:rFonts w:ascii="Cambria" w:hAnsi="Cambria" w:eastAsiaTheme="majorEastAsia"/>
          <w:i/>
          <w:iCs/>
          <w:spacing w:val="13"/>
          <w:sz w:val="24"/>
          <w:szCs w:val="24"/>
        </w:rPr>
        <w:t>Xiaoyan Shen</w:t>
      </w:r>
      <w:r>
        <w:rPr>
          <w:rFonts w:ascii="Cambria" w:hAnsi="Cambria"/>
          <w:vertAlign w:val="superscript"/>
        </w:rPr>
        <w:t>a</w:t>
      </w:r>
      <w:r>
        <w:rPr>
          <w:rFonts w:ascii="Cambria" w:hAnsi="Cambria" w:cs="Calibri"/>
          <w:sz w:val="28"/>
          <w:szCs w:val="28"/>
        </w:rPr>
        <w:t>,</w:t>
      </w:r>
      <w:r>
        <w:rPr>
          <w:rFonts w:hint="eastAsia" w:ascii="Cambria" w:hAnsi="Cambria" w:cs="Calibri"/>
          <w:sz w:val="28"/>
          <w:szCs w:val="28"/>
        </w:rPr>
        <w:t xml:space="preserve"> </w:t>
      </w:r>
      <w:r>
        <w:rPr>
          <w:rFonts w:ascii="Cambria" w:hAnsi="Cambria" w:eastAsiaTheme="majorEastAsia"/>
          <w:i/>
          <w:iCs/>
          <w:spacing w:val="13"/>
          <w:sz w:val="24"/>
          <w:szCs w:val="24"/>
        </w:rPr>
        <w:t xml:space="preserve">Jialin Xu </w:t>
      </w:r>
      <w:r>
        <w:rPr>
          <w:rFonts w:ascii="Cambria" w:hAnsi="Cambria"/>
          <w:vertAlign w:val="superscript"/>
        </w:rPr>
        <w:t>a</w:t>
      </w:r>
      <w:r>
        <w:rPr>
          <w:rFonts w:ascii="Cambria" w:hAnsi="Cambria" w:cs="Calibri"/>
          <w:sz w:val="28"/>
          <w:szCs w:val="28"/>
        </w:rPr>
        <w:t>,</w:t>
      </w:r>
      <w:r>
        <w:rPr>
          <w:rFonts w:hint="eastAsia" w:ascii="Cambria" w:hAnsi="Cambria" w:cs="Calibri"/>
          <w:sz w:val="28"/>
          <w:szCs w:val="28"/>
        </w:rPr>
        <w:t xml:space="preserve"> </w:t>
      </w:r>
      <w:r>
        <w:rPr>
          <w:rFonts w:ascii="Cambria" w:hAnsi="Cambria"/>
          <w:i/>
          <w:iCs/>
        </w:rPr>
        <w:t>Shiwen Liu</w:t>
      </w:r>
      <w:r>
        <w:rPr>
          <w:rFonts w:ascii="Cambria" w:hAnsi="Cambria"/>
          <w:vertAlign w:val="superscript"/>
        </w:rPr>
        <w:t>a</w:t>
      </w:r>
      <w:r>
        <w:rPr>
          <w:rFonts w:ascii="Cambria" w:hAnsi="Cambria" w:cs="Calibri"/>
          <w:sz w:val="28"/>
          <w:szCs w:val="28"/>
        </w:rPr>
        <w:t xml:space="preserve">, </w:t>
      </w:r>
      <w:r>
        <w:rPr>
          <w:rFonts w:ascii="Cambria" w:hAnsi="Cambria" w:eastAsiaTheme="majorEastAsia"/>
          <w:i/>
          <w:iCs/>
          <w:spacing w:val="13"/>
          <w:sz w:val="24"/>
          <w:szCs w:val="24"/>
        </w:rPr>
        <w:t>Xiuhong Sun</w:t>
      </w:r>
      <w:r>
        <w:rPr>
          <w:rFonts w:ascii="Cambria" w:hAnsi="Cambria"/>
          <w:lang w:val="it-IT"/>
        </w:rPr>
        <w:t xml:space="preserve"> </w:t>
      </w:r>
      <w:r>
        <w:rPr>
          <w:rFonts w:ascii="Cambria" w:hAnsi="Cambria"/>
          <w:vertAlign w:val="superscript"/>
          <w:lang w:val="it-IT"/>
        </w:rPr>
        <w:t>b</w:t>
      </w:r>
      <w:r>
        <w:rPr>
          <w:rFonts w:ascii="Cambria" w:hAnsi="Cambria"/>
        </w:rPr>
        <w:t>,</w:t>
      </w:r>
      <w:r>
        <w:rPr>
          <w:rFonts w:ascii="Cambria" w:hAnsi="Cambria" w:cs="Cambria"/>
          <w:sz w:val="28"/>
          <w:szCs w:val="28"/>
        </w:rPr>
        <w:t xml:space="preserve"> </w:t>
      </w:r>
      <w:r>
        <w:rPr>
          <w:rFonts w:ascii="Cambria" w:hAnsi="Cambria" w:eastAsiaTheme="majorEastAsia"/>
          <w:i/>
          <w:iCs/>
          <w:spacing w:val="13"/>
          <w:sz w:val="24"/>
          <w:szCs w:val="24"/>
        </w:rPr>
        <w:t>Rui Zhou</w:t>
      </w:r>
      <w:r>
        <w:rPr>
          <w:rFonts w:ascii="Cambria" w:hAnsi="Cambria" w:eastAsiaTheme="majorEastAsia"/>
          <w:spacing w:val="13"/>
          <w:sz w:val="24"/>
          <w:szCs w:val="24"/>
          <w:vertAlign w:val="superscript"/>
        </w:rPr>
        <w:t>b</w:t>
      </w:r>
      <w:r>
        <w:rPr>
          <w:rFonts w:ascii="Cambria" w:hAnsi="Cambria"/>
        </w:rPr>
        <w:t xml:space="preserve">, </w:t>
      </w:r>
      <w:r>
        <w:rPr>
          <w:rFonts w:ascii="Cambria" w:hAnsi="Cambria" w:eastAsiaTheme="majorEastAsia"/>
          <w:i/>
          <w:iCs/>
          <w:spacing w:val="13"/>
          <w:sz w:val="24"/>
          <w:szCs w:val="24"/>
        </w:rPr>
        <w:t>Kai Fu</w:t>
      </w:r>
      <w:r>
        <w:rPr>
          <w:rFonts w:ascii="Cambria" w:hAnsi="Cambria" w:eastAsiaTheme="majorEastAsia"/>
          <w:spacing w:val="13"/>
          <w:sz w:val="24"/>
          <w:szCs w:val="24"/>
          <w:vertAlign w:val="superscript"/>
        </w:rPr>
        <w:t>b</w:t>
      </w:r>
      <w:r>
        <w:rPr>
          <w:rFonts w:ascii="Cambria" w:hAnsi="Cambria"/>
        </w:rPr>
        <w:t xml:space="preserve">, </w:t>
      </w:r>
      <w:r>
        <w:rPr>
          <w:rFonts w:ascii="Cambria" w:hAnsi="Cambria"/>
          <w:i/>
          <w:iCs/>
        </w:rPr>
        <w:t>Yuqing Niu</w:t>
      </w:r>
      <w:r>
        <w:rPr>
          <w:rFonts w:ascii="Cambria" w:hAnsi="Cambria"/>
          <w:vertAlign w:val="superscript"/>
        </w:rPr>
        <w:t>a,*</w:t>
      </w:r>
      <w:r>
        <w:rPr>
          <w:rFonts w:ascii="Cambria" w:hAnsi="Cambria"/>
        </w:rPr>
        <w:t xml:space="preserve"> </w:t>
      </w:r>
    </w:p>
    <w:p w14:paraId="27B28965">
      <w:pPr>
        <w:spacing w:after="80" w:line="480" w:lineRule="auto"/>
        <w:rPr>
          <w:rFonts w:ascii="Cambria" w:hAnsi="Cambria"/>
          <w:iCs/>
          <w:sz w:val="24"/>
          <w:szCs w:val="24"/>
          <w:vertAlign w:val="superscript"/>
          <w:lang w:bidi="ar"/>
        </w:rPr>
      </w:pPr>
      <w:r>
        <w:rPr>
          <w:rFonts w:hint="eastAsia" w:ascii="Cambria" w:hAnsi="Cambria"/>
          <w:iCs/>
          <w:sz w:val="24"/>
          <w:szCs w:val="24"/>
          <w:vertAlign w:val="superscript"/>
          <w:lang w:bidi="ar"/>
        </w:rPr>
        <w:t>a</w:t>
      </w:r>
      <w:r>
        <w:rPr>
          <w:rFonts w:ascii="Cambria" w:hAnsi="Cambria"/>
          <w:iCs/>
          <w:sz w:val="24"/>
          <w:szCs w:val="24"/>
          <w:vertAlign w:val="superscript"/>
          <w:lang w:bidi="ar"/>
        </w:rPr>
        <w:t xml:space="preserve">  </w:t>
      </w:r>
      <w:r>
        <w:rPr>
          <w:rFonts w:ascii="Cambria" w:hAnsi="Cambria"/>
          <w:iCs/>
          <w:sz w:val="24"/>
          <w:szCs w:val="24"/>
          <w:lang w:bidi="ar"/>
        </w:rPr>
        <w:t>School of Life and Health Technology, Dongguan University of Technology, Dongguan, 523808, China</w:t>
      </w:r>
    </w:p>
    <w:p w14:paraId="074DB818">
      <w:pPr>
        <w:spacing w:after="80" w:line="480" w:lineRule="auto"/>
        <w:rPr>
          <w:rFonts w:ascii="Cambria" w:hAnsi="Cambria"/>
          <w:iCs/>
          <w:sz w:val="24"/>
          <w:szCs w:val="24"/>
          <w:lang w:bidi="ar"/>
        </w:rPr>
      </w:pPr>
      <w:r>
        <w:rPr>
          <w:rFonts w:hint="eastAsia" w:ascii="Cambria" w:hAnsi="Cambria"/>
          <w:iCs/>
          <w:sz w:val="24"/>
          <w:szCs w:val="24"/>
          <w:vertAlign w:val="superscript"/>
          <w:lang w:bidi="ar"/>
        </w:rPr>
        <w:t>b</w:t>
      </w:r>
      <w:r>
        <w:rPr>
          <w:rFonts w:ascii="Cambria" w:hAnsi="Cambria"/>
          <w:iCs/>
          <w:sz w:val="24"/>
          <w:szCs w:val="24"/>
          <w:lang w:bidi="ar"/>
        </w:rPr>
        <w:t xml:space="preserve"> </w:t>
      </w:r>
      <w:r>
        <w:rPr>
          <w:rFonts w:ascii="Cambria" w:hAnsi="Cambria"/>
          <w:sz w:val="24"/>
          <w:szCs w:val="24"/>
          <w:lang w:bidi="ar"/>
        </w:rPr>
        <w:t xml:space="preserve">Department of Pediatric Surgery, Guangdong Provincial Key Laboratory of Research in Structural Birth Defect Disease, Guangzhou Women and Children's Medical Center, Guangzhou Medical University, Guangzhou 510623, Guangdong, </w:t>
      </w:r>
      <w:r>
        <w:rPr>
          <w:rFonts w:ascii="Cambria" w:hAnsi="Cambria"/>
          <w:iCs/>
          <w:sz w:val="24"/>
          <w:szCs w:val="24"/>
          <w:lang w:bidi="ar"/>
        </w:rPr>
        <w:t>PR China</w:t>
      </w:r>
    </w:p>
    <w:p w14:paraId="4B9C205F">
      <w:pPr>
        <w:rPr>
          <w:rStyle w:val="17"/>
          <w:rFonts w:ascii="Cambria" w:hAnsi="Cambria"/>
          <w:sz w:val="24"/>
          <w:szCs w:val="24"/>
        </w:rPr>
      </w:pPr>
      <w:r>
        <w:rPr>
          <w:rFonts w:ascii="Cambria" w:hAnsi="Cambria"/>
          <w:sz w:val="24"/>
          <w:szCs w:val="24"/>
        </w:rPr>
        <w:t xml:space="preserve">Corresponding authors: Yuqing Niu, </w:t>
      </w:r>
      <w:r>
        <w:rPr>
          <w:rFonts w:ascii="Cambria" w:hAnsi="Cambria"/>
          <w:iCs/>
          <w:sz w:val="24"/>
          <w:szCs w:val="24"/>
          <w:lang w:bidi="ar"/>
        </w:rPr>
        <w:t>School of Life and Health Technology, Dongguan University of Technology, Dongguan, 523808, China</w:t>
      </w:r>
      <w:r>
        <w:rPr>
          <w:rFonts w:ascii="Cambria" w:hAnsi="Cambria"/>
          <w:sz w:val="24"/>
          <w:szCs w:val="24"/>
        </w:rPr>
        <w:t xml:space="preserve">. E-mail: niuyuqing@dgut.edu.cn Telephone: </w:t>
      </w:r>
      <w:r>
        <w:fldChar w:fldCharType="begin"/>
      </w:r>
      <w:r>
        <w:instrText xml:space="preserve"> HYPERLINK "Tel:+008602038076560" </w:instrText>
      </w:r>
      <w:r>
        <w:fldChar w:fldCharType="separate"/>
      </w:r>
      <w:r>
        <w:rPr>
          <w:rStyle w:val="17"/>
          <w:rFonts w:ascii="Cambria" w:hAnsi="Cambria"/>
          <w:sz w:val="24"/>
          <w:szCs w:val="24"/>
        </w:rPr>
        <w:t>+86-0769-22862190</w:t>
      </w:r>
      <w:r>
        <w:rPr>
          <w:rStyle w:val="17"/>
          <w:rFonts w:ascii="Cambria" w:hAnsi="Cambria"/>
          <w:sz w:val="24"/>
          <w:szCs w:val="24"/>
        </w:rPr>
        <w:fldChar w:fldCharType="end"/>
      </w:r>
    </w:p>
    <w:p w14:paraId="79006BAF">
      <w:pPr>
        <w:jc w:val="center"/>
        <w:rPr>
          <w:rFonts w:hint="eastAsia"/>
        </w:rPr>
      </w:pPr>
      <w:r>
        <w:drawing>
          <wp:inline distT="0" distB="0" distL="0" distR="0">
            <wp:extent cx="3060700" cy="7708900"/>
            <wp:effectExtent l="0" t="0" r="6350" b="6350"/>
            <wp:docPr id="495954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54291" name="图片 1"/>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3060700" cy="7708900"/>
                    </a:xfrm>
                    <a:prstGeom prst="rect">
                      <a:avLst/>
                    </a:prstGeom>
                    <a:noFill/>
                    <a:ln>
                      <a:noFill/>
                    </a:ln>
                  </pic:spPr>
                </pic:pic>
              </a:graphicData>
            </a:graphic>
          </wp:inline>
        </w:drawing>
      </w:r>
    </w:p>
    <w:p w14:paraId="2CB1197C">
      <w:pPr>
        <w:jc w:val="both"/>
        <w:rPr>
          <w:rFonts w:ascii="Cambria" w:hAnsi="Cambria" w:cs="Segoe UI"/>
          <w:sz w:val="24"/>
          <w:szCs w:val="24"/>
          <w:shd w:val="clear" w:color="auto" w:fill="FFFFFF"/>
        </w:rPr>
      </w:pPr>
      <w:r>
        <w:rPr>
          <w:rFonts w:ascii="Cambria" w:hAnsi="Cambria" w:cs="Segoe UI"/>
          <w:sz w:val="24"/>
          <w:szCs w:val="24"/>
          <w:shd w:val="clear" w:color="auto" w:fill="FFFFFF"/>
        </w:rPr>
        <w:t>Figure S1. Representative digital images showing the incision site before (upper panel) and 14 days after (lower panel) subcutaneous implantation of the PLCL nanofibrous scaffold.</w:t>
      </w:r>
    </w:p>
    <w:p w14:paraId="76188C74">
      <w:pPr>
        <w:jc w:val="center"/>
        <w:rPr>
          <w:rFonts w:ascii="Cambria" w:hAnsi="Cambria" w:cs="Segoe UI"/>
          <w:sz w:val="24"/>
          <w:szCs w:val="24"/>
          <w:shd w:val="clear" w:color="auto" w:fill="FFFFFF"/>
        </w:rPr>
      </w:pPr>
      <w:r>
        <w:drawing>
          <wp:inline distT="0" distB="0" distL="0" distR="0">
            <wp:extent cx="4308475" cy="3456305"/>
            <wp:effectExtent l="0" t="0" r="0" b="0"/>
            <wp:docPr id="927577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77044" name="图片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4308475" cy="3456305"/>
                    </a:xfrm>
                    <a:prstGeom prst="rect">
                      <a:avLst/>
                    </a:prstGeom>
                    <a:noFill/>
                    <a:ln>
                      <a:noFill/>
                    </a:ln>
                  </pic:spPr>
                </pic:pic>
              </a:graphicData>
            </a:graphic>
          </wp:inline>
        </w:drawing>
      </w:r>
    </w:p>
    <w:p w14:paraId="4517DEB8">
      <w:pPr>
        <w:jc w:val="both"/>
        <w:rPr>
          <w:rFonts w:ascii="Cambria" w:hAnsi="Cambria"/>
          <w:sz w:val="24"/>
          <w:szCs w:val="24"/>
        </w:rPr>
      </w:pPr>
      <w:r>
        <w:rPr>
          <w:rFonts w:ascii="Cambria" w:hAnsi="Cambria"/>
          <w:sz w:val="24"/>
          <w:szCs w:val="24"/>
        </w:rPr>
        <w:t>Figure S2. Quantitative data showing changes in body weight and body temperature in animals before and after implantation of the PLA scaffold (data are presented as mean ± SD, n=13).</w:t>
      </w:r>
    </w:p>
    <w:p w14:paraId="2CD3A3E9">
      <w:pPr>
        <w:jc w:val="center"/>
        <w:rPr>
          <w:rFonts w:ascii="Cambria" w:hAnsi="Cambria"/>
          <w:sz w:val="24"/>
          <w:szCs w:val="24"/>
        </w:rPr>
      </w:pPr>
      <w:r>
        <w:drawing>
          <wp:inline distT="0" distB="0" distL="0" distR="0">
            <wp:extent cx="4553585" cy="7173595"/>
            <wp:effectExtent l="0" t="0" r="0" b="8255"/>
            <wp:docPr id="15173361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36168" name="图片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4554000" cy="7173674"/>
                    </a:xfrm>
                    <a:prstGeom prst="rect">
                      <a:avLst/>
                    </a:prstGeom>
                    <a:noFill/>
                    <a:ln>
                      <a:noFill/>
                    </a:ln>
                  </pic:spPr>
                </pic:pic>
              </a:graphicData>
            </a:graphic>
          </wp:inline>
        </w:drawing>
      </w:r>
    </w:p>
    <w:p w14:paraId="4270899C">
      <w:pPr>
        <w:jc w:val="both"/>
        <w:rPr>
          <w:rFonts w:ascii="Cambria" w:hAnsi="Cambria"/>
          <w:sz w:val="24"/>
          <w:szCs w:val="24"/>
        </w:rPr>
      </w:pPr>
      <w:r>
        <w:rPr>
          <w:rFonts w:ascii="Cambria" w:hAnsi="Cambria"/>
          <w:sz w:val="24"/>
          <w:szCs w:val="24"/>
        </w:rPr>
        <w:t>Figure S</w:t>
      </w:r>
      <w:r>
        <w:rPr>
          <w:rFonts w:hint="eastAsia" w:ascii="Cambria" w:hAnsi="Cambria"/>
          <w:sz w:val="24"/>
          <w:szCs w:val="24"/>
        </w:rPr>
        <w:t>3</w:t>
      </w:r>
      <w:r>
        <w:rPr>
          <w:rFonts w:ascii="Cambria" w:hAnsi="Cambria"/>
          <w:sz w:val="24"/>
          <w:szCs w:val="24"/>
        </w:rPr>
        <w:t>.</w:t>
      </w:r>
      <w:r>
        <w:rPr>
          <w:rFonts w:hint="eastAsia" w:ascii="Cambria" w:hAnsi="Cambria"/>
          <w:sz w:val="24"/>
          <w:szCs w:val="24"/>
        </w:rPr>
        <w:t xml:space="preserve"> </w:t>
      </w:r>
      <w:r>
        <w:rPr>
          <w:rFonts w:ascii="Cambria" w:hAnsi="Cambria"/>
          <w:sz w:val="24"/>
          <w:szCs w:val="24"/>
        </w:rPr>
        <w:t>Relaxation responses of 30% strain PLCL nanofibers, 4% strain ePTFE, and 30% strain TE-P under continuous longitudinal stretching, showing time - dependent changes in relaxation modulus (MPa), strain (%), and temperature (°C) (data presented with dual - axis plots for modulus/strain vs temperature)</w:t>
      </w:r>
      <w:r>
        <w:rPr>
          <w:rFonts w:hint="eastAsia" w:ascii="Cambria" w:hAnsi="Cambria"/>
          <w:sz w:val="24"/>
          <w:szCs w:val="24"/>
        </w:rPr>
        <w:t>.</w:t>
      </w:r>
    </w:p>
    <w:p w14:paraId="28C697BD">
      <w:pPr>
        <w:jc w:val="center"/>
        <w:rPr>
          <w:rFonts w:ascii="Cambria" w:hAnsi="Cambria"/>
          <w:sz w:val="24"/>
          <w:szCs w:val="24"/>
        </w:rPr>
      </w:pPr>
      <w:r>
        <w:drawing>
          <wp:inline distT="0" distB="0" distL="0" distR="0">
            <wp:extent cx="4319905" cy="7169150"/>
            <wp:effectExtent l="0" t="0" r="4445" b="0"/>
            <wp:docPr id="15853353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35329" name="图片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4320000" cy="7169660"/>
                    </a:xfrm>
                    <a:prstGeom prst="rect">
                      <a:avLst/>
                    </a:prstGeom>
                    <a:noFill/>
                    <a:ln>
                      <a:noFill/>
                    </a:ln>
                  </pic:spPr>
                </pic:pic>
              </a:graphicData>
            </a:graphic>
          </wp:inline>
        </w:drawing>
      </w:r>
    </w:p>
    <w:p w14:paraId="5B39DA5D">
      <w:pPr>
        <w:jc w:val="both"/>
        <w:rPr>
          <w:rFonts w:ascii="Cambria" w:hAnsi="Cambria"/>
          <w:sz w:val="24"/>
          <w:szCs w:val="24"/>
        </w:rPr>
      </w:pPr>
      <w:r>
        <w:rPr>
          <w:rFonts w:ascii="Cambria" w:hAnsi="Cambria"/>
          <w:sz w:val="24"/>
          <w:szCs w:val="24"/>
        </w:rPr>
        <w:t>Figure S4. Time - dependent changes in strain (%), stress (MPa), and temperature for PLCL, ePTFE, and TE - P under continuous longitudinal stretching, showing the time to reach a specific strain threshold (32.99 min for PLCL with 1.25% strain change, 28.05 min for ePTFE with 0.78% strain change, and 32.99 min for TE-P with 1.06% strain change).</w:t>
      </w:r>
    </w:p>
    <w:p w14:paraId="5E23EFFC">
      <w:pPr>
        <w:jc w:val="both"/>
        <w:rPr>
          <w:rFonts w:ascii="Cambria" w:hAnsi="Cambria"/>
          <w:sz w:val="24"/>
          <w:szCs w:val="24"/>
        </w:rPr>
      </w:pPr>
      <w:r>
        <w:drawing>
          <wp:inline distT="0" distB="0" distL="0" distR="0">
            <wp:extent cx="5274310" cy="5299075"/>
            <wp:effectExtent l="0" t="0" r="2540" b="0"/>
            <wp:docPr id="351117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17963"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5299075"/>
                    </a:xfrm>
                    <a:prstGeom prst="rect">
                      <a:avLst/>
                    </a:prstGeom>
                    <a:noFill/>
                    <a:ln>
                      <a:noFill/>
                    </a:ln>
                  </pic:spPr>
                </pic:pic>
              </a:graphicData>
            </a:graphic>
          </wp:inline>
        </w:drawing>
      </w:r>
    </w:p>
    <w:p w14:paraId="24BB3B4E">
      <w:pPr>
        <w:jc w:val="both"/>
        <w:rPr>
          <w:rFonts w:ascii="Cambria" w:hAnsi="Cambria"/>
          <w:sz w:val="24"/>
          <w:szCs w:val="24"/>
        </w:rPr>
      </w:pPr>
      <w:r>
        <w:rPr>
          <w:rFonts w:ascii="Cambria" w:hAnsi="Cambria"/>
          <w:sz w:val="24"/>
          <w:szCs w:val="24"/>
        </w:rPr>
        <w:t>Figure S</w:t>
      </w:r>
      <w:r>
        <w:rPr>
          <w:rFonts w:hint="eastAsia" w:ascii="Cambria" w:hAnsi="Cambria"/>
          <w:sz w:val="24"/>
          <w:szCs w:val="24"/>
        </w:rPr>
        <w:t>5</w:t>
      </w:r>
      <w:r>
        <w:rPr>
          <w:rFonts w:ascii="Cambria" w:hAnsi="Cambria"/>
          <w:sz w:val="24"/>
          <w:szCs w:val="24"/>
        </w:rPr>
        <w:t>.</w:t>
      </w:r>
      <w:r>
        <w:rPr>
          <w:rFonts w:ascii="Helvetica" w:hAnsi="Helvetica" w:cs="Helvetica"/>
          <w:color w:val="2C2C36"/>
          <w:spacing w:val="1"/>
          <w:shd w:val="clear" w:color="auto" w:fill="FFFFFF"/>
        </w:rPr>
        <w:t xml:space="preserve"> </w:t>
      </w:r>
      <w:r>
        <w:rPr>
          <w:rFonts w:ascii="Cambria" w:hAnsi="Cambria"/>
          <w:sz w:val="24"/>
          <w:szCs w:val="24"/>
        </w:rPr>
        <w:t xml:space="preserve">Immunofluorescence analysis of </w:t>
      </w:r>
      <w:r>
        <w:rPr>
          <w:rFonts w:hint="eastAsia" w:ascii="Cambria" w:hAnsi="Cambria"/>
          <w:sz w:val="24"/>
          <w:szCs w:val="24"/>
        </w:rPr>
        <w:t>EC</w:t>
      </w:r>
      <w:r>
        <w:rPr>
          <w:rFonts w:ascii="Cambria" w:hAnsi="Cambria"/>
          <w:sz w:val="24"/>
          <w:szCs w:val="24"/>
        </w:rPr>
        <w:t xml:space="preserve"> adhesion and junction formation on PLCL tissue sections at 24 h, 72 h, and 120 h after seeding with rat ECs. Panels are arranged from top to bottom as follows: merged image (CD31 in red, CD144 in green, and DAPI in blue), individual channel of CD31 (red, endothelial junction marker), CD144 (green, VE-cadherin, adherens junction protein), and DAPI (blue, nuclear counterstain). Insets show magnified views of the boxed regions, highlighting the progressive formation of cell-cell junctions and nuclear distribution over time.</w:t>
      </w:r>
    </w:p>
    <w:p w14:paraId="747EC1D0">
      <w:pPr>
        <w:jc w:val="both"/>
        <w:rPr>
          <w:rFonts w:ascii="Cambria" w:hAnsi="Cambria"/>
          <w:sz w:val="24"/>
          <w:szCs w:val="24"/>
        </w:rPr>
      </w:pPr>
      <w:r>
        <w:drawing>
          <wp:inline distT="0" distB="0" distL="0" distR="0">
            <wp:extent cx="5274310" cy="5462905"/>
            <wp:effectExtent l="0" t="0" r="2540" b="4445"/>
            <wp:docPr id="5541938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93837"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5462905"/>
                    </a:xfrm>
                    <a:prstGeom prst="rect">
                      <a:avLst/>
                    </a:prstGeom>
                    <a:noFill/>
                    <a:ln>
                      <a:noFill/>
                    </a:ln>
                  </pic:spPr>
                </pic:pic>
              </a:graphicData>
            </a:graphic>
          </wp:inline>
        </w:drawing>
      </w:r>
    </w:p>
    <w:p w14:paraId="1E64ADF0">
      <w:pPr>
        <w:jc w:val="both"/>
        <w:rPr>
          <w:rFonts w:ascii="Cambria" w:hAnsi="Cambria"/>
          <w:sz w:val="24"/>
          <w:szCs w:val="24"/>
        </w:rPr>
      </w:pPr>
      <w:r>
        <w:rPr>
          <w:rFonts w:ascii="Cambria" w:hAnsi="Cambria"/>
          <w:sz w:val="24"/>
          <w:szCs w:val="24"/>
        </w:rPr>
        <w:t>Figure S</w:t>
      </w:r>
      <w:r>
        <w:rPr>
          <w:rFonts w:hint="eastAsia" w:ascii="Cambria" w:hAnsi="Cambria"/>
          <w:sz w:val="24"/>
          <w:szCs w:val="24"/>
        </w:rPr>
        <w:t>6</w:t>
      </w:r>
      <w:r>
        <w:rPr>
          <w:rFonts w:ascii="Cambria" w:hAnsi="Cambria"/>
          <w:sz w:val="24"/>
          <w:szCs w:val="24"/>
        </w:rPr>
        <w:t>.</w:t>
      </w:r>
      <w:r>
        <w:rPr>
          <w:rFonts w:ascii="Helvetica" w:hAnsi="Helvetica" w:cs="Helvetica"/>
          <w:color w:val="2C2C36"/>
          <w:spacing w:val="1"/>
          <w:shd w:val="clear" w:color="auto" w:fill="FFFFFF"/>
        </w:rPr>
        <w:t xml:space="preserve"> </w:t>
      </w:r>
      <w:r>
        <w:rPr>
          <w:rFonts w:ascii="Cambria" w:hAnsi="Cambria"/>
          <w:sz w:val="24"/>
          <w:szCs w:val="24"/>
        </w:rPr>
        <w:t xml:space="preserve">Immunofluorescence analysis of </w:t>
      </w:r>
      <w:r>
        <w:rPr>
          <w:rFonts w:hint="eastAsia" w:ascii="Cambria" w:hAnsi="Cambria"/>
          <w:sz w:val="24"/>
          <w:szCs w:val="24"/>
        </w:rPr>
        <w:t>EC</w:t>
      </w:r>
      <w:r>
        <w:rPr>
          <w:rFonts w:ascii="Cambria" w:hAnsi="Cambria"/>
          <w:sz w:val="24"/>
          <w:szCs w:val="24"/>
        </w:rPr>
        <w:t xml:space="preserve"> adhesion and junction formation on </w:t>
      </w:r>
      <w:r>
        <w:rPr>
          <w:rFonts w:hint="eastAsia" w:ascii="Cambria" w:hAnsi="Cambria"/>
          <w:sz w:val="24"/>
          <w:szCs w:val="24"/>
        </w:rPr>
        <w:t>TE-</w:t>
      </w:r>
      <w:r>
        <w:rPr>
          <w:rFonts w:ascii="Cambria" w:hAnsi="Cambria"/>
          <w:sz w:val="24"/>
          <w:szCs w:val="24"/>
        </w:rPr>
        <w:t>P tissue sections at 24 h, 72 h, and 120 h after seeding with rat ECs. Panels are arranged from top to bottom as follows: merged image (CD31 in red, CD144 in green, and DAPI in blue), individual channel of CD31 (red, endothelial junction marker), CD144 (green, VE-cadherin, adherens junction protein), and DAPI (blue, nuclear counterstain). Insets show magnified views of the boxed regions, highlighting the progressive formation of cell-cell junctions and nuclear distribution over time.</w:t>
      </w:r>
    </w:p>
    <w:p w14:paraId="5A7D925C">
      <w:pPr>
        <w:jc w:val="center"/>
        <w:rPr>
          <w:rFonts w:ascii="Cambria" w:hAnsi="Cambria"/>
          <w:sz w:val="24"/>
          <w:szCs w:val="24"/>
        </w:rPr>
      </w:pPr>
      <w:r>
        <w:drawing>
          <wp:inline distT="0" distB="0" distL="0" distR="0">
            <wp:extent cx="3283585" cy="4752340"/>
            <wp:effectExtent l="0" t="0" r="0" b="0"/>
            <wp:docPr id="673084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8400"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83585" cy="4752340"/>
                    </a:xfrm>
                    <a:prstGeom prst="rect">
                      <a:avLst/>
                    </a:prstGeom>
                    <a:noFill/>
                    <a:ln>
                      <a:noFill/>
                    </a:ln>
                  </pic:spPr>
                </pic:pic>
              </a:graphicData>
            </a:graphic>
          </wp:inline>
        </w:drawing>
      </w:r>
    </w:p>
    <w:p w14:paraId="192A3A77">
      <w:pPr>
        <w:widowControl/>
        <w:shd w:val="clear" w:color="auto" w:fill="FFFFFF"/>
        <w:spacing w:before="240" w:beforeAutospacing="0" w:after="240" w:line="240" w:lineRule="auto"/>
        <w:jc w:val="both"/>
        <w:rPr>
          <w:rFonts w:ascii="Cambria" w:hAnsi="Cambria" w:eastAsia="宋体" w:cs="Helvetica"/>
          <w:color w:val="2C2C36"/>
          <w:spacing w:val="1"/>
          <w:kern w:val="0"/>
          <w:sz w:val="24"/>
          <w:szCs w:val="24"/>
        </w:rPr>
      </w:pPr>
      <w:r>
        <w:rPr>
          <w:rFonts w:ascii="Cambria" w:hAnsi="Cambria" w:eastAsia="宋体" w:cs="Helvetica"/>
          <w:color w:val="2C2C36"/>
          <w:spacing w:val="1"/>
          <w:kern w:val="0"/>
          <w:sz w:val="24"/>
          <w:szCs w:val="24"/>
        </w:rPr>
        <w:t xml:space="preserve">Figure S7. CD31 and α-SMA immunofluorescence staining in autograft tissue sections at 90 days post-treatment. Panels from top to bottom: merged image (CD31, red; α-SMA, green; DAPI, blue), CD31 (red, endothelial cell marker), α-SMA (green, smooth muscle cell marker), and DAPI (blue, nuclear stain). Insets show magnified views of the boxed areas, highlighting the organization of the endothelium and smooth muscle layer.  </w:t>
      </w:r>
    </w:p>
    <w:p w14:paraId="035F71AF">
      <w:pPr>
        <w:jc w:val="center"/>
        <w:rPr>
          <w:rFonts w:ascii="Cambria" w:hAnsi="Cambria"/>
          <w:sz w:val="24"/>
          <w:szCs w:val="24"/>
        </w:rPr>
      </w:pPr>
      <w:r>
        <w:drawing>
          <wp:inline distT="0" distB="0" distL="0" distR="0">
            <wp:extent cx="3297555" cy="4460875"/>
            <wp:effectExtent l="0" t="0" r="0" b="0"/>
            <wp:docPr id="7210798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79838"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97555" cy="4460875"/>
                    </a:xfrm>
                    <a:prstGeom prst="rect">
                      <a:avLst/>
                    </a:prstGeom>
                    <a:noFill/>
                    <a:ln>
                      <a:noFill/>
                    </a:ln>
                  </pic:spPr>
                </pic:pic>
              </a:graphicData>
            </a:graphic>
          </wp:inline>
        </w:drawing>
      </w:r>
    </w:p>
    <w:p w14:paraId="28F8B6AB">
      <w:pPr>
        <w:widowControl/>
        <w:shd w:val="clear" w:color="auto" w:fill="FFFFFF"/>
        <w:spacing w:before="240" w:beforeAutospacing="0" w:after="240" w:line="240" w:lineRule="auto"/>
        <w:jc w:val="both"/>
        <w:rPr>
          <w:rFonts w:ascii="Cambria" w:hAnsi="Cambria" w:eastAsia="宋体" w:cs="Helvetica"/>
          <w:color w:val="2C2C36"/>
          <w:spacing w:val="1"/>
          <w:kern w:val="0"/>
          <w:sz w:val="24"/>
          <w:szCs w:val="24"/>
        </w:rPr>
      </w:pPr>
      <w:r>
        <w:rPr>
          <w:rFonts w:ascii="Cambria" w:hAnsi="Cambria" w:eastAsia="宋体" w:cs="Helvetica"/>
          <w:color w:val="2C2C36"/>
          <w:spacing w:val="1"/>
          <w:kern w:val="0"/>
          <w:sz w:val="24"/>
          <w:szCs w:val="24"/>
        </w:rPr>
        <w:t>Figure S</w:t>
      </w:r>
      <w:r>
        <w:rPr>
          <w:rFonts w:hint="eastAsia" w:ascii="Cambria" w:hAnsi="Cambria" w:eastAsia="宋体" w:cs="Helvetica"/>
          <w:color w:val="2C2C36"/>
          <w:spacing w:val="1"/>
          <w:kern w:val="0"/>
          <w:sz w:val="24"/>
          <w:szCs w:val="24"/>
        </w:rPr>
        <w:t>8</w:t>
      </w:r>
      <w:r>
        <w:rPr>
          <w:rFonts w:ascii="Cambria" w:hAnsi="Cambria" w:eastAsia="宋体" w:cs="Helvetica"/>
          <w:color w:val="2C2C36"/>
          <w:spacing w:val="1"/>
          <w:kern w:val="0"/>
          <w:sz w:val="24"/>
          <w:szCs w:val="24"/>
        </w:rPr>
        <w:t xml:space="preserve">. CD31 and α-SMA immunofluorescence staining in </w:t>
      </w:r>
      <w:r>
        <w:rPr>
          <w:rFonts w:hint="eastAsia" w:ascii="Cambria" w:hAnsi="Cambria" w:eastAsia="宋体" w:cs="Helvetica"/>
          <w:color w:val="2C2C36"/>
          <w:spacing w:val="1"/>
          <w:kern w:val="0"/>
          <w:sz w:val="24"/>
          <w:szCs w:val="24"/>
        </w:rPr>
        <w:t>ePTFE</w:t>
      </w:r>
      <w:r>
        <w:rPr>
          <w:rFonts w:ascii="Cambria" w:hAnsi="Cambria" w:eastAsia="宋体" w:cs="Helvetica"/>
          <w:color w:val="2C2C36"/>
          <w:spacing w:val="1"/>
          <w:kern w:val="0"/>
          <w:sz w:val="24"/>
          <w:szCs w:val="24"/>
        </w:rPr>
        <w:t xml:space="preserve"> tissue sections at 90 days post-treatment. Panels from top to bottom: merged image (CD31, red; α-SMA, green; DAPI, blue), CD31 (red, endothelial cell marker), α-SMA (green, smooth muscle cell marker), and DAPI (blue, nuclear stain). Insets show magnified views of the boxed areas, highlighting the organization of the endothelium and smooth muscle layer.  </w:t>
      </w:r>
    </w:p>
    <w:p w14:paraId="15AD007F">
      <w:pPr>
        <w:jc w:val="center"/>
        <w:rPr>
          <w:rFonts w:ascii="Cambria" w:hAnsi="Cambria"/>
          <w:sz w:val="24"/>
          <w:szCs w:val="24"/>
        </w:rPr>
      </w:pPr>
      <w:r>
        <w:drawing>
          <wp:inline distT="0" distB="0" distL="0" distR="0">
            <wp:extent cx="3311525" cy="4447540"/>
            <wp:effectExtent l="0" t="0" r="3175" b="0"/>
            <wp:docPr id="10536359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35902"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11525" cy="4447540"/>
                    </a:xfrm>
                    <a:prstGeom prst="rect">
                      <a:avLst/>
                    </a:prstGeom>
                    <a:noFill/>
                    <a:ln>
                      <a:noFill/>
                    </a:ln>
                  </pic:spPr>
                </pic:pic>
              </a:graphicData>
            </a:graphic>
          </wp:inline>
        </w:drawing>
      </w:r>
    </w:p>
    <w:p w14:paraId="05CC2036">
      <w:pPr>
        <w:widowControl/>
        <w:shd w:val="clear" w:color="auto" w:fill="FFFFFF"/>
        <w:spacing w:before="240" w:beforeAutospacing="0" w:after="240" w:line="240" w:lineRule="auto"/>
        <w:jc w:val="both"/>
        <w:rPr>
          <w:rFonts w:ascii="Cambria" w:hAnsi="Cambria" w:eastAsia="宋体" w:cs="Helvetica"/>
          <w:color w:val="2C2C36"/>
          <w:spacing w:val="1"/>
          <w:kern w:val="0"/>
          <w:sz w:val="24"/>
          <w:szCs w:val="24"/>
        </w:rPr>
      </w:pPr>
      <w:r>
        <w:rPr>
          <w:rFonts w:ascii="Cambria" w:hAnsi="Cambria" w:eastAsia="宋体" w:cs="Helvetica"/>
          <w:color w:val="2C2C36"/>
          <w:spacing w:val="1"/>
          <w:kern w:val="0"/>
          <w:sz w:val="24"/>
          <w:szCs w:val="24"/>
        </w:rPr>
        <w:t>Figure S</w:t>
      </w:r>
      <w:r>
        <w:rPr>
          <w:rFonts w:hint="eastAsia" w:ascii="Cambria" w:hAnsi="Cambria" w:eastAsia="宋体" w:cs="Helvetica"/>
          <w:color w:val="2C2C36"/>
          <w:spacing w:val="1"/>
          <w:kern w:val="0"/>
          <w:sz w:val="24"/>
          <w:szCs w:val="24"/>
        </w:rPr>
        <w:t>9</w:t>
      </w:r>
      <w:r>
        <w:rPr>
          <w:rFonts w:ascii="Cambria" w:hAnsi="Cambria" w:eastAsia="宋体" w:cs="Helvetica"/>
          <w:color w:val="2C2C36"/>
          <w:spacing w:val="1"/>
          <w:kern w:val="0"/>
          <w:sz w:val="24"/>
          <w:szCs w:val="24"/>
        </w:rPr>
        <w:t xml:space="preserve">. CD31 and α-SMA immunofluorescence staining in </w:t>
      </w:r>
      <w:r>
        <w:rPr>
          <w:rFonts w:hint="eastAsia" w:ascii="Cambria" w:hAnsi="Cambria" w:eastAsia="宋体" w:cs="Helvetica"/>
          <w:color w:val="2C2C36"/>
          <w:spacing w:val="1"/>
          <w:kern w:val="0"/>
          <w:sz w:val="24"/>
          <w:szCs w:val="24"/>
        </w:rPr>
        <w:t>TE-P</w:t>
      </w:r>
      <w:r>
        <w:rPr>
          <w:rFonts w:ascii="Cambria" w:hAnsi="Cambria" w:eastAsia="宋体" w:cs="Helvetica"/>
          <w:color w:val="2C2C36"/>
          <w:spacing w:val="1"/>
          <w:kern w:val="0"/>
          <w:sz w:val="24"/>
          <w:szCs w:val="24"/>
        </w:rPr>
        <w:t xml:space="preserve"> tissue sections at 90 days post-treatment. Panels from top to bottom: merged image (CD31, red; α-SMA, green; DAPI, blue), CD31 (red, endothelial cell marker), α-SMA (green, smooth muscle cell marker), and DAPI (blue, nuclear stain). Insets show magnified views of the boxed areas, highlighting the organization of the endothelium and smooth muscle layer.  </w:t>
      </w:r>
    </w:p>
    <w:p w14:paraId="677A61B7">
      <w:pPr>
        <w:jc w:val="center"/>
        <w:rPr>
          <w:rFonts w:ascii="Cambria" w:hAnsi="Cambria"/>
          <w:sz w:val="24"/>
          <w:szCs w:val="24"/>
        </w:rPr>
      </w:pPr>
      <w:r>
        <w:drawing>
          <wp:inline distT="0" distB="0" distL="0" distR="0">
            <wp:extent cx="5274310" cy="3728720"/>
            <wp:effectExtent l="0" t="0" r="2540" b="5080"/>
            <wp:docPr id="3536880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88070"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728720"/>
                    </a:xfrm>
                    <a:prstGeom prst="rect">
                      <a:avLst/>
                    </a:prstGeom>
                    <a:noFill/>
                    <a:ln>
                      <a:noFill/>
                    </a:ln>
                  </pic:spPr>
                </pic:pic>
              </a:graphicData>
            </a:graphic>
          </wp:inline>
        </w:drawing>
      </w:r>
    </w:p>
    <w:p w14:paraId="1B73E504">
      <w:pPr>
        <w:jc w:val="both"/>
        <w:rPr>
          <w:rFonts w:ascii="Cambria" w:hAnsi="Cambria" w:cs="Helvetica"/>
          <w:color w:val="2C2C36"/>
          <w:spacing w:val="1"/>
          <w:shd w:val="clear" w:color="auto" w:fill="FFFFFF"/>
        </w:rPr>
      </w:pPr>
      <w:r>
        <w:rPr>
          <w:rStyle w:val="16"/>
          <w:rFonts w:ascii="Cambria" w:hAnsi="Cambria" w:cs="Helvetica"/>
          <w:b w:val="0"/>
          <w:bCs w:val="0"/>
          <w:color w:val="2C2C36"/>
          <w:spacing w:val="1"/>
          <w:shd w:val="clear" w:color="auto" w:fill="FFFFFF"/>
        </w:rPr>
        <w:t>Figure S10.</w:t>
      </w:r>
      <w:r>
        <w:rPr>
          <w:rFonts w:ascii="Cambria" w:hAnsi="Cambria" w:cs="Helvetica"/>
          <w:color w:val="2C2C36"/>
          <w:spacing w:val="1"/>
          <w:shd w:val="clear" w:color="auto" w:fill="FFFFFF"/>
        </w:rPr>
        <w:t xml:space="preserve"> Fluorescence imaging of cell proliferation, apoptosis, and nuclei in autograft and TE-P graft tissue sections at 90 days post-treatment. Images are arranged from left to right: merged image (PCNA in red, TUNEL in green, DAPI in blue), PCNA channel (red, proliferating cells), TUNEL channel (green, apoptotic cells), and DAPI channel (blue, nuclear stain). Insets show magnified views of the boxed regions, highlighting representative areas of cellular activity.</w:t>
      </w:r>
    </w:p>
    <w:p w14:paraId="6AFCA0F4">
      <w:pPr>
        <w:jc w:val="both"/>
        <w:rPr>
          <w:rFonts w:ascii="Cambria" w:hAnsi="Cambria"/>
          <w:sz w:val="24"/>
          <w:szCs w:val="24"/>
        </w:rPr>
      </w:pPr>
      <w:r>
        <w:drawing>
          <wp:inline distT="0" distB="0" distL="0" distR="0">
            <wp:extent cx="5274310" cy="6767195"/>
            <wp:effectExtent l="0" t="0" r="2540" b="0"/>
            <wp:docPr id="7058418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41830"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6767195"/>
                    </a:xfrm>
                    <a:prstGeom prst="rect">
                      <a:avLst/>
                    </a:prstGeom>
                    <a:noFill/>
                    <a:ln>
                      <a:noFill/>
                    </a:ln>
                  </pic:spPr>
                </pic:pic>
              </a:graphicData>
            </a:graphic>
          </wp:inline>
        </w:drawing>
      </w:r>
    </w:p>
    <w:p w14:paraId="05EC8BD3">
      <w:pPr>
        <w:jc w:val="both"/>
        <w:rPr>
          <w:rFonts w:ascii="Cambria" w:hAnsi="Cambria" w:cs="Helvetica"/>
          <w:color w:val="2C2C36"/>
          <w:spacing w:val="1"/>
          <w:shd w:val="clear" w:color="auto" w:fill="FFFFFF"/>
        </w:rPr>
      </w:pPr>
      <w:r>
        <w:rPr>
          <w:rStyle w:val="16"/>
          <w:rFonts w:ascii="Cambria" w:hAnsi="Cambria" w:cs="Helvetica"/>
          <w:b w:val="0"/>
          <w:bCs w:val="0"/>
          <w:color w:val="2C2C36"/>
          <w:spacing w:val="1"/>
          <w:shd w:val="clear" w:color="auto" w:fill="FFFFFF"/>
        </w:rPr>
        <w:t>Figure S11.</w:t>
      </w:r>
      <w:r>
        <w:rPr>
          <w:rFonts w:ascii="Cambria" w:hAnsi="Cambria" w:cs="Helvetica"/>
          <w:b/>
          <w:bCs/>
          <w:color w:val="2C2C36"/>
          <w:spacing w:val="1"/>
          <w:shd w:val="clear" w:color="auto" w:fill="FFFFFF"/>
        </w:rPr>
        <w:t xml:space="preserve"> </w:t>
      </w:r>
      <w:r>
        <w:rPr>
          <w:rFonts w:ascii="Cambria" w:hAnsi="Cambria" w:cs="Helvetica"/>
          <w:color w:val="2C2C36"/>
          <w:spacing w:val="1"/>
          <w:shd w:val="clear" w:color="auto" w:fill="FFFFFF"/>
        </w:rPr>
        <w:t>Immunofluorescence staining of pro-inflammatory (labeled with CD86) and anti-inflammatory (labeled with CD206) macrophages in tissue sections of autografts at 90 days post-treatment. Panels are arranged from top to bottom as follows: merged image (CD86 in red, CD206 in green, and DAPI in blue), CD86 channel (red, pro-inflammatory macrophages), CD206 channel (green, anti-inflammatory macrophages), and DAPI channel (blue, nuclear stain). Insets show magnified views of the boxed regions, highlighting the distribution and co-localization of macrophage subtypes.</w:t>
      </w:r>
    </w:p>
    <w:p w14:paraId="26B03D9E">
      <w:pPr>
        <w:jc w:val="both"/>
        <w:rPr>
          <w:rFonts w:ascii="Cambria" w:hAnsi="Cambria"/>
          <w:sz w:val="24"/>
          <w:szCs w:val="24"/>
        </w:rPr>
      </w:pPr>
      <w:r>
        <w:drawing>
          <wp:inline distT="0" distB="0" distL="0" distR="0">
            <wp:extent cx="5274310" cy="6680200"/>
            <wp:effectExtent l="0" t="0" r="2540" b="6350"/>
            <wp:docPr id="15218045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04561"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6680200"/>
                    </a:xfrm>
                    <a:prstGeom prst="rect">
                      <a:avLst/>
                    </a:prstGeom>
                    <a:noFill/>
                    <a:ln>
                      <a:noFill/>
                    </a:ln>
                  </pic:spPr>
                </pic:pic>
              </a:graphicData>
            </a:graphic>
          </wp:inline>
        </w:drawing>
      </w:r>
    </w:p>
    <w:p w14:paraId="0CC23241">
      <w:pPr>
        <w:jc w:val="both"/>
        <w:rPr>
          <w:rFonts w:ascii="Cambria" w:hAnsi="Cambria" w:cs="Helvetica"/>
          <w:color w:val="2C2C36"/>
          <w:spacing w:val="1"/>
          <w:shd w:val="clear" w:color="auto" w:fill="FFFFFF"/>
        </w:rPr>
      </w:pPr>
      <w:r>
        <w:rPr>
          <w:rStyle w:val="16"/>
          <w:rFonts w:ascii="Cambria" w:hAnsi="Cambria" w:cs="Helvetica"/>
          <w:b w:val="0"/>
          <w:bCs w:val="0"/>
          <w:color w:val="2C2C36"/>
          <w:spacing w:val="1"/>
          <w:shd w:val="clear" w:color="auto" w:fill="FFFFFF"/>
        </w:rPr>
        <w:t>Figure S1</w:t>
      </w:r>
      <w:r>
        <w:rPr>
          <w:rStyle w:val="16"/>
          <w:rFonts w:hint="eastAsia" w:ascii="Cambria" w:hAnsi="Cambria" w:cs="Helvetica"/>
          <w:b w:val="0"/>
          <w:bCs w:val="0"/>
          <w:color w:val="2C2C36"/>
          <w:spacing w:val="1"/>
          <w:shd w:val="clear" w:color="auto" w:fill="FFFFFF"/>
        </w:rPr>
        <w:t>2</w:t>
      </w:r>
      <w:r>
        <w:rPr>
          <w:rStyle w:val="16"/>
          <w:rFonts w:ascii="Cambria" w:hAnsi="Cambria" w:cs="Helvetica"/>
          <w:b w:val="0"/>
          <w:bCs w:val="0"/>
          <w:color w:val="2C2C36"/>
          <w:spacing w:val="1"/>
          <w:shd w:val="clear" w:color="auto" w:fill="FFFFFF"/>
        </w:rPr>
        <w:t>.</w:t>
      </w:r>
      <w:r>
        <w:rPr>
          <w:rFonts w:ascii="Cambria" w:hAnsi="Cambria" w:cs="Helvetica"/>
          <w:b/>
          <w:bCs/>
          <w:color w:val="2C2C36"/>
          <w:spacing w:val="1"/>
          <w:shd w:val="clear" w:color="auto" w:fill="FFFFFF"/>
        </w:rPr>
        <w:t xml:space="preserve"> </w:t>
      </w:r>
      <w:r>
        <w:rPr>
          <w:rFonts w:ascii="Cambria" w:hAnsi="Cambria" w:cs="Helvetica"/>
          <w:color w:val="2C2C36"/>
          <w:spacing w:val="1"/>
          <w:shd w:val="clear" w:color="auto" w:fill="FFFFFF"/>
        </w:rPr>
        <w:t xml:space="preserve">Immunofluorescence staining of pro-inflammatory (labeled with CD86) and anti-inflammatory (labeled with CD206) macrophages in tissue sections of </w:t>
      </w:r>
      <w:r>
        <w:rPr>
          <w:rFonts w:hint="eastAsia" w:ascii="Cambria" w:hAnsi="Cambria" w:cs="Helvetica"/>
          <w:color w:val="2C2C36"/>
          <w:spacing w:val="1"/>
          <w:shd w:val="clear" w:color="auto" w:fill="FFFFFF"/>
        </w:rPr>
        <w:t>TE-P</w:t>
      </w:r>
      <w:r>
        <w:rPr>
          <w:rFonts w:ascii="Cambria" w:hAnsi="Cambria" w:cs="Helvetica"/>
          <w:color w:val="2C2C36"/>
          <w:spacing w:val="1"/>
          <w:shd w:val="clear" w:color="auto" w:fill="FFFFFF"/>
        </w:rPr>
        <w:t>s at 90 days post-treatment. Panels are arranged from top to bottom as follows: merged image (CD86 in red, CD206 in green, and DAPI in blue), CD86 channel (red, pro-inflammatory macrophages), CD206 channel (green, anti-inflammatory macrophages), and DAPI channel (blue, nuclear stain). Insets show magnified views of the boxed regions, highlighting the distribution and co-localization of macrophage subtypes.</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245"/>
    <w:rsid w:val="00000EFE"/>
    <w:rsid w:val="0002262B"/>
    <w:rsid w:val="00053210"/>
    <w:rsid w:val="002C1757"/>
    <w:rsid w:val="002C31B9"/>
    <w:rsid w:val="002E67BF"/>
    <w:rsid w:val="00712A13"/>
    <w:rsid w:val="0071676B"/>
    <w:rsid w:val="007B15EF"/>
    <w:rsid w:val="007D34D4"/>
    <w:rsid w:val="00887AAC"/>
    <w:rsid w:val="008A29A3"/>
    <w:rsid w:val="009D54B7"/>
    <w:rsid w:val="00A84FE3"/>
    <w:rsid w:val="00B834DD"/>
    <w:rsid w:val="00BA49DE"/>
    <w:rsid w:val="00BA7198"/>
    <w:rsid w:val="00BD570E"/>
    <w:rsid w:val="00C2195C"/>
    <w:rsid w:val="00D15513"/>
    <w:rsid w:val="00D3478A"/>
    <w:rsid w:val="00E13245"/>
    <w:rsid w:val="00F62DBA"/>
    <w:rsid w:val="00FA5BCC"/>
    <w:rsid w:val="3B0D3A96"/>
    <w:rsid w:val="66777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Autospacing="1" w:after="160" w:line="276" w:lineRule="auto"/>
    </w:pPr>
    <w:rPr>
      <w:rFonts w:ascii="等线" w:hAnsi="等线" w:eastAsia="等线" w:cs="Times New Roman"/>
      <w:kern w:val="2"/>
      <w:sz w:val="22"/>
      <w:szCs w:val="22"/>
      <w:lang w:val="en-US" w:eastAsia="zh-CN" w:bidi="ar-SA"/>
      <w14:ligatures w14:val="none"/>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4"/>
    <w:semiHidden/>
    <w:unhideWhenUsed/>
    <w:qFormat/>
    <w:uiPriority w:val="9"/>
    <w:pPr>
      <w:keepNext/>
      <w:keepLines/>
      <w:spacing w:before="40" w:after="0"/>
      <w:outlineLvl w:val="5"/>
    </w:pPr>
    <w:rPr>
      <w:rFonts w:cstheme="majorBidi"/>
      <w:b/>
      <w:bCs/>
      <w:color w:val="2F5597" w:themeColor="accent1" w:themeShade="BF"/>
    </w:rPr>
  </w:style>
  <w:style w:type="paragraph" w:styleId="8">
    <w:name w:val="heading 7"/>
    <w:basedOn w:val="1"/>
    <w:next w:val="1"/>
    <w:link w:val="25"/>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5">
    <w:name w:val="Default Paragraph Font"/>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Subtitle"/>
    <w:basedOn w:val="1"/>
    <w:next w:val="1"/>
    <w:link w:val="29"/>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footnote text"/>
    <w:basedOn w:val="1"/>
    <w:link w:val="37"/>
    <w:semiHidden/>
    <w:unhideWhenUsed/>
    <w:qFormat/>
    <w:uiPriority w:val="99"/>
    <w:pPr>
      <w:widowControl/>
      <w:tabs>
        <w:tab w:val="left" w:pos="567"/>
        <w:tab w:val="center" w:pos="4536"/>
        <w:tab w:val="right" w:pos="9072"/>
      </w:tabs>
      <w:snapToGrid w:val="0"/>
      <w:spacing w:before="0" w:beforeAutospacing="0" w:after="200" w:line="360" w:lineRule="auto"/>
      <w:ind w:left="284" w:hanging="284"/>
    </w:pPr>
    <w:rPr>
      <w:rFonts w:asciiTheme="minorHAnsi" w:hAnsiTheme="minorHAnsi" w:eastAsiaTheme="minorEastAsia" w:cstheme="minorBidi"/>
      <w:kern w:val="0"/>
      <w:sz w:val="18"/>
      <w:szCs w:val="18"/>
      <w:lang w:val="de-DE"/>
    </w:rPr>
  </w:style>
  <w:style w:type="paragraph" w:styleId="13">
    <w:name w:val="Title"/>
    <w:basedOn w:val="1"/>
    <w:next w:val="1"/>
    <w:link w:val="28"/>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styleId="16">
    <w:name w:val="Strong"/>
    <w:basedOn w:val="15"/>
    <w:qFormat/>
    <w:uiPriority w:val="22"/>
    <w:rPr>
      <w:b/>
      <w:bCs/>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styleId="18">
    <w:name w:val="footnote reference"/>
    <w:basedOn w:val="15"/>
    <w:semiHidden/>
    <w:unhideWhenUsed/>
    <w:qFormat/>
    <w:uiPriority w:val="99"/>
    <w:rPr>
      <w:vertAlign w:val="superscript"/>
    </w:rPr>
  </w:style>
  <w:style w:type="character" w:customStyle="1" w:styleId="19">
    <w:name w:val="标题 1 字符"/>
    <w:basedOn w:val="15"/>
    <w:link w:val="2"/>
    <w:qFormat/>
    <w:uiPriority w:val="9"/>
    <w:rPr>
      <w:rFonts w:asciiTheme="majorHAnsi" w:hAnsiTheme="majorHAnsi" w:eastAsiaTheme="majorEastAsia" w:cstheme="majorBidi"/>
      <w:color w:val="2F5597" w:themeColor="accent1" w:themeShade="BF"/>
      <w:sz w:val="48"/>
      <w:szCs w:val="48"/>
    </w:rPr>
  </w:style>
  <w:style w:type="character" w:customStyle="1" w:styleId="20">
    <w:name w:val="标题 2 字符"/>
    <w:basedOn w:val="15"/>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1">
    <w:name w:val="标题 3 字符"/>
    <w:basedOn w:val="15"/>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2">
    <w:name w:val="标题 4 字符"/>
    <w:basedOn w:val="15"/>
    <w:link w:val="5"/>
    <w:semiHidden/>
    <w:qFormat/>
    <w:uiPriority w:val="9"/>
    <w:rPr>
      <w:rFonts w:cstheme="majorBidi"/>
      <w:color w:val="2F5597" w:themeColor="accent1" w:themeShade="BF"/>
      <w:sz w:val="28"/>
      <w:szCs w:val="28"/>
    </w:rPr>
  </w:style>
  <w:style w:type="character" w:customStyle="1" w:styleId="23">
    <w:name w:val="标题 5 字符"/>
    <w:basedOn w:val="15"/>
    <w:link w:val="6"/>
    <w:semiHidden/>
    <w:qFormat/>
    <w:uiPriority w:val="9"/>
    <w:rPr>
      <w:rFonts w:cstheme="majorBidi"/>
      <w:color w:val="2F5597" w:themeColor="accent1" w:themeShade="BF"/>
      <w:sz w:val="24"/>
    </w:rPr>
  </w:style>
  <w:style w:type="character" w:customStyle="1" w:styleId="24">
    <w:name w:val="标题 6 字符"/>
    <w:basedOn w:val="15"/>
    <w:link w:val="7"/>
    <w:semiHidden/>
    <w:qFormat/>
    <w:uiPriority w:val="9"/>
    <w:rPr>
      <w:rFonts w:cstheme="majorBidi"/>
      <w:b/>
      <w:bCs/>
      <w:color w:val="2F5597" w:themeColor="accent1" w:themeShade="BF"/>
    </w:rPr>
  </w:style>
  <w:style w:type="character" w:customStyle="1" w:styleId="25">
    <w:name w:val="标题 7 字符"/>
    <w:basedOn w:val="15"/>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5"/>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5"/>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5"/>
    <w:link w:val="13"/>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5"/>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5"/>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5"/>
    <w:qFormat/>
    <w:uiPriority w:val="21"/>
    <w:rPr>
      <w:i/>
      <w:iCs/>
      <w:color w:val="2F5597" w:themeColor="accent1" w:themeShade="BF"/>
    </w:rPr>
  </w:style>
  <w:style w:type="paragraph" w:styleId="34">
    <w:name w:val="Intense Quote"/>
    <w:basedOn w:val="1"/>
    <w:next w:val="1"/>
    <w:link w:val="35"/>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5">
    <w:name w:val="明显引用 字符"/>
    <w:basedOn w:val="15"/>
    <w:link w:val="34"/>
    <w:qFormat/>
    <w:uiPriority w:val="30"/>
    <w:rPr>
      <w:i/>
      <w:iCs/>
      <w:color w:val="2F5597" w:themeColor="accent1" w:themeShade="BF"/>
    </w:rPr>
  </w:style>
  <w:style w:type="character" w:customStyle="1" w:styleId="36">
    <w:name w:val="Intense Reference"/>
    <w:basedOn w:val="15"/>
    <w:qFormat/>
    <w:uiPriority w:val="32"/>
    <w:rPr>
      <w:b/>
      <w:bCs/>
      <w:smallCaps/>
      <w:color w:val="2F5597" w:themeColor="accent1" w:themeShade="BF"/>
      <w:spacing w:val="5"/>
    </w:rPr>
  </w:style>
  <w:style w:type="character" w:customStyle="1" w:styleId="37">
    <w:name w:val="脚注文本 字符"/>
    <w:basedOn w:val="15"/>
    <w:link w:val="12"/>
    <w:semiHidden/>
    <w:qFormat/>
    <w:uiPriority w:val="99"/>
    <w:rPr>
      <w:kern w:val="0"/>
      <w:sz w:val="18"/>
      <w:szCs w:val="18"/>
      <w:lang w:val="de-DE"/>
      <w14:ligatures w14:val="none"/>
    </w:r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media/image3.pn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microsoft.com/office/2007/relationships/hdphoto" Target="media/image8.wdp"/><Relationship Id="rId12" Type="http://schemas.openxmlformats.org/officeDocument/2006/relationships/image" Target="media/image7.png"/><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23710-A05E-4CD9-A51A-3F8F37C360AC}">
  <ds:schemaRefs/>
</ds:datastoreItem>
</file>

<file path=docProps/app.xml><?xml version="1.0" encoding="utf-8"?>
<Properties xmlns="http://schemas.openxmlformats.org/officeDocument/2006/extended-properties" xmlns:vt="http://schemas.openxmlformats.org/officeDocument/2006/docPropsVTypes">
  <Template>Normal</Template>
  <Pages>14</Pages>
  <Words>841</Words>
  <Characters>4973</Characters>
  <Lines>75</Lines>
  <Paragraphs>14</Paragraphs>
  <TotalTime>90</TotalTime>
  <ScaleCrop>false</ScaleCrop>
  <LinksUpToDate>false</LinksUpToDate>
  <CharactersWithSpaces>5804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2025-08-14T08:13:00Z</dcterms:created>
  <dc:creator>Yuqing Niu</dc:creator>
  <cp:lastModifiedBy>cici</cp:lastModifiedBy>
  <dcterms:modified xsi:type="dcterms:W3CDTF">2025-09-02T07:25:10Z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1F322087BC874B28B5EE628DE01E34B7_13</vt:lpwstr>
  </property>
  <property fmtid="{D5CDD505-2E9C-101B-9397-08002B2CF9AE}" pid="4" name="KSOTemplateDocerSaveRecord">
    <vt:lpwstr>eyJoZGlkIjoiMzEwNTM5NzYwMDRjMzkwZTVkZjY2ODkwMGIxNGU0OTUiLCJ1c2VySWQiOiI1OTQ1NDE4NzEifQ==</vt:lpwstr>
  </property>
</Properties>
</file>