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FEA3" w14:textId="6BB3EE47" w:rsidR="00787876" w:rsidRPr="00B602D3" w:rsidRDefault="00127BAE" w:rsidP="00EC37C0">
      <w:pPr>
        <w:rPr>
          <w:sz w:val="22"/>
          <w:szCs w:val="22"/>
        </w:rPr>
      </w:pPr>
      <w:r w:rsidRPr="00B602D3">
        <w:rPr>
          <w:sz w:val="22"/>
          <w:szCs w:val="22"/>
        </w:rPr>
        <w:t xml:space="preserve">Supplementary information </w:t>
      </w:r>
      <w:r w:rsidR="002C4942" w:rsidRPr="00B602D3">
        <w:rPr>
          <w:sz w:val="22"/>
          <w:szCs w:val="22"/>
        </w:rPr>
        <w:t>- Evaluating the impact of capitation funding top-up payments in primary care</w:t>
      </w:r>
    </w:p>
    <w:p w14:paraId="10A11A4E" w14:textId="119C1727" w:rsidR="002238A6" w:rsidRPr="00B602D3" w:rsidRDefault="002238A6" w:rsidP="00351B74">
      <w:pPr>
        <w:pStyle w:val="Heading3"/>
        <w:rPr>
          <w:sz w:val="22"/>
          <w:szCs w:val="22"/>
        </w:rPr>
      </w:pPr>
      <w:r w:rsidRPr="00B602D3">
        <w:rPr>
          <w:sz w:val="22"/>
          <w:szCs w:val="22"/>
        </w:rPr>
        <w:t>Introduction</w:t>
      </w:r>
    </w:p>
    <w:p w14:paraId="6D0CC297" w14:textId="30ECA8B4" w:rsidR="002238A6" w:rsidRPr="00B602D3" w:rsidRDefault="002238A6" w:rsidP="008B36C9">
      <w:pPr>
        <w:pStyle w:val="BodyTHF"/>
        <w:rPr>
          <w:szCs w:val="22"/>
        </w:rPr>
      </w:pPr>
      <w:r w:rsidRPr="00B602D3">
        <w:rPr>
          <w:szCs w:val="22"/>
        </w:rPr>
        <w:t>Table S</w:t>
      </w:r>
      <w:r w:rsidR="00E57C3B" w:rsidRPr="00B602D3">
        <w:rPr>
          <w:szCs w:val="22"/>
        </w:rPr>
        <w:t>1</w:t>
      </w:r>
      <w:r w:rsidRPr="00B602D3">
        <w:rPr>
          <w:szCs w:val="22"/>
        </w:rPr>
        <w:t xml:space="preserve"> – details of </w:t>
      </w:r>
      <w:r w:rsidR="00346193" w:rsidRPr="00B602D3">
        <w:rPr>
          <w:szCs w:val="22"/>
        </w:rPr>
        <w:t xml:space="preserve">funding sources and </w:t>
      </w:r>
      <w:r w:rsidR="005F1966" w:rsidRPr="00B602D3">
        <w:rPr>
          <w:szCs w:val="22"/>
        </w:rPr>
        <w:t>weighting</w:t>
      </w:r>
      <w:r w:rsidR="00346193" w:rsidRPr="00B602D3">
        <w:rPr>
          <w:szCs w:val="22"/>
        </w:rPr>
        <w:t xml:space="preserve"> of workload measures in the LLR funding formula.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8"/>
        <w:gridCol w:w="2182"/>
        <w:gridCol w:w="2853"/>
        <w:gridCol w:w="1767"/>
      </w:tblGrid>
      <w:tr w:rsidR="002C0EF7" w:rsidRPr="00B602D3" w14:paraId="07735651" w14:textId="77777777" w:rsidTr="00541274">
        <w:trPr>
          <w:trHeight w:val="624"/>
        </w:trPr>
        <w:tc>
          <w:tcPr>
            <w:tcW w:w="2208" w:type="dxa"/>
          </w:tcPr>
          <w:p w14:paraId="184384B3" w14:textId="77777777" w:rsidR="002C0EF7" w:rsidRPr="00B602D3" w:rsidRDefault="002C0EF7" w:rsidP="00FB584C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b/>
                <w:bCs/>
                <w:color w:val="201F1E"/>
                <w:sz w:val="22"/>
                <w:szCs w:val="22"/>
                <w:bdr w:val="none" w:sz="0" w:space="0" w:color="auto" w:frame="1"/>
              </w:rPr>
            </w:pPr>
            <w:r w:rsidRPr="00B602D3">
              <w:rPr>
                <w:rFonts w:asciiTheme="minorHAnsi" w:hAnsiTheme="minorHAnsi" w:cstheme="minorHAnsi"/>
                <w:b/>
                <w:bCs/>
                <w:color w:val="201F1E"/>
                <w:sz w:val="22"/>
                <w:szCs w:val="22"/>
                <w:bdr w:val="none" w:sz="0" w:space="0" w:color="auto" w:frame="1"/>
              </w:rPr>
              <w:t>Scope of Formula</w:t>
            </w:r>
          </w:p>
        </w:tc>
        <w:tc>
          <w:tcPr>
            <w:tcW w:w="2182" w:type="dxa"/>
          </w:tcPr>
          <w:p w14:paraId="71467FBF" w14:textId="77777777" w:rsidR="002C0EF7" w:rsidRPr="00B602D3" w:rsidRDefault="002C0EF7" w:rsidP="00FB584C">
            <w:pPr>
              <w:pStyle w:val="NormalWeb"/>
              <w:spacing w:before="0" w:beforeAutospacing="0" w:after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  <w:r w:rsidRPr="00B602D3">
              <w:rPr>
                <w:rFonts w:asciiTheme="minorHAnsi" w:hAnsiTheme="minorHAnsi" w:cstheme="minorHAnsi"/>
                <w:b/>
                <w:bCs/>
                <w:color w:val="201F1E"/>
                <w:sz w:val="22"/>
                <w:szCs w:val="22"/>
                <w:bdr w:val="none" w:sz="0" w:space="0" w:color="auto" w:frame="1"/>
              </w:rPr>
              <w:t>Components of Formula</w:t>
            </w:r>
          </w:p>
        </w:tc>
        <w:tc>
          <w:tcPr>
            <w:tcW w:w="2853" w:type="dxa"/>
          </w:tcPr>
          <w:p w14:paraId="389FAF7C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b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Component Description</w:t>
            </w:r>
          </w:p>
        </w:tc>
        <w:tc>
          <w:tcPr>
            <w:tcW w:w="1767" w:type="dxa"/>
          </w:tcPr>
          <w:p w14:paraId="611BED81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b/>
                <w:bCs/>
                <w:color w:val="201F1E"/>
                <w:sz w:val="22"/>
                <w:szCs w:val="22"/>
                <w:bdr w:val="none" w:sz="0" w:space="0" w:color="auto" w:frame="1"/>
                <w:shd w:val="clear" w:color="auto" w:fill="FFFFFF"/>
              </w:rPr>
              <w:t>% Distribution</w:t>
            </w:r>
          </w:p>
        </w:tc>
      </w:tr>
      <w:tr w:rsidR="002C0EF7" w:rsidRPr="00B602D3" w14:paraId="4C75E958" w14:textId="77777777" w:rsidTr="00541274">
        <w:trPr>
          <w:trHeight w:val="624"/>
        </w:trPr>
        <w:tc>
          <w:tcPr>
            <w:tcW w:w="2208" w:type="dxa"/>
            <w:vMerge w:val="restart"/>
          </w:tcPr>
          <w:p w14:paraId="6EC31CD7" w14:textId="77777777" w:rsidR="002C0EF7" w:rsidRPr="00B602D3" w:rsidRDefault="002C0EF7" w:rsidP="00E0080A">
            <w:pPr>
              <w:spacing w:after="0"/>
              <w:rPr>
                <w:rFonts w:cstheme="minorHAnsi"/>
                <w:b/>
                <w:bCs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b/>
                <w:bCs/>
                <w:color w:val="201F1E"/>
                <w:sz w:val="22"/>
                <w:szCs w:val="22"/>
                <w:shd w:val="clear" w:color="auto" w:fill="FFFFFF"/>
              </w:rPr>
              <w:t>In scope</w:t>
            </w:r>
          </w:p>
          <w:p w14:paraId="4E3665E1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Global sum</w:t>
            </w:r>
          </w:p>
          <w:p w14:paraId="17EF59A8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CCG discretionary</w:t>
            </w:r>
          </w:p>
          <w:p w14:paraId="544F519B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Local enhanced services</w:t>
            </w:r>
          </w:p>
          <w:p w14:paraId="01FA7D68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Prescribing incentive Scheme</w:t>
            </w:r>
          </w:p>
          <w:p w14:paraId="01A9A6F2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Miscellaneous</w:t>
            </w:r>
          </w:p>
        </w:tc>
        <w:tc>
          <w:tcPr>
            <w:tcW w:w="2182" w:type="dxa"/>
          </w:tcPr>
          <w:p w14:paraId="6476532D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Core funding component</w:t>
            </w:r>
          </w:p>
        </w:tc>
        <w:tc>
          <w:tcPr>
            <w:tcW w:w="2853" w:type="dxa"/>
          </w:tcPr>
          <w:p w14:paraId="2A61DE34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A fixed sum of 48% of a practice’s existing Carr-Hill Global Sum</w:t>
            </w:r>
          </w:p>
        </w:tc>
        <w:tc>
          <w:tcPr>
            <w:tcW w:w="1767" w:type="dxa"/>
          </w:tcPr>
          <w:p w14:paraId="0796371A" w14:textId="77777777" w:rsidR="002C0EF7" w:rsidRPr="00B602D3" w:rsidRDefault="002C0EF7" w:rsidP="0092655C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41.2% of in scope</w:t>
            </w:r>
          </w:p>
          <w:p w14:paraId="28CC9B7E" w14:textId="77777777" w:rsidR="002C0EF7" w:rsidRPr="00B602D3" w:rsidRDefault="002C0EF7" w:rsidP="0092655C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 xml:space="preserve">(27.1% of in + out of scope) </w:t>
            </w:r>
          </w:p>
        </w:tc>
      </w:tr>
      <w:tr w:rsidR="002C0EF7" w:rsidRPr="00B602D3" w14:paraId="12FEAB22" w14:textId="77777777" w:rsidTr="00541274">
        <w:trPr>
          <w:trHeight w:val="624"/>
        </w:trPr>
        <w:tc>
          <w:tcPr>
            <w:tcW w:w="2208" w:type="dxa"/>
            <w:vMerge/>
          </w:tcPr>
          <w:p w14:paraId="6285B420" w14:textId="77777777" w:rsidR="002C0EF7" w:rsidRPr="00B602D3" w:rsidRDefault="002C0EF7" w:rsidP="00FB584C">
            <w:pPr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2" w:type="dxa"/>
          </w:tcPr>
          <w:p w14:paraId="3E5C23B0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proofErr w:type="gramStart"/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Needs</w:t>
            </w:r>
            <w:proofErr w:type="gramEnd"/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-based funding component</w:t>
            </w:r>
          </w:p>
        </w:tc>
        <w:tc>
          <w:tcPr>
            <w:tcW w:w="2853" w:type="dxa"/>
          </w:tcPr>
          <w:p w14:paraId="6FD1FEA3" w14:textId="77777777" w:rsidR="002C0EF7" w:rsidRPr="00B602D3" w:rsidRDefault="002C0EF7" w:rsidP="00FB584C">
            <w:pPr>
              <w:numPr>
                <w:ilvl w:val="0"/>
                <w:numId w:val="18"/>
              </w:numPr>
              <w:shd w:val="clear" w:color="auto" w:fill="FFFFFF"/>
              <w:spacing w:after="0"/>
              <w:ind w:left="360"/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</w:pPr>
            <w:r w:rsidRPr="00B602D3"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  <w:t>Case mix adjusted, coding adjusted expected relative service activity, then</w:t>
            </w:r>
          </w:p>
          <w:p w14:paraId="66229C0A" w14:textId="77777777" w:rsidR="002C0EF7" w:rsidRPr="00B602D3" w:rsidRDefault="002C0EF7" w:rsidP="00FB584C">
            <w:pPr>
              <w:numPr>
                <w:ilvl w:val="0"/>
                <w:numId w:val="18"/>
              </w:numPr>
              <w:shd w:val="clear" w:color="auto" w:fill="FFFFFF"/>
              <w:spacing w:after="0"/>
              <w:ind w:left="360"/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</w:pPr>
            <w:r w:rsidRPr="00B602D3"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  <w:t>Further adjustment for patient turnover, then</w:t>
            </w:r>
          </w:p>
          <w:p w14:paraId="58C909F7" w14:textId="77777777" w:rsidR="002C0EF7" w:rsidRPr="00B602D3" w:rsidRDefault="002C0EF7" w:rsidP="00FB584C">
            <w:pPr>
              <w:numPr>
                <w:ilvl w:val="0"/>
                <w:numId w:val="18"/>
              </w:numPr>
              <w:shd w:val="clear" w:color="auto" w:fill="FFFFFF"/>
              <w:spacing w:after="0"/>
              <w:ind w:left="360"/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</w:pPr>
            <w:r w:rsidRPr="00B602D3">
              <w:rPr>
                <w:rFonts w:eastAsia="Times New Roman" w:cstheme="minorHAnsi"/>
                <w:color w:val="201F1E"/>
                <w:sz w:val="22"/>
                <w:szCs w:val="22"/>
                <w:lang w:eastAsia="en-GB"/>
              </w:rPr>
              <w:t>Further communications adjustment</w:t>
            </w:r>
          </w:p>
        </w:tc>
        <w:tc>
          <w:tcPr>
            <w:tcW w:w="1767" w:type="dxa"/>
          </w:tcPr>
          <w:p w14:paraId="33903CDF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52.9% of in scope</w:t>
            </w:r>
          </w:p>
          <w:p w14:paraId="3F7BFF51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(34.8% of in + out of scope)</w:t>
            </w:r>
          </w:p>
        </w:tc>
      </w:tr>
      <w:tr w:rsidR="002C0EF7" w:rsidRPr="00B602D3" w14:paraId="12FCC549" w14:textId="77777777" w:rsidTr="00541274">
        <w:trPr>
          <w:trHeight w:val="624"/>
        </w:trPr>
        <w:tc>
          <w:tcPr>
            <w:tcW w:w="2208" w:type="dxa"/>
            <w:vMerge/>
          </w:tcPr>
          <w:p w14:paraId="4EF7EF9F" w14:textId="77777777" w:rsidR="002C0EF7" w:rsidRPr="00B602D3" w:rsidRDefault="002C0EF7" w:rsidP="00FB584C">
            <w:pPr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82" w:type="dxa"/>
          </w:tcPr>
          <w:p w14:paraId="18B0906A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Deprivation component</w:t>
            </w:r>
          </w:p>
        </w:tc>
        <w:tc>
          <w:tcPr>
            <w:tcW w:w="2853" w:type="dxa"/>
          </w:tcPr>
          <w:p w14:paraId="48A0EA54" w14:textId="77777777" w:rsidR="002C0EF7" w:rsidRPr="00B602D3" w:rsidRDefault="002C0EF7" w:rsidP="00FD5C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Based on practice level Index of Multiple Deprivation derived from postal code areas of registered patients</w:t>
            </w:r>
          </w:p>
        </w:tc>
        <w:tc>
          <w:tcPr>
            <w:tcW w:w="1767" w:type="dxa"/>
          </w:tcPr>
          <w:p w14:paraId="604A7EB7" w14:textId="77777777" w:rsidR="002C0EF7" w:rsidRPr="00B602D3" w:rsidRDefault="002C0EF7" w:rsidP="00FD5C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5.9% of in scope</w:t>
            </w:r>
          </w:p>
          <w:p w14:paraId="24EC2965" w14:textId="77777777" w:rsidR="002C0EF7" w:rsidRPr="00B602D3" w:rsidRDefault="002C0EF7" w:rsidP="00FD5C2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(3.8% of in + out of scope)</w:t>
            </w:r>
          </w:p>
        </w:tc>
      </w:tr>
      <w:tr w:rsidR="002C0EF7" w:rsidRPr="00B602D3" w14:paraId="11A97055" w14:textId="77777777" w:rsidTr="00541274">
        <w:trPr>
          <w:trHeight w:val="624"/>
        </w:trPr>
        <w:tc>
          <w:tcPr>
            <w:tcW w:w="2208" w:type="dxa"/>
          </w:tcPr>
          <w:p w14:paraId="062940D6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b/>
                <w:bCs/>
                <w:color w:val="201F1E"/>
                <w:sz w:val="22"/>
                <w:szCs w:val="22"/>
                <w:shd w:val="clear" w:color="auto" w:fill="FFFFFF"/>
              </w:rPr>
              <w:t>Out of scope</w:t>
            </w: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77A917DF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QOF income</w:t>
            </w:r>
          </w:p>
          <w:p w14:paraId="2D05C6D1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DES</w:t>
            </w:r>
          </w:p>
          <w:p w14:paraId="51A8FCB1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Primary Care Network</w:t>
            </w:r>
          </w:p>
        </w:tc>
        <w:tc>
          <w:tcPr>
            <w:tcW w:w="2182" w:type="dxa"/>
          </w:tcPr>
          <w:p w14:paraId="5AF2F80D" w14:textId="77777777" w:rsidR="002C0EF7" w:rsidRPr="00B602D3" w:rsidRDefault="002C0EF7" w:rsidP="00FB584C">
            <w:pPr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53" w:type="dxa"/>
          </w:tcPr>
          <w:p w14:paraId="777E4DC0" w14:textId="77777777" w:rsidR="002C0EF7" w:rsidRPr="00B602D3" w:rsidRDefault="002C0EF7" w:rsidP="00FB584C">
            <w:pPr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Paid on existing arrangements</w:t>
            </w:r>
          </w:p>
        </w:tc>
        <w:tc>
          <w:tcPr>
            <w:tcW w:w="1767" w:type="dxa"/>
          </w:tcPr>
          <w:p w14:paraId="320F57D6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(34.3% of in + out of scope)</w:t>
            </w:r>
          </w:p>
        </w:tc>
      </w:tr>
      <w:tr w:rsidR="002C0EF7" w:rsidRPr="00B602D3" w14:paraId="40F72A1B" w14:textId="77777777" w:rsidTr="00541274">
        <w:trPr>
          <w:trHeight w:val="624"/>
        </w:trPr>
        <w:tc>
          <w:tcPr>
            <w:tcW w:w="2208" w:type="dxa"/>
          </w:tcPr>
          <w:p w14:paraId="2C471A36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b/>
                <w:bCs/>
                <w:color w:val="201F1E"/>
                <w:sz w:val="22"/>
                <w:szCs w:val="22"/>
                <w:shd w:val="clear" w:color="auto" w:fill="FFFFFF"/>
              </w:rPr>
              <w:t>Outside scope discussion</w:t>
            </w: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(by unanimous agreement)</w:t>
            </w:r>
          </w:p>
          <w:p w14:paraId="3EC55F56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Premises</w:t>
            </w:r>
          </w:p>
          <w:p w14:paraId="34E7384A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Prescribing</w:t>
            </w:r>
          </w:p>
        </w:tc>
        <w:tc>
          <w:tcPr>
            <w:tcW w:w="2182" w:type="dxa"/>
          </w:tcPr>
          <w:p w14:paraId="256744C1" w14:textId="77777777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Premises funding unsuitable for this process</w:t>
            </w:r>
          </w:p>
          <w:p w14:paraId="05C559BD" w14:textId="03D28CB6" w:rsidR="002C0EF7" w:rsidRPr="00B602D3" w:rsidRDefault="002C0EF7" w:rsidP="00E0080A">
            <w:pPr>
              <w:spacing w:after="0"/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Prescribing too </w:t>
            </w:r>
            <w:r w:rsidR="008F2524"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destabilizing</w:t>
            </w: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 xml:space="preserve"> a risk at practice level</w:t>
            </w:r>
          </w:p>
        </w:tc>
        <w:tc>
          <w:tcPr>
            <w:tcW w:w="2853" w:type="dxa"/>
          </w:tcPr>
          <w:p w14:paraId="2FB09478" w14:textId="77777777" w:rsidR="002C0EF7" w:rsidRPr="00B602D3" w:rsidRDefault="002C0EF7" w:rsidP="00FB584C">
            <w:pPr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</w:pPr>
            <w:r w:rsidRPr="00B602D3">
              <w:rPr>
                <w:rFonts w:cstheme="minorHAnsi"/>
                <w:color w:val="201F1E"/>
                <w:sz w:val="22"/>
                <w:szCs w:val="22"/>
                <w:shd w:val="clear" w:color="auto" w:fill="FFFFFF"/>
              </w:rPr>
              <w:t>Paid on existing arrangements</w:t>
            </w:r>
          </w:p>
        </w:tc>
        <w:tc>
          <w:tcPr>
            <w:tcW w:w="1767" w:type="dxa"/>
          </w:tcPr>
          <w:p w14:paraId="243C8641" w14:textId="77777777" w:rsidR="002C0EF7" w:rsidRPr="00B602D3" w:rsidRDefault="002C0EF7" w:rsidP="00FB584C">
            <w:pPr>
              <w:rPr>
                <w:rFonts w:cstheme="minorHAnsi"/>
                <w:sz w:val="22"/>
                <w:szCs w:val="22"/>
              </w:rPr>
            </w:pPr>
            <w:r w:rsidRPr="00B602D3">
              <w:rPr>
                <w:rFonts w:cstheme="minorHAnsi"/>
                <w:sz w:val="22"/>
                <w:szCs w:val="22"/>
              </w:rPr>
              <w:t>N/A</w:t>
            </w:r>
          </w:p>
        </w:tc>
      </w:tr>
    </w:tbl>
    <w:p w14:paraId="489F09B0" w14:textId="77777777" w:rsidR="002C0EF7" w:rsidRPr="00B602D3" w:rsidRDefault="002C0EF7" w:rsidP="008B36C9">
      <w:pPr>
        <w:pStyle w:val="BodyTHF"/>
        <w:rPr>
          <w:szCs w:val="22"/>
        </w:rPr>
      </w:pPr>
    </w:p>
    <w:p w14:paraId="6D5DCAF5" w14:textId="29CBF5CA" w:rsidR="00964964" w:rsidRPr="00B602D3" w:rsidRDefault="00F72CF5" w:rsidP="00351B74">
      <w:pPr>
        <w:pStyle w:val="Heading3"/>
        <w:rPr>
          <w:sz w:val="22"/>
          <w:szCs w:val="22"/>
        </w:rPr>
      </w:pPr>
      <w:r w:rsidRPr="00B602D3">
        <w:rPr>
          <w:sz w:val="22"/>
          <w:szCs w:val="22"/>
        </w:rPr>
        <w:t>Methods</w:t>
      </w:r>
    </w:p>
    <w:p w14:paraId="5FA62848" w14:textId="0AD75784" w:rsidR="00F72CF5" w:rsidRPr="00B602D3" w:rsidRDefault="00541274" w:rsidP="008B36C9">
      <w:pPr>
        <w:pStyle w:val="BodyTHF"/>
        <w:rPr>
          <w:szCs w:val="22"/>
        </w:rPr>
      </w:pPr>
      <w:r w:rsidRPr="00B602D3">
        <w:rPr>
          <w:szCs w:val="22"/>
        </w:rPr>
        <w:t>We performed the following s</w:t>
      </w:r>
      <w:r w:rsidR="00F72CF5" w:rsidRPr="00B602D3">
        <w:rPr>
          <w:szCs w:val="22"/>
        </w:rPr>
        <w:t>ensitivity analyses</w:t>
      </w:r>
    </w:p>
    <w:p w14:paraId="7B3CFBF9" w14:textId="298AE29E" w:rsidR="00C11CB0" w:rsidRPr="00B602D3" w:rsidRDefault="00C11CB0" w:rsidP="00C11CB0">
      <w:pPr>
        <w:pStyle w:val="BodyTHF"/>
        <w:numPr>
          <w:ilvl w:val="0"/>
          <w:numId w:val="17"/>
        </w:numPr>
        <w:rPr>
          <w:szCs w:val="22"/>
        </w:rPr>
      </w:pPr>
      <w:r w:rsidRPr="00B602D3">
        <w:rPr>
          <w:szCs w:val="22"/>
        </w:rPr>
        <w:t>Using 2023 GPPS scores as our outcome: As the survey changed in 2024, the 2023 survey may be more comparable to its baseline value</w:t>
      </w:r>
    </w:p>
    <w:p w14:paraId="6D9B8C18" w14:textId="495863BA" w:rsidR="00C11CB0" w:rsidRPr="00B602D3" w:rsidRDefault="00C11CB0" w:rsidP="00C11CB0">
      <w:pPr>
        <w:pStyle w:val="BodyTHF"/>
        <w:numPr>
          <w:ilvl w:val="0"/>
          <w:numId w:val="17"/>
        </w:numPr>
        <w:rPr>
          <w:szCs w:val="22"/>
        </w:rPr>
      </w:pPr>
      <w:r w:rsidRPr="00B602D3">
        <w:rPr>
          <w:szCs w:val="22"/>
        </w:rPr>
        <w:t>Examining only ‘very good’ responses on the GPPS survey: Responses tend to skew positive</w:t>
      </w:r>
      <w:r w:rsidR="00667033">
        <w:rPr>
          <w:szCs w:val="22"/>
        </w:rPr>
        <w:t>ly</w:t>
      </w:r>
      <w:r w:rsidRPr="00B602D3">
        <w:rPr>
          <w:szCs w:val="22"/>
        </w:rPr>
        <w:t xml:space="preserve"> for patient experience, so examining the proportion of top scores may allow us to detect subtler changes in experience</w:t>
      </w:r>
    </w:p>
    <w:p w14:paraId="035A72AD" w14:textId="77777777" w:rsidR="00C11CB0" w:rsidRPr="00B602D3" w:rsidRDefault="00C11CB0" w:rsidP="00C11CB0">
      <w:pPr>
        <w:pStyle w:val="BodyTHF"/>
        <w:numPr>
          <w:ilvl w:val="0"/>
          <w:numId w:val="17"/>
        </w:numPr>
        <w:rPr>
          <w:szCs w:val="22"/>
        </w:rPr>
      </w:pPr>
      <w:r w:rsidRPr="00B602D3">
        <w:rPr>
          <w:szCs w:val="22"/>
        </w:rPr>
        <w:t>Controlling for different sets of variables: We examined whether results changed in an unadjusted model or a model with only the baseline value of the outcome of interest.</w:t>
      </w:r>
    </w:p>
    <w:p w14:paraId="2C030D53" w14:textId="297F5F27" w:rsidR="00C11CB0" w:rsidRPr="00B602D3" w:rsidRDefault="00C11CB0" w:rsidP="00C11CB0">
      <w:pPr>
        <w:pStyle w:val="BodyTHF"/>
        <w:numPr>
          <w:ilvl w:val="0"/>
          <w:numId w:val="17"/>
        </w:numPr>
        <w:rPr>
          <w:szCs w:val="22"/>
        </w:rPr>
      </w:pPr>
      <w:r w:rsidRPr="00B602D3">
        <w:rPr>
          <w:szCs w:val="22"/>
        </w:rPr>
        <w:lastRenderedPageBreak/>
        <w:t>Dose-response: We split intervention practices into two groups, one given higher and one given lower top</w:t>
      </w:r>
      <w:r w:rsidR="00667033">
        <w:rPr>
          <w:szCs w:val="22"/>
        </w:rPr>
        <w:t>-</w:t>
      </w:r>
      <w:r w:rsidRPr="00B602D3">
        <w:rPr>
          <w:szCs w:val="22"/>
        </w:rPr>
        <w:t>up payment amounts to understand whether the treatment effect was greater in the higher-payment group.</w:t>
      </w:r>
    </w:p>
    <w:p w14:paraId="6C7E910A" w14:textId="4CBD1F67" w:rsidR="00351B74" w:rsidRPr="00B602D3" w:rsidRDefault="00C11CB0" w:rsidP="00351B74">
      <w:pPr>
        <w:pStyle w:val="BodyTHF"/>
        <w:numPr>
          <w:ilvl w:val="0"/>
          <w:numId w:val="17"/>
        </w:numPr>
        <w:rPr>
          <w:szCs w:val="22"/>
        </w:rPr>
      </w:pPr>
      <w:r w:rsidRPr="00B602D3">
        <w:rPr>
          <w:szCs w:val="22"/>
        </w:rPr>
        <w:t>Missing data analysis: Practices missing data on administrative and nursing staff were excluded from the complete</w:t>
      </w:r>
      <w:r w:rsidR="00497F6E">
        <w:rPr>
          <w:szCs w:val="22"/>
        </w:rPr>
        <w:t>-</w:t>
      </w:r>
      <w:r w:rsidRPr="00B602D3">
        <w:rPr>
          <w:szCs w:val="22"/>
        </w:rPr>
        <w:t xml:space="preserve">case analysis. To understand whether excluding these influenced our results, we dropped the administrative and nurse staff variables from the matching </w:t>
      </w:r>
      <w:proofErr w:type="gramStart"/>
      <w:r w:rsidRPr="00B602D3">
        <w:rPr>
          <w:szCs w:val="22"/>
        </w:rPr>
        <w:t>process, and</w:t>
      </w:r>
      <w:proofErr w:type="gramEnd"/>
      <w:r w:rsidRPr="00B602D3">
        <w:rPr>
          <w:szCs w:val="22"/>
        </w:rPr>
        <w:t xml:space="preserve"> performed the regression with these additional practices (and controlling for the dropped staff variables)</w:t>
      </w:r>
      <w:r w:rsidR="00497F6E">
        <w:rPr>
          <w:szCs w:val="22"/>
        </w:rPr>
        <w:t>.</w:t>
      </w:r>
    </w:p>
    <w:p w14:paraId="041981B8" w14:textId="0CDBFBBF" w:rsidR="00395279" w:rsidRPr="00B602D3" w:rsidRDefault="00395279" w:rsidP="00351B74">
      <w:pPr>
        <w:pStyle w:val="Heading3"/>
        <w:rPr>
          <w:sz w:val="22"/>
          <w:szCs w:val="22"/>
        </w:rPr>
      </w:pPr>
      <w:r w:rsidRPr="00B602D3">
        <w:rPr>
          <w:sz w:val="22"/>
          <w:szCs w:val="22"/>
        </w:rPr>
        <w:t>Results</w:t>
      </w:r>
    </w:p>
    <w:p w14:paraId="6E4C0675" w14:textId="654EC1D9" w:rsidR="007D0E08" w:rsidRPr="00B602D3" w:rsidRDefault="00697011" w:rsidP="007D0E08">
      <w:pPr>
        <w:pStyle w:val="BodyTHF"/>
        <w:rPr>
          <w:szCs w:val="22"/>
        </w:rPr>
      </w:pPr>
      <w:r w:rsidRPr="00B602D3">
        <w:rPr>
          <w:noProof/>
          <w:szCs w:val="22"/>
        </w:rPr>
        <w:t xml:space="preserve"> </w:t>
      </w:r>
      <w:r w:rsidR="00272801" w:rsidRPr="00B602D3">
        <w:rPr>
          <w:noProof/>
          <w:szCs w:val="22"/>
        </w:rPr>
        <w:drawing>
          <wp:inline distT="0" distB="0" distL="0" distR="0" wp14:anchorId="196F81E5" wp14:editId="605580B9">
            <wp:extent cx="5727700" cy="2886710"/>
            <wp:effectExtent l="0" t="0" r="6350" b="8890"/>
            <wp:docPr id="167879188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91885" name=""/>
                    <pic:cNvPicPr/>
                  </pic:nvPicPr>
                  <pic:blipFill rotWithShape="1"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t="10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886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098F5" w14:textId="76708ABE" w:rsidR="007D0E08" w:rsidRPr="00B602D3" w:rsidRDefault="007D0E08" w:rsidP="007D0E08">
      <w:pPr>
        <w:rPr>
          <w:rFonts w:cstheme="minorHAnsi"/>
          <w:iCs/>
          <w:sz w:val="22"/>
          <w:szCs w:val="22"/>
        </w:rPr>
      </w:pPr>
      <w:r w:rsidRPr="00B602D3">
        <w:rPr>
          <w:rFonts w:cstheme="minorHAnsi"/>
          <w:iCs/>
          <w:sz w:val="22"/>
          <w:szCs w:val="22"/>
        </w:rPr>
        <w:t xml:space="preserve">Figure </w:t>
      </w:r>
      <w:r w:rsidR="00E57C3B" w:rsidRPr="00B602D3">
        <w:rPr>
          <w:rFonts w:cstheme="minorHAnsi"/>
          <w:iCs/>
          <w:sz w:val="22"/>
          <w:szCs w:val="22"/>
        </w:rPr>
        <w:t>S</w:t>
      </w:r>
      <w:r w:rsidRPr="00B602D3">
        <w:rPr>
          <w:rFonts w:cstheme="minorHAnsi"/>
          <w:iCs/>
          <w:sz w:val="22"/>
          <w:szCs w:val="22"/>
        </w:rPr>
        <w:t>1 – Flow diagram describing the inclusion and exclusion of practices from the pool of available practices for matching.</w:t>
      </w:r>
      <w:r w:rsidR="00F366A4" w:rsidRPr="00B602D3">
        <w:rPr>
          <w:rFonts w:cstheme="minorHAnsi"/>
          <w:iCs/>
          <w:sz w:val="22"/>
          <w:szCs w:val="22"/>
        </w:rPr>
        <w:t xml:space="preserve"> Numbers have been removed from the LLR </w:t>
      </w:r>
      <w:r w:rsidR="009F57AD" w:rsidRPr="00B602D3">
        <w:rPr>
          <w:rFonts w:cstheme="minorHAnsi"/>
          <w:iCs/>
          <w:sz w:val="22"/>
          <w:szCs w:val="22"/>
        </w:rPr>
        <w:t>flow diagram</w:t>
      </w:r>
      <w:r w:rsidR="00F366A4" w:rsidRPr="00B602D3">
        <w:rPr>
          <w:rFonts w:cstheme="minorHAnsi"/>
          <w:iCs/>
          <w:sz w:val="22"/>
          <w:szCs w:val="22"/>
        </w:rPr>
        <w:t xml:space="preserve"> to avoid disclosure</w:t>
      </w:r>
      <w:r w:rsidR="00681BB2" w:rsidRPr="00B602D3">
        <w:rPr>
          <w:rFonts w:cstheme="minorHAnsi"/>
          <w:iCs/>
          <w:sz w:val="22"/>
          <w:szCs w:val="22"/>
        </w:rPr>
        <w:t>.</w:t>
      </w:r>
      <w:r w:rsidR="00F366A4" w:rsidRPr="00B602D3">
        <w:rPr>
          <w:rFonts w:cstheme="minorHAnsi"/>
          <w:iCs/>
          <w:sz w:val="22"/>
          <w:szCs w:val="22"/>
        </w:rPr>
        <w:t xml:space="preserve"> </w:t>
      </w:r>
    </w:p>
    <w:p w14:paraId="6A8AEA51" w14:textId="77777777" w:rsidR="007D0E08" w:rsidRPr="00B602D3" w:rsidRDefault="007D0E08" w:rsidP="00395279">
      <w:pPr>
        <w:pStyle w:val="BodyTHF"/>
        <w:rPr>
          <w:szCs w:val="22"/>
        </w:rPr>
      </w:pPr>
    </w:p>
    <w:p w14:paraId="34F83173" w14:textId="77777777" w:rsidR="00FD5C25" w:rsidRDefault="00FD5C25">
      <w:pPr>
        <w:spacing w:after="0" w:line="260" w:lineRule="exact"/>
        <w:rPr>
          <w:rFonts w:ascii="Arial" w:hAnsi="Arial" w:cs="Arial"/>
          <w:color w:val="000000" w:themeColor="text1"/>
          <w:kern w:val="2"/>
          <w:sz w:val="22"/>
          <w:szCs w:val="22"/>
          <w:lang w:val="en-GB"/>
          <w14:ligatures w14:val="standardContextual"/>
        </w:rPr>
      </w:pPr>
      <w:r>
        <w:rPr>
          <w:szCs w:val="22"/>
        </w:rPr>
        <w:br w:type="page"/>
      </w:r>
    </w:p>
    <w:p w14:paraId="5A769775" w14:textId="4EF5562F" w:rsidR="00CE4ED7" w:rsidRPr="00B602D3" w:rsidRDefault="00CE4ED7" w:rsidP="00395279">
      <w:pPr>
        <w:pStyle w:val="BodyTHF"/>
        <w:rPr>
          <w:szCs w:val="22"/>
        </w:rPr>
      </w:pPr>
      <w:r w:rsidRPr="00B602D3">
        <w:rPr>
          <w:szCs w:val="22"/>
        </w:rPr>
        <w:lastRenderedPageBreak/>
        <w:t xml:space="preserve">Table </w:t>
      </w:r>
      <w:r w:rsidR="00351B74" w:rsidRPr="00B602D3">
        <w:rPr>
          <w:szCs w:val="22"/>
        </w:rPr>
        <w:t>S2</w:t>
      </w:r>
      <w:r w:rsidRPr="00B602D3">
        <w:rPr>
          <w:szCs w:val="22"/>
        </w:rPr>
        <w:t xml:space="preserve"> comparison of characteristics between practices in LLR that received HEP and those that did not.</w:t>
      </w:r>
      <w:r w:rsidR="00681BB2" w:rsidRPr="00B602D3">
        <w:rPr>
          <w:szCs w:val="22"/>
        </w:rPr>
        <w:t xml:space="preserve"> The total numbers of practices were calculated after data cleaning</w:t>
      </w:r>
      <w:r w:rsidR="00B602D3">
        <w:rPr>
          <w:szCs w:val="22"/>
        </w:rPr>
        <w:t>. 1 = mean (SD), 2 = n (%).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559"/>
        <w:gridCol w:w="2074"/>
      </w:tblGrid>
      <w:tr w:rsidR="00A0300E" w:rsidRPr="0000409B" w14:paraId="06D8E2FC" w14:textId="77777777" w:rsidTr="00BF7F0E">
        <w:trPr>
          <w:trHeight w:val="300"/>
        </w:trPr>
        <w:tc>
          <w:tcPr>
            <w:tcW w:w="5387" w:type="dxa"/>
            <w:tcBorders>
              <w:top w:val="single" w:sz="12" w:space="0" w:color="BEBEBE"/>
              <w:left w:val="nil"/>
              <w:bottom w:val="single" w:sz="12" w:space="0" w:color="BEBEBE"/>
              <w:right w:val="nil"/>
            </w:tcBorders>
            <w:shd w:val="clear" w:color="auto" w:fill="FFFFFF"/>
            <w:vAlign w:val="center"/>
            <w:hideMark/>
          </w:tcPr>
          <w:p w14:paraId="528A5882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BEBEBE"/>
              <w:left w:val="nil"/>
              <w:bottom w:val="single" w:sz="12" w:space="0" w:color="BEBEBE"/>
              <w:right w:val="nil"/>
            </w:tcBorders>
            <w:shd w:val="clear" w:color="auto" w:fill="FFFFFF"/>
            <w:vAlign w:val="center"/>
            <w:hideMark/>
          </w:tcPr>
          <w:p w14:paraId="5F72EF4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Received HEP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</w:rPr>
              <w:br/>
            </w:r>
            <w:r w:rsidRPr="0000409B">
              <w:rPr>
                <w:sz w:val="20"/>
                <w:szCs w:val="20"/>
                <w:lang w:val="en-US"/>
              </w:rPr>
              <w:t>(N=71)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single" w:sz="12" w:space="0" w:color="BEBEBE"/>
              <w:left w:val="nil"/>
              <w:bottom w:val="single" w:sz="12" w:space="0" w:color="BEBEBE"/>
              <w:right w:val="nil"/>
            </w:tcBorders>
            <w:shd w:val="clear" w:color="auto" w:fill="FFFFFF"/>
            <w:vAlign w:val="center"/>
            <w:hideMark/>
          </w:tcPr>
          <w:p w14:paraId="57522EC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Did not receive HEP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</w:rPr>
              <w:br/>
            </w:r>
            <w:r w:rsidRPr="0000409B">
              <w:rPr>
                <w:sz w:val="20"/>
                <w:szCs w:val="20"/>
                <w:lang w:val="en-US"/>
              </w:rPr>
              <w:t>(N=47)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FE74240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887F7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List size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3D0E2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9090 (5130)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55714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8960 (5360)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AC78D1A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5E5777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registered patients are male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90DCE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50.2 (1.76)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76FCA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50.9 (2.45)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03CA91A9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CF0A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vertAlign w:val="superscript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IMD quintile based on registered patient place of residence </w:t>
            </w:r>
            <w:r w:rsidRPr="0000409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AA325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A2859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A0300E" w:rsidRPr="0000409B" w14:paraId="3BDE6FD4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42C422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 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02C3E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8 (11.3%)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7DF2F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*** (***)</w:t>
            </w:r>
          </w:p>
        </w:tc>
      </w:tr>
      <w:tr w:rsidR="00A0300E" w:rsidRPr="0000409B" w14:paraId="70A1E3B9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74F52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  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B4540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22 (31.0%)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07D5C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12 (25.5%)</w:t>
            </w:r>
          </w:p>
        </w:tc>
      </w:tr>
      <w:tr w:rsidR="00A0300E" w:rsidRPr="0000409B" w14:paraId="75DB39EE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AA30A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  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6211B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6 (8.5%)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4EFA0A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*** (***)</w:t>
            </w:r>
          </w:p>
        </w:tc>
      </w:tr>
      <w:tr w:rsidR="00A0300E" w:rsidRPr="0000409B" w14:paraId="39193B10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4A59AA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 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1F40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20 (28.2%)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EC237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7 (14.9%)</w:t>
            </w:r>
          </w:p>
        </w:tc>
      </w:tr>
      <w:tr w:rsidR="00A0300E" w:rsidRPr="0000409B" w14:paraId="04677EBF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FB9C8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 xml:space="preserve"> 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ADF7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15 (21.1%)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0B4BC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lang w:val="en-US"/>
              </w:rPr>
            </w:pPr>
            <w:r w:rsidRPr="0000409B">
              <w:rPr>
                <w:sz w:val="20"/>
                <w:szCs w:val="20"/>
              </w:rPr>
              <w:t>22 (46.8%)</w:t>
            </w:r>
          </w:p>
        </w:tc>
      </w:tr>
      <w:tr w:rsidR="00A0300E" w:rsidRPr="0000409B" w14:paraId="1B6138EA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760A41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 xml:space="preserve">Percentage of registered patients are &gt;65 years old </w:t>
            </w:r>
            <w:r w:rsidRPr="0000409B">
              <w:rPr>
                <w:sz w:val="20"/>
                <w:szCs w:val="20"/>
                <w:vertAlign w:val="superscript"/>
                <w:lang w:val="en-US"/>
              </w:rPr>
              <w:t>1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2992B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15.8 (4.92)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EE488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17.1 (6.62)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65877056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D122A0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registered patients living in rural areas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E1D614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9.82 (21.8)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295AA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32.5 (40.3)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124BB964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ED91F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white people living in LSOAs of registered patients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3C63592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65.0 (30.2)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01E8C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75.1 (25.0)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5B2B73B9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13F369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people with English as a second language living in LSOAs of registered patients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3F15F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20.8 (19.9)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F9B09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15.2 (16.9)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7685CAE3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0356A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Carr-Hill Index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847F3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0.950 (0.0519)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1144B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0.960 (0.0843)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6F65CB58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5C55F5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FTE GPs (excluding training grade) per 1000 weighted patients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1BEB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0.483 (0.167)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93E8AF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0.536 (0.310)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1FD69C53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F36D001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 Missing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49FC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 (0%)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A25CFF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 (2.1%)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2107F431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37CF0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FTE nurses per 1000 weighted patients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DC202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0.246 (0.113)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7CA9020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0.230 (0.113)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091526C4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2FCA1A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 Missing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01DAB7A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5 (7.0%)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8489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3 (6.4%)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2C6DC10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7CEE52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FTE admin per 1000 weighted patients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AA2B39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1.19 (0.297)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D093E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1.19 (0.389)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66894996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F50ECF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 Missing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41DE1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2 (2.8%)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1EFC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 (2.1%)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988CCAF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D8EF9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  <w:vertAlign w:val="superscript"/>
              </w:rPr>
            </w:pPr>
            <w:r w:rsidRPr="0000409B">
              <w:rPr>
                <w:sz w:val="20"/>
                <w:szCs w:val="20"/>
                <w:lang w:val="en-US"/>
              </w:rPr>
              <w:t>Single partner practices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A6CB2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CBEE7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05722461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2133E9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 Multi-partner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7ADA8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52 (73.2%)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61EC4D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36 (76.6%)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1D0B5809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EA608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 Single partner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0F74E7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19 (26.8%)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A8AE1F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11 (23.4%)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64C6BC07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BEAE4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respondents reporting good overall experience of booking an appointment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62C9F9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0.530 (0.135)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F331B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0.609 (0.171)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563695EA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83920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respondents reporting good overall experience of their GP practice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75AFFB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0.690 (0.119)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ECF9C4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0.730 (0.143)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5BA50150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221751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Percentage of respondents reporting yes overall to whether their needs were met at their last appointment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B5887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0.889 (0.0613)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8FEDD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0.909 (0.0536)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05372A60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04595" w14:textId="77777777" w:rsidR="00A0300E" w:rsidRPr="0000409B" w:rsidRDefault="00A0300E">
            <w:pPr>
              <w:pStyle w:val="BodyTHF"/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00409B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 xml:space="preserve">Percentage of total QOF points achieved </w:t>
            </w:r>
            <w:r w:rsidRPr="0000409B">
              <w:rPr>
                <w:rFonts w:asciiTheme="minorHAnsi" w:eastAsia="Arial" w:hAnsiTheme="minorHAnsi" w:cstheme="minorHAnsi"/>
                <w:color w:val="au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17670" w14:textId="77777777" w:rsidR="00A0300E" w:rsidRPr="0000409B" w:rsidRDefault="00A0300E">
            <w:pPr>
              <w:pStyle w:val="BodyTHF"/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00409B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97.5 (3.69)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69A6F8" w14:textId="77777777" w:rsidR="00A0300E" w:rsidRPr="0000409B" w:rsidRDefault="00A0300E">
            <w:pPr>
              <w:pStyle w:val="BodyTHF"/>
              <w:spacing w:after="0"/>
              <w:rPr>
                <w:rFonts w:asciiTheme="minorHAnsi" w:hAnsiTheme="minorHAnsi" w:cstheme="minorHAnsi"/>
                <w:color w:val="auto"/>
                <w:sz w:val="20"/>
                <w:szCs w:val="20"/>
                <w:lang w:val="en-US"/>
              </w:rPr>
            </w:pPr>
            <w:r w:rsidRPr="0000409B">
              <w:rPr>
                <w:rFonts w:asciiTheme="minorHAnsi" w:eastAsia="Arial" w:hAnsiTheme="minorHAnsi" w:cstheme="minorHAnsi"/>
                <w:color w:val="auto"/>
                <w:sz w:val="20"/>
                <w:szCs w:val="20"/>
              </w:rPr>
              <w:t>96.0 (5.95)</w:t>
            </w:r>
          </w:p>
        </w:tc>
      </w:tr>
      <w:tr w:rsidR="00A0300E" w:rsidRPr="0000409B" w14:paraId="5E4654AA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06153C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Prevalence of asthma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DC2236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0.0642 (0.0139)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1928FE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0.0591 (0.0169)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281A2F9F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2AE70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 Prevalence of chronic kidney disease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73FE7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0.0344 (0.0163)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CF6835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0.0327 (0.0142)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43DFC65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A1C061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Prevalence of chronic obstructive pulmonary disease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193A1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0.0166 (0.00690)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FD75DFF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0.0150 (0.00577)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420684B8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0872CD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Prevalence of coronary heart disease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08335E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0.0281 (0.00556)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A74B7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0.0276 (0.00892)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55341D49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E700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Prevalence of diabetes mellitus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374DC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0.0939 (0.0284)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5A7109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0.0772 (0.0318)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  <w:tr w:rsidR="00A0300E" w:rsidRPr="0000409B" w14:paraId="3A897E1B" w14:textId="77777777" w:rsidTr="00BF7F0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546EB5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Prevalence of hypertension</w:t>
            </w:r>
            <w:r w:rsidRPr="0000409B">
              <w:rPr>
                <w:sz w:val="20"/>
                <w:szCs w:val="20"/>
              </w:rPr>
              <w:t> </w:t>
            </w:r>
            <w:r w:rsidRPr="0000409B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49DE633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0.148 (0.0252)</w:t>
            </w:r>
            <w:r w:rsidRPr="0000409B">
              <w:rPr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951668" w14:textId="77777777" w:rsidR="00A0300E" w:rsidRPr="0000409B" w:rsidRDefault="00A0300E">
            <w:pPr>
              <w:pStyle w:val="BodyTHF"/>
              <w:spacing w:after="0"/>
              <w:rPr>
                <w:sz w:val="20"/>
                <w:szCs w:val="20"/>
              </w:rPr>
            </w:pPr>
            <w:r w:rsidRPr="0000409B">
              <w:rPr>
                <w:sz w:val="20"/>
                <w:szCs w:val="20"/>
                <w:lang w:val="en-US"/>
              </w:rPr>
              <w:t>0.144 (0.0390)</w:t>
            </w:r>
            <w:r w:rsidRPr="0000409B">
              <w:rPr>
                <w:sz w:val="20"/>
                <w:szCs w:val="20"/>
              </w:rPr>
              <w:t> </w:t>
            </w:r>
          </w:p>
        </w:tc>
      </w:tr>
    </w:tbl>
    <w:p w14:paraId="4795D1F4" w14:textId="77777777" w:rsidR="00F72CF5" w:rsidRPr="00B602D3" w:rsidRDefault="00F72CF5" w:rsidP="008B36C9">
      <w:pPr>
        <w:pStyle w:val="BodyTHF"/>
        <w:rPr>
          <w:szCs w:val="22"/>
        </w:rPr>
      </w:pPr>
    </w:p>
    <w:sectPr w:rsidR="00F72CF5" w:rsidRPr="00B602D3" w:rsidSect="008B36C9">
      <w:footerReference w:type="even" r:id="rId13"/>
      <w:footerReference w:type="defaul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747" w14:textId="77777777" w:rsidR="00A60825" w:rsidRDefault="00A60825" w:rsidP="003C6E18">
      <w:r>
        <w:separator/>
      </w:r>
    </w:p>
    <w:p w14:paraId="6ED33C1C" w14:textId="77777777" w:rsidR="00A60825" w:rsidRDefault="00A60825"/>
    <w:p w14:paraId="38B5FEF9" w14:textId="77777777" w:rsidR="00A60825" w:rsidRDefault="00A60825"/>
    <w:p w14:paraId="39037997" w14:textId="77777777" w:rsidR="00A60825" w:rsidRDefault="00A60825"/>
  </w:endnote>
  <w:endnote w:type="continuationSeparator" w:id="0">
    <w:p w14:paraId="523F1EFD" w14:textId="77777777" w:rsidR="00A60825" w:rsidRDefault="00A60825" w:rsidP="003C6E18">
      <w:r>
        <w:continuationSeparator/>
      </w:r>
    </w:p>
    <w:p w14:paraId="5A94A63A" w14:textId="77777777" w:rsidR="00A60825" w:rsidRDefault="00A60825"/>
    <w:p w14:paraId="13B9E281" w14:textId="77777777" w:rsidR="00A60825" w:rsidRDefault="00A60825"/>
    <w:p w14:paraId="5D3323C3" w14:textId="77777777" w:rsidR="00A60825" w:rsidRDefault="00A608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3A76" w14:textId="77777777" w:rsidR="00A60804" w:rsidRDefault="00A608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93B2AE" w14:textId="77777777" w:rsidR="00A60804" w:rsidRDefault="00A60804" w:rsidP="00A60804">
    <w:pPr>
      <w:pStyle w:val="Footer"/>
      <w:ind w:right="360"/>
    </w:pPr>
  </w:p>
  <w:p w14:paraId="3E3ABA1E" w14:textId="77777777" w:rsidR="00CC3733" w:rsidRDefault="00CC3733"/>
  <w:p w14:paraId="6E02E2F1" w14:textId="77777777" w:rsidR="00CC3733" w:rsidRDefault="00CC3733"/>
  <w:p w14:paraId="7FC933C7" w14:textId="77777777" w:rsidR="002251A6" w:rsidRDefault="002251A6"/>
  <w:p w14:paraId="64D45FCA" w14:textId="77777777" w:rsidR="002251A6" w:rsidRDefault="002251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3347" w14:textId="77777777" w:rsidR="00773E9F" w:rsidRDefault="00773E9F" w:rsidP="008B36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AA884" w14:textId="77777777" w:rsidR="00A60825" w:rsidRDefault="00A60825" w:rsidP="003C6E18">
      <w:r>
        <w:separator/>
      </w:r>
    </w:p>
    <w:p w14:paraId="409F8082" w14:textId="77777777" w:rsidR="00A60825" w:rsidRDefault="00A60825"/>
    <w:p w14:paraId="4211C9AD" w14:textId="77777777" w:rsidR="00A60825" w:rsidRDefault="00A60825"/>
    <w:p w14:paraId="3F72D281" w14:textId="77777777" w:rsidR="00A60825" w:rsidRDefault="00A60825"/>
  </w:footnote>
  <w:footnote w:type="continuationSeparator" w:id="0">
    <w:p w14:paraId="02AF0E1E" w14:textId="77777777" w:rsidR="00A60825" w:rsidRDefault="00A60825" w:rsidP="003C6E18">
      <w:r>
        <w:continuationSeparator/>
      </w:r>
    </w:p>
    <w:p w14:paraId="10BD387E" w14:textId="77777777" w:rsidR="00A60825" w:rsidRDefault="00A60825"/>
    <w:p w14:paraId="462CF7F7" w14:textId="77777777" w:rsidR="00A60825" w:rsidRDefault="00A60825"/>
    <w:p w14:paraId="4631A66E" w14:textId="77777777" w:rsidR="00A60825" w:rsidRDefault="00A608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A4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9B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525F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B6BE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A643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3EA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B61A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EBB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C2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AEF27EF"/>
    <w:multiLevelType w:val="multilevel"/>
    <w:tmpl w:val="35D6D774"/>
    <w:numStyleLink w:val="THFListNos"/>
  </w:abstractNum>
  <w:abstractNum w:abstractNumId="10" w15:restartNumberingAfterBreak="0">
    <w:nsid w:val="20187E60"/>
    <w:multiLevelType w:val="multilevel"/>
    <w:tmpl w:val="577CA582"/>
    <w:lvl w:ilvl="0">
      <w:start w:val="1"/>
      <w:numFmt w:val="decimal"/>
      <w:lvlText w:val="%1.0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1361" w:hanging="681"/>
      </w:pPr>
      <w:rPr>
        <w:rFonts w:hint="default"/>
      </w:rPr>
    </w:lvl>
    <w:lvl w:ilvl="2">
      <w:start w:val="1"/>
      <w:numFmt w:val="decimal"/>
      <w:lvlText w:val="3.1.%3"/>
      <w:lvlJc w:val="left"/>
      <w:pPr>
        <w:tabs>
          <w:tab w:val="num" w:pos="1361"/>
        </w:tabs>
        <w:ind w:left="1361" w:hanging="681"/>
      </w:pPr>
      <w:rPr>
        <w:rFonts w:hint="default"/>
        <w:color w:val="auto"/>
      </w:rPr>
    </w:lvl>
    <w:lvl w:ilvl="3">
      <w:start w:val="1"/>
      <w:numFmt w:val="decimal"/>
      <w:lvlText w:val="%1.%2%3.%4"/>
      <w:lvlJc w:val="left"/>
      <w:pPr>
        <w:ind w:left="1728" w:hanging="367"/>
      </w:pPr>
      <w:rPr>
        <w:rFonts w:hint="default"/>
      </w:rPr>
    </w:lvl>
    <w:lvl w:ilvl="4">
      <w:start w:val="1"/>
      <w:numFmt w:val="decimal"/>
      <w:lvlText w:val="%1.%2.%3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3B1ACD"/>
    <w:multiLevelType w:val="multilevel"/>
    <w:tmpl w:val="35D6D774"/>
    <w:styleLink w:val="THFListNos"/>
    <w:lvl w:ilvl="0">
      <w:start w:val="1"/>
      <w:numFmt w:val="decimal"/>
      <w:pStyle w:val="ListNos1THF"/>
      <w:lvlText w:val="%1.0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ListNos2THF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ListNos3THF"/>
      <w:lvlText w:val="%1.%2.%3"/>
      <w:lvlJc w:val="left"/>
      <w:pPr>
        <w:ind w:left="1928" w:hanging="1191"/>
      </w:pPr>
      <w:rPr>
        <w:rFonts w:hint="default"/>
      </w:rPr>
    </w:lvl>
    <w:lvl w:ilvl="3">
      <w:start w:val="1"/>
      <w:numFmt w:val="decimal"/>
      <w:pStyle w:val="ListNos4THF"/>
      <w:lvlText w:val="%1.%2.%3.%4"/>
      <w:lvlJc w:val="left"/>
      <w:pPr>
        <w:ind w:left="1928" w:hanging="119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1DE775D"/>
    <w:multiLevelType w:val="multilevel"/>
    <w:tmpl w:val="1364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6E45A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F558B8"/>
    <w:multiLevelType w:val="hybridMultilevel"/>
    <w:tmpl w:val="91B8AA48"/>
    <w:lvl w:ilvl="0" w:tplc="BE4045BA">
      <w:start w:val="1"/>
      <w:numFmt w:val="bullet"/>
      <w:pStyle w:val="ListBullet3THF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5" w15:restartNumberingAfterBreak="0">
    <w:nsid w:val="39FB1A0B"/>
    <w:multiLevelType w:val="hybridMultilevel"/>
    <w:tmpl w:val="8B5E0EEA"/>
    <w:lvl w:ilvl="0" w:tplc="F566F2AC">
      <w:start w:val="1"/>
      <w:numFmt w:val="bullet"/>
      <w:pStyle w:val="BulletTHF"/>
      <w:lvlText w:val=""/>
      <w:lvlJc w:val="left"/>
      <w:pPr>
        <w:ind w:left="720" w:hanging="436"/>
      </w:pPr>
      <w:rPr>
        <w:rFonts w:ascii="Symbol" w:hAnsi="Symbol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B794D"/>
    <w:multiLevelType w:val="hybridMultilevel"/>
    <w:tmpl w:val="68AE4EAE"/>
    <w:lvl w:ilvl="0" w:tplc="68E6A8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2700">
    <w:abstractNumId w:val="15"/>
  </w:num>
  <w:num w:numId="2" w16cid:durableId="1898663248">
    <w:abstractNumId w:val="10"/>
  </w:num>
  <w:num w:numId="3" w16cid:durableId="176382766">
    <w:abstractNumId w:val="14"/>
  </w:num>
  <w:num w:numId="4" w16cid:durableId="2118206702">
    <w:abstractNumId w:val="7"/>
  </w:num>
  <w:num w:numId="5" w16cid:durableId="2034266381">
    <w:abstractNumId w:val="6"/>
  </w:num>
  <w:num w:numId="6" w16cid:durableId="1752002400">
    <w:abstractNumId w:val="5"/>
  </w:num>
  <w:num w:numId="7" w16cid:durableId="1781223946">
    <w:abstractNumId w:val="4"/>
  </w:num>
  <w:num w:numId="8" w16cid:durableId="1664628392">
    <w:abstractNumId w:val="8"/>
  </w:num>
  <w:num w:numId="9" w16cid:durableId="916524835">
    <w:abstractNumId w:val="3"/>
  </w:num>
  <w:num w:numId="10" w16cid:durableId="1834056097">
    <w:abstractNumId w:val="2"/>
  </w:num>
  <w:num w:numId="11" w16cid:durableId="1555048635">
    <w:abstractNumId w:val="1"/>
  </w:num>
  <w:num w:numId="12" w16cid:durableId="538012418">
    <w:abstractNumId w:val="0"/>
  </w:num>
  <w:num w:numId="13" w16cid:durableId="5428651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133203">
    <w:abstractNumId w:val="11"/>
  </w:num>
  <w:num w:numId="15" w16cid:durableId="261843034">
    <w:abstractNumId w:val="13"/>
  </w:num>
  <w:num w:numId="16" w16cid:durableId="399836848">
    <w:abstractNumId w:val="9"/>
  </w:num>
  <w:num w:numId="17" w16cid:durableId="724066718">
    <w:abstractNumId w:val="16"/>
  </w:num>
  <w:num w:numId="18" w16cid:durableId="571046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AE"/>
    <w:rsid w:val="0000409B"/>
    <w:rsid w:val="0001164E"/>
    <w:rsid w:val="00027DD6"/>
    <w:rsid w:val="0003133D"/>
    <w:rsid w:val="00032566"/>
    <w:rsid w:val="00034BD1"/>
    <w:rsid w:val="00057AA7"/>
    <w:rsid w:val="00087465"/>
    <w:rsid w:val="00087787"/>
    <w:rsid w:val="0009423B"/>
    <w:rsid w:val="000A0458"/>
    <w:rsid w:val="000A601B"/>
    <w:rsid w:val="000A6315"/>
    <w:rsid w:val="000B6C73"/>
    <w:rsid w:val="000E6AD1"/>
    <w:rsid w:val="00102B11"/>
    <w:rsid w:val="00111FEA"/>
    <w:rsid w:val="00123351"/>
    <w:rsid w:val="00127BAE"/>
    <w:rsid w:val="00132A71"/>
    <w:rsid w:val="00136557"/>
    <w:rsid w:val="001462EF"/>
    <w:rsid w:val="00197759"/>
    <w:rsid w:val="001A67B7"/>
    <w:rsid w:val="001B2A7E"/>
    <w:rsid w:val="001C71DC"/>
    <w:rsid w:val="001E62C3"/>
    <w:rsid w:val="001F7725"/>
    <w:rsid w:val="00201DE7"/>
    <w:rsid w:val="00202095"/>
    <w:rsid w:val="002238A6"/>
    <w:rsid w:val="002251A6"/>
    <w:rsid w:val="00230111"/>
    <w:rsid w:val="00242625"/>
    <w:rsid w:val="00272801"/>
    <w:rsid w:val="00276B89"/>
    <w:rsid w:val="00294159"/>
    <w:rsid w:val="002A1D2F"/>
    <w:rsid w:val="002C0EF7"/>
    <w:rsid w:val="002C4942"/>
    <w:rsid w:val="002F0DDB"/>
    <w:rsid w:val="002F387A"/>
    <w:rsid w:val="00301BC9"/>
    <w:rsid w:val="003417E0"/>
    <w:rsid w:val="003459C6"/>
    <w:rsid w:val="00346193"/>
    <w:rsid w:val="00351B74"/>
    <w:rsid w:val="003845F0"/>
    <w:rsid w:val="00385101"/>
    <w:rsid w:val="003905A4"/>
    <w:rsid w:val="00391BA6"/>
    <w:rsid w:val="0039349F"/>
    <w:rsid w:val="00395279"/>
    <w:rsid w:val="003B1787"/>
    <w:rsid w:val="003B77BA"/>
    <w:rsid w:val="003B79E7"/>
    <w:rsid w:val="003C6E18"/>
    <w:rsid w:val="003F2E4E"/>
    <w:rsid w:val="003F667C"/>
    <w:rsid w:val="00410266"/>
    <w:rsid w:val="00424AF9"/>
    <w:rsid w:val="004349A2"/>
    <w:rsid w:val="00434AE1"/>
    <w:rsid w:val="00436469"/>
    <w:rsid w:val="00444E69"/>
    <w:rsid w:val="00480DB1"/>
    <w:rsid w:val="00497F6E"/>
    <w:rsid w:val="004C4741"/>
    <w:rsid w:val="004D1490"/>
    <w:rsid w:val="00503961"/>
    <w:rsid w:val="00510FE0"/>
    <w:rsid w:val="00511DD8"/>
    <w:rsid w:val="00517F12"/>
    <w:rsid w:val="00536E38"/>
    <w:rsid w:val="00541274"/>
    <w:rsid w:val="00546FE4"/>
    <w:rsid w:val="00550CC6"/>
    <w:rsid w:val="005641EB"/>
    <w:rsid w:val="00571AD8"/>
    <w:rsid w:val="0057395B"/>
    <w:rsid w:val="00576182"/>
    <w:rsid w:val="00591D22"/>
    <w:rsid w:val="005A79DF"/>
    <w:rsid w:val="005B01B3"/>
    <w:rsid w:val="005C47CF"/>
    <w:rsid w:val="005D08B2"/>
    <w:rsid w:val="005D45FC"/>
    <w:rsid w:val="005E4189"/>
    <w:rsid w:val="005F104C"/>
    <w:rsid w:val="005F1966"/>
    <w:rsid w:val="005F65C7"/>
    <w:rsid w:val="006016C9"/>
    <w:rsid w:val="00604690"/>
    <w:rsid w:val="0061739F"/>
    <w:rsid w:val="00626B5D"/>
    <w:rsid w:val="006647C1"/>
    <w:rsid w:val="00667033"/>
    <w:rsid w:val="00681BB2"/>
    <w:rsid w:val="00697011"/>
    <w:rsid w:val="006C708B"/>
    <w:rsid w:val="006E1C5B"/>
    <w:rsid w:val="006E4543"/>
    <w:rsid w:val="0072759B"/>
    <w:rsid w:val="00773E9F"/>
    <w:rsid w:val="007856D0"/>
    <w:rsid w:val="00787876"/>
    <w:rsid w:val="007932A8"/>
    <w:rsid w:val="00797095"/>
    <w:rsid w:val="007A4FE9"/>
    <w:rsid w:val="007A588E"/>
    <w:rsid w:val="007B7BA2"/>
    <w:rsid w:val="007D0E08"/>
    <w:rsid w:val="007F0E19"/>
    <w:rsid w:val="00814D1D"/>
    <w:rsid w:val="00827DAB"/>
    <w:rsid w:val="008532AD"/>
    <w:rsid w:val="00877F96"/>
    <w:rsid w:val="00883FFA"/>
    <w:rsid w:val="008930AC"/>
    <w:rsid w:val="00895940"/>
    <w:rsid w:val="008A3030"/>
    <w:rsid w:val="008B36C9"/>
    <w:rsid w:val="008B4554"/>
    <w:rsid w:val="008C1D2A"/>
    <w:rsid w:val="008C6603"/>
    <w:rsid w:val="008D11DA"/>
    <w:rsid w:val="008F2524"/>
    <w:rsid w:val="008F7190"/>
    <w:rsid w:val="0090433E"/>
    <w:rsid w:val="00904E8A"/>
    <w:rsid w:val="00915DF6"/>
    <w:rsid w:val="0092655C"/>
    <w:rsid w:val="00960585"/>
    <w:rsid w:val="00964964"/>
    <w:rsid w:val="00974167"/>
    <w:rsid w:val="00990644"/>
    <w:rsid w:val="009A5009"/>
    <w:rsid w:val="009D388B"/>
    <w:rsid w:val="009F57AD"/>
    <w:rsid w:val="00A0300E"/>
    <w:rsid w:val="00A10FB8"/>
    <w:rsid w:val="00A2481B"/>
    <w:rsid w:val="00A26C12"/>
    <w:rsid w:val="00A3700E"/>
    <w:rsid w:val="00A40718"/>
    <w:rsid w:val="00A44BD0"/>
    <w:rsid w:val="00A52FED"/>
    <w:rsid w:val="00A60804"/>
    <w:rsid w:val="00A60825"/>
    <w:rsid w:val="00A60B9C"/>
    <w:rsid w:val="00A76906"/>
    <w:rsid w:val="00A7725E"/>
    <w:rsid w:val="00A82F50"/>
    <w:rsid w:val="00A86457"/>
    <w:rsid w:val="00AA71E6"/>
    <w:rsid w:val="00AB6554"/>
    <w:rsid w:val="00B022D3"/>
    <w:rsid w:val="00B02D96"/>
    <w:rsid w:val="00B03B4E"/>
    <w:rsid w:val="00B10BB3"/>
    <w:rsid w:val="00B12410"/>
    <w:rsid w:val="00B16818"/>
    <w:rsid w:val="00B2665B"/>
    <w:rsid w:val="00B356D7"/>
    <w:rsid w:val="00B35AC7"/>
    <w:rsid w:val="00B420D0"/>
    <w:rsid w:val="00B50578"/>
    <w:rsid w:val="00B53278"/>
    <w:rsid w:val="00B602D3"/>
    <w:rsid w:val="00B94A43"/>
    <w:rsid w:val="00BB7C3F"/>
    <w:rsid w:val="00BC7A19"/>
    <w:rsid w:val="00BD6F1D"/>
    <w:rsid w:val="00BD733C"/>
    <w:rsid w:val="00BE1372"/>
    <w:rsid w:val="00BE31B6"/>
    <w:rsid w:val="00BF6F27"/>
    <w:rsid w:val="00BF7F0E"/>
    <w:rsid w:val="00C01451"/>
    <w:rsid w:val="00C05805"/>
    <w:rsid w:val="00C11CB0"/>
    <w:rsid w:val="00C27BB3"/>
    <w:rsid w:val="00C30773"/>
    <w:rsid w:val="00C328DF"/>
    <w:rsid w:val="00C6274E"/>
    <w:rsid w:val="00C64D13"/>
    <w:rsid w:val="00C76FE2"/>
    <w:rsid w:val="00C80D06"/>
    <w:rsid w:val="00C96D48"/>
    <w:rsid w:val="00CA4D45"/>
    <w:rsid w:val="00CB1591"/>
    <w:rsid w:val="00CC2EDF"/>
    <w:rsid w:val="00CC3733"/>
    <w:rsid w:val="00CD08B7"/>
    <w:rsid w:val="00CE3F42"/>
    <w:rsid w:val="00CE4ED7"/>
    <w:rsid w:val="00CF4FFE"/>
    <w:rsid w:val="00CF6D55"/>
    <w:rsid w:val="00D2600F"/>
    <w:rsid w:val="00D528AB"/>
    <w:rsid w:val="00D8047B"/>
    <w:rsid w:val="00D830C0"/>
    <w:rsid w:val="00D830D1"/>
    <w:rsid w:val="00D85E90"/>
    <w:rsid w:val="00D95303"/>
    <w:rsid w:val="00DE19DE"/>
    <w:rsid w:val="00E0080A"/>
    <w:rsid w:val="00E009DD"/>
    <w:rsid w:val="00E16A9D"/>
    <w:rsid w:val="00E36289"/>
    <w:rsid w:val="00E54256"/>
    <w:rsid w:val="00E57C3B"/>
    <w:rsid w:val="00E74BA9"/>
    <w:rsid w:val="00E95DA4"/>
    <w:rsid w:val="00EA3898"/>
    <w:rsid w:val="00EA6B12"/>
    <w:rsid w:val="00EC14CE"/>
    <w:rsid w:val="00EC37C0"/>
    <w:rsid w:val="00EF5394"/>
    <w:rsid w:val="00F02DAD"/>
    <w:rsid w:val="00F109CE"/>
    <w:rsid w:val="00F366A4"/>
    <w:rsid w:val="00F6346E"/>
    <w:rsid w:val="00F72CF5"/>
    <w:rsid w:val="00F73EC6"/>
    <w:rsid w:val="00F76EE2"/>
    <w:rsid w:val="00F92591"/>
    <w:rsid w:val="00F96583"/>
    <w:rsid w:val="00FA17D9"/>
    <w:rsid w:val="00FA245D"/>
    <w:rsid w:val="00FA422B"/>
    <w:rsid w:val="00FB584C"/>
    <w:rsid w:val="00FB5F68"/>
    <w:rsid w:val="00FB76D2"/>
    <w:rsid w:val="00FC5140"/>
    <w:rsid w:val="00FD016C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74587"/>
  <w14:defaultImageDpi w14:val="330"/>
  <w15:chartTrackingRefBased/>
  <w15:docId w15:val="{ABA5EACD-7335-4CBB-82D1-A005852C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Arial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279"/>
    <w:pPr>
      <w:spacing w:after="200" w:line="240" w:lineRule="auto"/>
    </w:pPr>
    <w:rPr>
      <w:rFonts w:asciiTheme="minorHAnsi" w:hAnsiTheme="minorHAnsi" w:cstheme="minorBidi"/>
      <w:color w:val="auto"/>
      <w:kern w:val="0"/>
      <w14:ligatures w14:val="none"/>
    </w:rPr>
  </w:style>
  <w:style w:type="paragraph" w:styleId="Heading1">
    <w:name w:val="heading 1"/>
    <w:basedOn w:val="Head1THF"/>
    <w:next w:val="Normal"/>
    <w:link w:val="Heading1Char"/>
    <w:qFormat/>
    <w:rsid w:val="00242625"/>
    <w:pPr>
      <w:keepNext/>
      <w:outlineLvl w:val="0"/>
    </w:pPr>
    <w:rPr>
      <w:rFonts w:ascii="Georgia" w:hAnsi="Georgia"/>
      <w:b w:val="0"/>
      <w:sz w:val="32"/>
      <w:szCs w:val="26"/>
    </w:rPr>
  </w:style>
  <w:style w:type="paragraph" w:styleId="Heading2">
    <w:name w:val="heading 2"/>
    <w:basedOn w:val="Head2THF"/>
    <w:next w:val="Normal"/>
    <w:link w:val="Heading2Char"/>
    <w:qFormat/>
    <w:rsid w:val="00536E38"/>
    <w:pPr>
      <w:keepNext/>
      <w:outlineLvl w:val="1"/>
    </w:pPr>
    <w:rPr>
      <w:rFonts w:ascii="Georgia" w:hAnsi="Georgia"/>
      <w:b w:val="0"/>
      <w:color w:val="DD0031" w:themeColor="accent1"/>
      <w:sz w:val="28"/>
    </w:rPr>
  </w:style>
  <w:style w:type="paragraph" w:styleId="Heading3">
    <w:name w:val="heading 3"/>
    <w:basedOn w:val="Head3THF"/>
    <w:next w:val="Normal"/>
    <w:link w:val="Heading3Char"/>
    <w:qFormat/>
    <w:rsid w:val="00536E38"/>
    <w:pPr>
      <w:keepNext/>
      <w:outlineLvl w:val="2"/>
    </w:pPr>
    <w:rPr>
      <w:b w:val="0"/>
      <w:i w:val="0"/>
      <w:color w:val="DD0031" w:themeColor="accent1"/>
      <w:sz w:val="24"/>
    </w:rPr>
  </w:style>
  <w:style w:type="paragraph" w:styleId="Heading4">
    <w:name w:val="heading 4"/>
    <w:basedOn w:val="Head4THF"/>
    <w:next w:val="Normal"/>
    <w:link w:val="Heading4Char"/>
    <w:qFormat/>
    <w:rsid w:val="00536E38"/>
    <w:pPr>
      <w:keepNext/>
      <w:outlineLvl w:val="3"/>
    </w:pPr>
    <w:rPr>
      <w:b/>
      <w:i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7BAE"/>
    <w:pPr>
      <w:keepNext/>
      <w:keepLines/>
      <w:spacing w:before="80" w:after="40" w:line="260" w:lineRule="exact"/>
      <w:outlineLvl w:val="4"/>
    </w:pPr>
    <w:rPr>
      <w:rFonts w:eastAsiaTheme="majorEastAsia" w:cstheme="majorBidi"/>
      <w:color w:val="A50024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BAE"/>
    <w:pPr>
      <w:keepNext/>
      <w:keepLines/>
      <w:spacing w:before="40" w:after="0" w:line="260" w:lineRule="exac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BAE"/>
    <w:pPr>
      <w:keepNext/>
      <w:keepLines/>
      <w:spacing w:before="40" w:after="0" w:line="260" w:lineRule="exact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BAE"/>
    <w:pPr>
      <w:keepNext/>
      <w:keepLines/>
      <w:spacing w:after="0" w:line="260" w:lineRule="exac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BAE"/>
    <w:pPr>
      <w:keepNext/>
      <w:keepLines/>
      <w:spacing w:after="0" w:line="260" w:lineRule="exact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6E18"/>
    <w:pPr>
      <w:tabs>
        <w:tab w:val="center" w:pos="4320"/>
        <w:tab w:val="right" w:pos="8640"/>
      </w:tabs>
      <w:spacing w:after="0" w:line="260" w:lineRule="exact"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F0E19"/>
  </w:style>
  <w:style w:type="paragraph" w:styleId="Footer">
    <w:name w:val="footer"/>
    <w:basedOn w:val="Normal"/>
    <w:link w:val="FooterChar"/>
    <w:uiPriority w:val="99"/>
    <w:rsid w:val="00123351"/>
    <w:pPr>
      <w:tabs>
        <w:tab w:val="center" w:pos="4320"/>
        <w:tab w:val="right" w:pos="8640"/>
      </w:tabs>
      <w:spacing w:after="0" w:line="200" w:lineRule="exact"/>
    </w:pPr>
    <w:rPr>
      <w:rFonts w:ascii="Arial" w:hAnsi="Arial" w:cs="Arial"/>
      <w:color w:val="000000" w:themeColor="text1"/>
      <w:kern w:val="2"/>
      <w:sz w:val="16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F0E19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3C6E18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E19"/>
    <w:rPr>
      <w:rFonts w:ascii="Lucida Grande" w:hAnsi="Lucida Grande" w:cs="Lucida Grande"/>
    </w:rPr>
  </w:style>
  <w:style w:type="table" w:styleId="TableGrid">
    <w:name w:val="Table Grid"/>
    <w:basedOn w:val="TableNormal"/>
    <w:uiPriority w:val="39"/>
    <w:rsid w:val="00797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HF">
    <w:name w:val="Body THF"/>
    <w:qFormat/>
    <w:rsid w:val="006C708B"/>
    <w:pPr>
      <w:tabs>
        <w:tab w:val="left" w:pos="6521"/>
      </w:tabs>
      <w:spacing w:after="240" w:line="264" w:lineRule="auto"/>
    </w:pPr>
    <w:rPr>
      <w:rFonts w:ascii="Arial" w:hAnsi="Arial"/>
      <w:sz w:val="22"/>
      <w:lang w:val="en-GB"/>
    </w:rPr>
  </w:style>
  <w:style w:type="character" w:customStyle="1" w:styleId="Heading1Char">
    <w:name w:val="Heading 1 Char"/>
    <w:basedOn w:val="DefaultParagraphFont"/>
    <w:link w:val="Heading1"/>
    <w:rsid w:val="00242625"/>
    <w:rPr>
      <w:sz w:val="32"/>
      <w:szCs w:val="26"/>
      <w:lang w:val="en-GB"/>
    </w:rPr>
  </w:style>
  <w:style w:type="character" w:styleId="PageNumber">
    <w:name w:val="page number"/>
    <w:basedOn w:val="DefaultParagraphFont"/>
    <w:uiPriority w:val="99"/>
    <w:semiHidden/>
    <w:rsid w:val="00123351"/>
    <w:rPr>
      <w:rFonts w:ascii="Arial" w:hAnsi="Arial"/>
    </w:rPr>
  </w:style>
  <w:style w:type="paragraph" w:customStyle="1" w:styleId="TitleTHF">
    <w:name w:val="Title THF"/>
    <w:basedOn w:val="Normal"/>
    <w:qFormat/>
    <w:rsid w:val="008B36C9"/>
    <w:pPr>
      <w:suppressAutoHyphens/>
      <w:spacing w:after="360" w:line="600" w:lineRule="exact"/>
    </w:pPr>
    <w:rPr>
      <w:rFonts w:ascii="Georgia" w:hAnsi="Georgia" w:cs="Arial"/>
      <w:color w:val="000000" w:themeColor="text1"/>
      <w:kern w:val="2"/>
      <w:sz w:val="52"/>
      <w:lang w:val="en-GB"/>
      <w14:ligatures w14:val="standardContextual"/>
    </w:rPr>
  </w:style>
  <w:style w:type="paragraph" w:customStyle="1" w:styleId="Head1THF">
    <w:name w:val="Head1 THF"/>
    <w:basedOn w:val="BodyTHF"/>
    <w:next w:val="BodyTHF"/>
    <w:semiHidden/>
    <w:qFormat/>
    <w:rsid w:val="00827DAB"/>
    <w:pPr>
      <w:spacing w:before="280" w:after="100"/>
    </w:pPr>
    <w:rPr>
      <w:b/>
    </w:rPr>
  </w:style>
  <w:style w:type="paragraph" w:customStyle="1" w:styleId="Head4THF">
    <w:name w:val="Head4 THF"/>
    <w:basedOn w:val="Head3THF"/>
    <w:semiHidden/>
    <w:qFormat/>
    <w:rsid w:val="00A86457"/>
    <w:rPr>
      <w:b w:val="0"/>
      <w:color w:val="000000" w:themeColor="text1"/>
    </w:rPr>
  </w:style>
  <w:style w:type="paragraph" w:customStyle="1" w:styleId="TabletextTHF">
    <w:name w:val="Table text THF"/>
    <w:basedOn w:val="BodyTHF"/>
    <w:qFormat/>
    <w:rsid w:val="006C708B"/>
    <w:pPr>
      <w:spacing w:before="120" w:after="120"/>
    </w:pPr>
  </w:style>
  <w:style w:type="paragraph" w:customStyle="1" w:styleId="DateTHF">
    <w:name w:val="Date THF"/>
    <w:basedOn w:val="BodyTHF"/>
    <w:qFormat/>
    <w:rsid w:val="00960585"/>
    <w:rPr>
      <w:b/>
      <w:i/>
      <w:noProof/>
    </w:rPr>
  </w:style>
  <w:style w:type="paragraph" w:customStyle="1" w:styleId="SubtitleTHF">
    <w:name w:val="Subtitle THF"/>
    <w:basedOn w:val="Normal"/>
    <w:qFormat/>
    <w:rsid w:val="005D08B2"/>
    <w:pPr>
      <w:tabs>
        <w:tab w:val="left" w:pos="6521"/>
      </w:tabs>
      <w:spacing w:before="240" w:after="240" w:line="264" w:lineRule="auto"/>
    </w:pPr>
    <w:rPr>
      <w:rFonts w:ascii="Arial" w:hAnsi="Arial" w:cs="Arial"/>
      <w:noProof/>
      <w:color w:val="000000" w:themeColor="text1"/>
      <w:kern w:val="2"/>
      <w:sz w:val="28"/>
      <w:lang w:val="en-GB"/>
      <w14:ligatures w14:val="standardContextual"/>
    </w:rPr>
  </w:style>
  <w:style w:type="paragraph" w:customStyle="1" w:styleId="BulletTHF">
    <w:name w:val="Bullet THF"/>
    <w:basedOn w:val="BodyTHF"/>
    <w:qFormat/>
    <w:rsid w:val="008B36C9"/>
    <w:pPr>
      <w:numPr>
        <w:numId w:val="1"/>
      </w:numPr>
      <w:ind w:left="680" w:hanging="680"/>
      <w:contextualSpacing/>
    </w:pPr>
  </w:style>
  <w:style w:type="paragraph" w:customStyle="1" w:styleId="Head2THF">
    <w:name w:val="Head2 THF"/>
    <w:basedOn w:val="Normal"/>
    <w:next w:val="BodyTHF"/>
    <w:semiHidden/>
    <w:qFormat/>
    <w:rsid w:val="00A86457"/>
    <w:pPr>
      <w:tabs>
        <w:tab w:val="left" w:pos="6521"/>
      </w:tabs>
      <w:spacing w:before="240" w:after="0" w:line="264" w:lineRule="auto"/>
    </w:pPr>
    <w:rPr>
      <w:rFonts w:ascii="Arial" w:hAnsi="Arial" w:cs="Arial"/>
      <w:b/>
      <w:noProof/>
      <w:color w:val="7F7F7F" w:themeColor="text1" w:themeTint="80"/>
      <w:kern w:val="2"/>
      <w:sz w:val="22"/>
      <w:lang w:val="en-GB"/>
      <w14:ligatures w14:val="standardContextual"/>
    </w:rPr>
  </w:style>
  <w:style w:type="paragraph" w:customStyle="1" w:styleId="Head3THF">
    <w:name w:val="Head3 THF"/>
    <w:basedOn w:val="Head2THF"/>
    <w:next w:val="BodyTHF"/>
    <w:semiHidden/>
    <w:qFormat/>
    <w:rsid w:val="00FD016C"/>
    <w:rPr>
      <w:i/>
    </w:rPr>
  </w:style>
  <w:style w:type="character" w:customStyle="1" w:styleId="Heading2Char">
    <w:name w:val="Heading 2 Char"/>
    <w:basedOn w:val="DefaultParagraphFont"/>
    <w:link w:val="Heading2"/>
    <w:rsid w:val="00536E38"/>
    <w:rPr>
      <w:noProof/>
      <w:color w:val="DD0031" w:themeColor="accent1"/>
      <w:sz w:val="28"/>
      <w:lang w:val="en-GB"/>
    </w:rPr>
  </w:style>
  <w:style w:type="paragraph" w:customStyle="1" w:styleId="ListNos2THF">
    <w:name w:val="ListNos2 THF"/>
    <w:basedOn w:val="Normal"/>
    <w:link w:val="ListNos2THFChar"/>
    <w:qFormat/>
    <w:rsid w:val="00604690"/>
    <w:pPr>
      <w:numPr>
        <w:ilvl w:val="1"/>
        <w:numId w:val="16"/>
      </w:numPr>
      <w:autoSpaceDE w:val="0"/>
      <w:autoSpaceDN w:val="0"/>
      <w:adjustRightInd w:val="0"/>
      <w:spacing w:line="280" w:lineRule="atLeast"/>
      <w:contextualSpacing/>
    </w:pPr>
    <w:rPr>
      <w:rFonts w:ascii="Arial" w:eastAsia="Times New Roman" w:hAnsi="Arial" w:cs="Times New Roman"/>
      <w:kern w:val="2"/>
      <w:sz w:val="22"/>
      <w:lang w:val="en-GB"/>
      <w14:ligatures w14:val="standardContextual"/>
    </w:rPr>
  </w:style>
  <w:style w:type="paragraph" w:customStyle="1" w:styleId="ListNos1THF">
    <w:name w:val="ListNos1 THF"/>
    <w:basedOn w:val="Heading1"/>
    <w:link w:val="ListNos1THFChar"/>
    <w:autoRedefine/>
    <w:qFormat/>
    <w:rsid w:val="00A2481B"/>
    <w:pPr>
      <w:numPr>
        <w:numId w:val="16"/>
      </w:numPr>
      <w:spacing w:line="280" w:lineRule="atLeast"/>
    </w:pPr>
    <w:rPr>
      <w:rFonts w:ascii="Arial" w:eastAsia="Times New Roman" w:hAnsi="Arial"/>
      <w:color w:val="auto"/>
      <w:kern w:val="32"/>
      <w:sz w:val="22"/>
      <w:szCs w:val="32"/>
    </w:rPr>
  </w:style>
  <w:style w:type="character" w:customStyle="1" w:styleId="ListNos2THFChar">
    <w:name w:val="ListNos2 THF Char"/>
    <w:basedOn w:val="DefaultParagraphFont"/>
    <w:link w:val="ListNos2THF"/>
    <w:rsid w:val="00604690"/>
    <w:rPr>
      <w:rFonts w:ascii="Arial" w:eastAsia="Times New Roman" w:hAnsi="Arial" w:cs="Times New Roman"/>
      <w:color w:val="auto"/>
      <w:sz w:val="22"/>
      <w:lang w:val="en-GB"/>
    </w:rPr>
  </w:style>
  <w:style w:type="paragraph" w:customStyle="1" w:styleId="ListBullet3THF">
    <w:name w:val="ListBullet3 THF"/>
    <w:basedOn w:val="ListBullet"/>
    <w:link w:val="ListBullet3THFChar"/>
    <w:qFormat/>
    <w:rsid w:val="000E6AD1"/>
    <w:pPr>
      <w:numPr>
        <w:numId w:val="3"/>
      </w:numPr>
      <w:spacing w:line="280" w:lineRule="atLeast"/>
      <w:ind w:left="1360" w:hanging="680"/>
      <w:contextualSpacing w:val="0"/>
    </w:pPr>
    <w:rPr>
      <w:rFonts w:ascii="Arial" w:eastAsia="Times New Roman" w:hAnsi="Arial" w:cs="Times New Roman"/>
      <w:color w:val="auto"/>
      <w:sz w:val="22"/>
    </w:rPr>
  </w:style>
  <w:style w:type="character" w:customStyle="1" w:styleId="ListNos1THFChar">
    <w:name w:val="ListNos1 THF Char"/>
    <w:basedOn w:val="Heading1Char"/>
    <w:link w:val="ListNos1THF"/>
    <w:rsid w:val="00A2481B"/>
    <w:rPr>
      <w:rFonts w:ascii="Arial" w:eastAsia="Times New Roman" w:hAnsi="Arial"/>
      <w:b w:val="0"/>
      <w:color w:val="auto"/>
      <w:kern w:val="32"/>
      <w:sz w:val="22"/>
      <w:szCs w:val="32"/>
      <w:lang w:val="en-GB"/>
    </w:rPr>
  </w:style>
  <w:style w:type="character" w:customStyle="1" w:styleId="ListBullet3THFChar">
    <w:name w:val="ListBullet3 THF Char"/>
    <w:basedOn w:val="DefaultParagraphFont"/>
    <w:link w:val="ListBullet3THF"/>
    <w:rsid w:val="000E6AD1"/>
    <w:rPr>
      <w:rFonts w:ascii="Arial" w:eastAsia="Times New Roman" w:hAnsi="Arial" w:cs="Times New Roman"/>
      <w:color w:val="auto"/>
      <w:sz w:val="22"/>
      <w:lang w:val="en-GB"/>
    </w:rPr>
  </w:style>
  <w:style w:type="paragraph" w:styleId="ListBullet">
    <w:name w:val="List Bullet"/>
    <w:basedOn w:val="Normal"/>
    <w:uiPriority w:val="99"/>
    <w:semiHidden/>
    <w:rsid w:val="00F96583"/>
    <w:pPr>
      <w:spacing w:after="0" w:line="260" w:lineRule="exact"/>
      <w:ind w:left="360" w:hanging="360"/>
      <w:contextualSpacing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character" w:customStyle="1" w:styleId="Heading3Char">
    <w:name w:val="Heading 3 Char"/>
    <w:basedOn w:val="DefaultParagraphFont"/>
    <w:link w:val="Heading3"/>
    <w:rsid w:val="00536E38"/>
    <w:rPr>
      <w:rFonts w:ascii="Arial" w:hAnsi="Arial"/>
      <w:noProof/>
      <w:color w:val="DD0031" w:themeColor="accent1"/>
      <w:lang w:val="en-GB"/>
    </w:rPr>
  </w:style>
  <w:style w:type="character" w:customStyle="1" w:styleId="Heading4Char">
    <w:name w:val="Heading 4 Char"/>
    <w:basedOn w:val="DefaultParagraphFont"/>
    <w:link w:val="Heading4"/>
    <w:rsid w:val="00536E38"/>
    <w:rPr>
      <w:rFonts w:ascii="Arial" w:hAnsi="Arial"/>
      <w:b/>
      <w:noProof/>
      <w:sz w:val="22"/>
      <w:lang w:val="en-GB"/>
    </w:rPr>
  </w:style>
  <w:style w:type="paragraph" w:styleId="Title">
    <w:name w:val="Title"/>
    <w:basedOn w:val="TitleTHF"/>
    <w:next w:val="Normal"/>
    <w:link w:val="TitleChar"/>
    <w:uiPriority w:val="10"/>
    <w:semiHidden/>
    <w:qFormat/>
    <w:rsid w:val="00BD6F1D"/>
    <w:rPr>
      <w:noProof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D6F1D"/>
    <w:rPr>
      <w:noProof/>
      <w:sz w:val="70"/>
    </w:rPr>
  </w:style>
  <w:style w:type="paragraph" w:styleId="Subtitle">
    <w:name w:val="Subtitle"/>
    <w:basedOn w:val="SubtitleTHF"/>
    <w:next w:val="Normal"/>
    <w:link w:val="SubtitleChar"/>
    <w:uiPriority w:val="11"/>
    <w:semiHidden/>
    <w:qFormat/>
    <w:rsid w:val="00BD6F1D"/>
  </w:style>
  <w:style w:type="character" w:customStyle="1" w:styleId="SubtitleChar">
    <w:name w:val="Subtitle Char"/>
    <w:basedOn w:val="DefaultParagraphFont"/>
    <w:link w:val="Subtitle"/>
    <w:uiPriority w:val="11"/>
    <w:semiHidden/>
    <w:rsid w:val="00BD6F1D"/>
    <w:rPr>
      <w:rFonts w:ascii="Arial" w:hAnsi="Arial"/>
      <w:i/>
      <w:noProof/>
      <w:lang w:val="en-GB"/>
    </w:rPr>
  </w:style>
  <w:style w:type="character" w:styleId="Hyperlink">
    <w:name w:val="Hyperlink"/>
    <w:uiPriority w:val="99"/>
    <w:rsid w:val="002F387A"/>
    <w:rPr>
      <w:color w:val="DD0031" w:themeColor="accent1"/>
    </w:rPr>
  </w:style>
  <w:style w:type="paragraph" w:customStyle="1" w:styleId="ListNos3THF">
    <w:name w:val="ListNos3 THF"/>
    <w:basedOn w:val="ListNos2THF"/>
    <w:qFormat/>
    <w:rsid w:val="00604690"/>
    <w:pPr>
      <w:numPr>
        <w:ilvl w:val="2"/>
      </w:numPr>
    </w:pPr>
  </w:style>
  <w:style w:type="numbering" w:customStyle="1" w:styleId="THFListNos">
    <w:name w:val="THF ListNos"/>
    <w:uiPriority w:val="99"/>
    <w:rsid w:val="00604690"/>
    <w:pPr>
      <w:numPr>
        <w:numId w:val="14"/>
      </w:numPr>
    </w:pPr>
  </w:style>
  <w:style w:type="paragraph" w:customStyle="1" w:styleId="ListNos4THF">
    <w:name w:val="ListNos4 THF"/>
    <w:basedOn w:val="ListNos3THF"/>
    <w:qFormat/>
    <w:rsid w:val="00604690"/>
    <w:pPr>
      <w:numPr>
        <w:ilvl w:val="3"/>
      </w:numPr>
    </w:pPr>
  </w:style>
  <w:style w:type="paragraph" w:styleId="TOCHeading">
    <w:name w:val="TOC Heading"/>
    <w:basedOn w:val="Heading1"/>
    <w:next w:val="Normal"/>
    <w:uiPriority w:val="39"/>
    <w:unhideWhenUsed/>
    <w:rsid w:val="00CD08B7"/>
    <w:pPr>
      <w:keepLines/>
      <w:tabs>
        <w:tab w:val="clear" w:pos="6521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50024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D08B7"/>
    <w:pPr>
      <w:spacing w:after="100" w:line="260" w:lineRule="exact"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paragraph" w:styleId="TOC2">
    <w:name w:val="toc 2"/>
    <w:basedOn w:val="Normal"/>
    <w:next w:val="Normal"/>
    <w:autoRedefine/>
    <w:uiPriority w:val="39"/>
    <w:unhideWhenUsed/>
    <w:rsid w:val="00CD08B7"/>
    <w:pPr>
      <w:spacing w:after="100" w:line="260" w:lineRule="exact"/>
      <w:ind w:left="240"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paragraph" w:styleId="TOC3">
    <w:name w:val="toc 3"/>
    <w:basedOn w:val="Normal"/>
    <w:next w:val="Normal"/>
    <w:autoRedefine/>
    <w:uiPriority w:val="39"/>
    <w:unhideWhenUsed/>
    <w:rsid w:val="00CD08B7"/>
    <w:pPr>
      <w:spacing w:after="100" w:line="260" w:lineRule="exact"/>
      <w:ind w:left="480"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2F387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87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2AD"/>
    <w:pPr>
      <w:spacing w:after="0"/>
    </w:pPr>
    <w:rPr>
      <w:rFonts w:ascii="Georgia" w:eastAsia="MS Mincho" w:hAnsi="Georgia" w:cs="Arial"/>
      <w:color w:val="000000"/>
      <w:kern w:val="2"/>
      <w:sz w:val="20"/>
      <w:szCs w:val="20"/>
      <w:lang w:val="en-GB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2AD"/>
    <w:rPr>
      <w:rFonts w:eastAsia="MS Mincho"/>
      <w:color w:val="00000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876"/>
    <w:rPr>
      <w:rFonts w:eastAsia="MS Mincho"/>
      <w:b/>
      <w:bCs/>
      <w:color w:val="000000"/>
      <w:sz w:val="20"/>
      <w:szCs w:val="20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532AD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532AD"/>
  </w:style>
  <w:style w:type="character" w:customStyle="1" w:styleId="Heading5Char">
    <w:name w:val="Heading 5 Char"/>
    <w:basedOn w:val="DefaultParagraphFont"/>
    <w:link w:val="Heading5"/>
    <w:uiPriority w:val="9"/>
    <w:semiHidden/>
    <w:rsid w:val="00127BAE"/>
    <w:rPr>
      <w:rFonts w:asciiTheme="minorHAnsi" w:eastAsiaTheme="majorEastAsia" w:hAnsiTheme="minorHAnsi" w:cstheme="majorBidi"/>
      <w:color w:val="A50024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BAE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BAE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BAE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BAE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127BAE"/>
    <w:pPr>
      <w:spacing w:before="160" w:after="160" w:line="260" w:lineRule="exact"/>
      <w:jc w:val="center"/>
    </w:pPr>
    <w:rPr>
      <w:rFonts w:ascii="Georgia" w:hAnsi="Georgia" w:cs="Arial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BA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rsid w:val="00127BAE"/>
    <w:pPr>
      <w:spacing w:after="0" w:line="260" w:lineRule="exact"/>
      <w:ind w:left="720"/>
      <w:contextualSpacing/>
    </w:pPr>
    <w:rPr>
      <w:rFonts w:ascii="Georgia" w:hAnsi="Georgia" w:cs="Arial"/>
      <w:color w:val="000000" w:themeColor="text1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rsid w:val="00127BAE"/>
    <w:rPr>
      <w:i/>
      <w:iCs/>
      <w:color w:val="A5002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127BAE"/>
    <w:pPr>
      <w:pBdr>
        <w:top w:val="single" w:sz="4" w:space="10" w:color="A50024" w:themeColor="accent1" w:themeShade="BF"/>
        <w:bottom w:val="single" w:sz="4" w:space="10" w:color="A50024" w:themeColor="accent1" w:themeShade="BF"/>
      </w:pBdr>
      <w:spacing w:before="360" w:after="360" w:line="260" w:lineRule="exact"/>
      <w:ind w:left="864" w:right="864"/>
      <w:jc w:val="center"/>
    </w:pPr>
    <w:rPr>
      <w:rFonts w:ascii="Georgia" w:hAnsi="Georgia" w:cs="Arial"/>
      <w:i/>
      <w:iCs/>
      <w:color w:val="A50024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BAE"/>
    <w:rPr>
      <w:i/>
      <w:iCs/>
      <w:color w:val="A50024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rsid w:val="00127BAE"/>
    <w:rPr>
      <w:b/>
      <w:bCs/>
      <w:smallCaps/>
      <w:color w:val="A50024" w:themeColor="accent1" w:themeShade="BF"/>
      <w:spacing w:val="5"/>
    </w:rPr>
  </w:style>
  <w:style w:type="table" w:customStyle="1" w:styleId="Table">
    <w:name w:val="Table"/>
    <w:semiHidden/>
    <w:unhideWhenUsed/>
    <w:qFormat/>
    <w:rsid w:val="00395279"/>
    <w:pPr>
      <w:spacing w:after="200" w:line="240" w:lineRule="auto"/>
    </w:pPr>
    <w:rPr>
      <w:rFonts w:asciiTheme="minorHAnsi" w:hAnsiTheme="minorHAnsi" w:cstheme="minorBidi"/>
      <w:color w:val="auto"/>
      <w:kern w:val="0"/>
      <w:sz w:val="20"/>
      <w:szCs w:val="20"/>
      <w:lang w:val="en-GB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NormalWeb">
    <w:name w:val="Normal (Web)"/>
    <w:basedOn w:val="Normal"/>
    <w:uiPriority w:val="99"/>
    <w:unhideWhenUsed/>
    <w:rsid w:val="002C0E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Revision">
    <w:name w:val="Revision"/>
    <w:hidden/>
    <w:uiPriority w:val="99"/>
    <w:semiHidden/>
    <w:rsid w:val="00904E8A"/>
    <w:pPr>
      <w:spacing w:line="240" w:lineRule="auto"/>
    </w:pPr>
    <w:rPr>
      <w:rFonts w:asciiTheme="minorHAnsi" w:hAnsiTheme="minorHAnsi" w:cstheme="minorBidi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THF charts">
      <a:dk1>
        <a:srgbClr val="000000"/>
      </a:dk1>
      <a:lt1>
        <a:sysClr val="window" lastClr="FFFFFF"/>
      </a:lt1>
      <a:dk2>
        <a:srgbClr val="524C48"/>
      </a:dk2>
      <a:lt2>
        <a:srgbClr val="E2DFD8"/>
      </a:lt2>
      <a:accent1>
        <a:srgbClr val="DD0031"/>
      </a:accent1>
      <a:accent2>
        <a:srgbClr val="53A9CD"/>
      </a:accent2>
      <a:accent3>
        <a:srgbClr val="744284"/>
      </a:accent3>
      <a:accent4>
        <a:srgbClr val="F39214"/>
      </a:accent4>
      <a:accent5>
        <a:srgbClr val="2A7979"/>
      </a:accent5>
      <a:accent6>
        <a:srgbClr val="EE9B90"/>
      </a:accent6>
      <a:hlink>
        <a:srgbClr val="0C402B"/>
      </a:hlink>
      <a:folHlink>
        <a:srgbClr val="DD0031"/>
      </a:folHlink>
    </a:clrScheme>
    <a:fontScheme name="The Health Foundation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D114E08172F42ACAD0007B62873BF" ma:contentTypeVersion="18" ma:contentTypeDescription="Create a new document." ma:contentTypeScope="" ma:versionID="78880ca52c99926b218f8514ad2a2ca3">
  <xsd:schema xmlns:xsd="http://www.w3.org/2001/XMLSchema" xmlns:xs="http://www.w3.org/2001/XMLSchema" xmlns:p="http://schemas.microsoft.com/office/2006/metadata/properties" xmlns:ns2="bda2d829-7698-4afb-aac2-829c1fbf7a9e" xmlns:ns3="753162df-36ab-44ab-b2e1-3c9acdb5c662" xmlns:ns4="c8a5855d-a9a9-44b4-8d1f-bf84e3fcd13a" targetNamespace="http://schemas.microsoft.com/office/2006/metadata/properties" ma:root="true" ma:fieldsID="e577317a5114995b8b868d5181d23d80" ns2:_="" ns3:_="" ns4:_="">
    <xsd:import namespace="bda2d829-7698-4afb-aac2-829c1fbf7a9e"/>
    <xsd:import namespace="753162df-36ab-44ab-b2e1-3c9acdb5c662"/>
    <xsd:import namespace="c8a5855d-a9a9-44b4-8d1f-bf84e3fcd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d829-7698-4afb-aac2-829c1fbf7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a14c2c-79dc-4c20-a3ee-d5d78c7fd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62df-36ab-44ab-b2e1-3c9acdb5c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855d-a9a9-44b4-8d1f-bf84e3fcd1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44d4a0-6082-4ddc-ad7b-05f47b1ca72a}" ma:internalName="TaxCatchAll" ma:showField="CatchAllData" ma:web="957f75c2-28f1-43ba-a3c8-dd78ffc7c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a5855d-a9a9-44b4-8d1f-bf84e3fcd13a" xsi:nil="true"/>
    <lcf76f155ced4ddcb4097134ff3c332f xmlns="bda2d829-7698-4afb-aac2-829c1fbf7a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1D0AE9-E6EE-411D-A167-51F60EE418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750FE7-372E-46E6-AFDE-A4263F45D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2d829-7698-4afb-aac2-829c1fbf7a9e"/>
    <ds:schemaRef ds:uri="753162df-36ab-44ab-b2e1-3c9acdb5c662"/>
    <ds:schemaRef ds:uri="c8a5855d-a9a9-44b4-8d1f-bf84e3fc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62E95D-67FA-40D5-A3FE-D45980694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40877-4796-47E9-A11A-303A9799E0CB}">
  <ds:schemaRefs>
    <ds:schemaRef ds:uri="http://schemas.microsoft.com/office/2006/metadata/properties"/>
    <ds:schemaRef ds:uri="http://schemas.microsoft.com/office/infopath/2007/PartnerControls"/>
    <ds:schemaRef ds:uri="c8a5855d-a9a9-44b4-8d1f-bf84e3fcd13a"/>
    <ds:schemaRef ds:uri="bda2d829-7698-4afb-aac2-829c1fbf7a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Opie-Martin</dc:creator>
  <cp:keywords/>
  <dc:description/>
  <cp:lastModifiedBy>Jonathan Clarke</cp:lastModifiedBy>
  <cp:revision>73</cp:revision>
  <cp:lastPrinted>2013-09-05T19:46:00Z</cp:lastPrinted>
  <dcterms:created xsi:type="dcterms:W3CDTF">2025-07-07T21:07:00Z</dcterms:created>
  <dcterms:modified xsi:type="dcterms:W3CDTF">2025-09-01T14:21:00Z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0x0101003ACD114E08172F42ACAD0007B62873BF</vt:lpwstr>
  </property>
  <property fmtid="{D5CDD505-2E9C-101B-9397-08002B2CF9AE}" pid="3" name="MediaServiceImageTags">
    <vt:lpwstr/>
  </property>
</Properties>
</file>