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FEAFD" w14:textId="77777777" w:rsidR="009F50A0" w:rsidRPr="001E0CA2" w:rsidRDefault="009F50A0" w:rsidP="009F50A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E0CA2">
        <w:rPr>
          <w:rFonts w:ascii="Times New Roman" w:hAnsi="Times New Roman" w:cs="Times New Roman"/>
          <w:b/>
          <w:bCs/>
          <w:sz w:val="20"/>
          <w:szCs w:val="20"/>
        </w:rPr>
        <w:t>Appendix 1 Summary of included articles</w:t>
      </w:r>
    </w:p>
    <w:p w14:paraId="21A69B6B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1E0CA2">
        <w:rPr>
          <w:rFonts w:ascii="Times New Roman" w:hAnsi="Times New Roman" w:cs="Times New Roman"/>
          <w:sz w:val="20"/>
          <w:szCs w:val="20"/>
        </w:rPr>
        <w:t xml:space="preserve">Ambrosetti, A., Crotta, F., &amp; Zampieri, S. (2017). PISA 2015: Expectations about future education and life satisfaction of Swiss students. In J. Marcionetti, L. Castelli, &amp; A. Crescentini (Eds.), </w:t>
      </w:r>
      <w:r w:rsidRPr="001E0CA2">
        <w:rPr>
          <w:rFonts w:ascii="Times New Roman" w:hAnsi="Times New Roman" w:cs="Times New Roman"/>
          <w:i/>
          <w:iCs/>
          <w:sz w:val="20"/>
          <w:szCs w:val="20"/>
        </w:rPr>
        <w:t>Well-being in education systems: Conference abstract book, Locarno, 2017</w:t>
      </w:r>
      <w:r w:rsidRPr="001E0CA2">
        <w:rPr>
          <w:rFonts w:ascii="Times New Roman" w:hAnsi="Times New Roman" w:cs="Times New Roman"/>
          <w:sz w:val="20"/>
          <w:szCs w:val="20"/>
        </w:rPr>
        <w:t xml:space="preserve"> (pp. 129-133). Hogrete Editore.</w:t>
      </w:r>
    </w:p>
    <w:p w14:paraId="0FA5117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Basarkod, G., Dicke, T., Allen, K., Parker, P. D., Ryan, M., Marsh, H. W., Carrick, Z. T., &amp; Guo, J. (2024). Do intercultural education and attitudes promote student wellbeing and social outcomes? An examination across PISA countries.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Learning and Instruction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91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(101879). https://doi.org/10.1016/j.learninstruc.2024.101879 </w:t>
      </w:r>
    </w:p>
    <w:p w14:paraId="4A9CDC66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Borgonovi, F., &amp; Han, S. W. (2021). Gender disparities in fear of failure among 15-year-old students: The role of gender inequality, the organisation of schooling and economic conditions.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Journal of Adolescence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86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, 28-39. https://doi.org/10.1016/j.adolescence.2020.11.009 </w:t>
      </w:r>
    </w:p>
    <w:p w14:paraId="7EC015C9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Cho, A. (2019). Emotional well-being of children and adolescents: Recent trends and relevant factors.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Children and Youth Services Review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102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231–242. https://doi.org/10.1016/j.childyouth.2019.05.002</w:t>
      </w:r>
    </w:p>
    <w:p w14:paraId="2A10ACF8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Chue, K. L., &amp; Yeo, A. (2023). Exploring associations of positive relationships and adolescent well-being across cultures.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Youth &amp; Society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55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(5), 873–894. https://doi.org/10.1177/0044118X221109305</w:t>
      </w:r>
    </w:p>
    <w:p w14:paraId="5CC85DC4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Courtney, M. G. R., Hernández‑Torrano, D., Karakus, M., &amp; Singh, N. (2023). Measuring student well-being in adolescence: Proposal of a five-factor integrative model based on PISA 2018 survey data.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Large-Scale Assessments in Education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11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(20), 1-28. https://doi.org/10.1186/s40536-023-00170-y</w:t>
      </w:r>
    </w:p>
    <w:p w14:paraId="0DC20079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Erdem, C., &amp; Kaya, M. (2021). Socioeconomic status and wellbeing as predictors of students’ academic achievement: Evidence from a developing country.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Journal of Psychologists and Counsellors in Schools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1-19. https://doi.org/10.1017/jgc.2021.10</w:t>
      </w:r>
    </w:p>
    <w:p w14:paraId="6698D462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Esidio, E. C., França, M. T. A., &amp; Frio, G. S. (2023). Differences between genders in the subjective well‑being of students participating in PISA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16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, 1781–1809. </w:t>
      </w:r>
      <w:hyperlink r:id="rId4" w:history="1">
        <w:r w:rsidRPr="001E0CA2">
          <w:rPr>
            <w:rStyle w:val="Hyperlink"/>
            <w:rFonts w:ascii="Times New Roman" w:hAnsi="Times New Roman" w:cs="Times New Roman"/>
            <w:kern w:val="0"/>
            <w:sz w:val="20"/>
            <w:szCs w:val="20"/>
          </w:rPr>
          <w:t>https://doi.org/10.1007/s12187-023-10034-0</w:t>
        </w:r>
      </w:hyperlink>
    </w:p>
    <w:p w14:paraId="101896C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González‐Gallardo, S., Henriques, C., Marcenaro‐Gutierrez, O., &amp; Luque, M. (2022). A novel approach for exploring the trade‐offs between several features of students’ well‐being.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International Transactions in Operational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29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(3), 1723-1748. https://doi.org/10.1111/itor.12949</w:t>
      </w:r>
    </w:p>
    <w:p w14:paraId="1A5E498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Govorova, E., Benítez, I., &amp; Muñiz, J. (2020). How schools affect student well-being: A cross-cultural approach in 35 OECD countries.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Frontiers in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11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431. https://doi.org/10.1007/s12187-020-09758-0</w:t>
      </w:r>
    </w:p>
    <w:p w14:paraId="2E38BBEE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Govorova, E., Benítez, I., &amp; Muñiz, J. (2020). Predicting student well-being: Network analysis based on PISA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International Journal of Environmental Research and Public Health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17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(4014), 1-18. https://doi.org/doi:10.3390/ijerph17114014</w:t>
      </w:r>
    </w:p>
    <w:p w14:paraId="518E7027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Guo, J., Basarkod, G., Perales, F., Parker, P. D., Marsh, H. W., Donald, J., Dicke, T., Sahdra, B. K., Ciarrochi, J., &amp; Hu, X. (2022). The equality paradox: Gender equality intensifies male advantages in high school students’ subjective well-being.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Personality and Social Psychology Bulletin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1-18. https://doi.org/10.1177/01461672221125619</w:t>
      </w:r>
    </w:p>
    <w:p w14:paraId="60716813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Högberg, B. (2023). Is there a trade-off between achievement and wellbeing in education systems? New cross-country evidence.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16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2165–2186. https://doi.org/10.1007/s12187-023-10047-9</w:t>
      </w:r>
    </w:p>
    <w:p w14:paraId="79B28DEB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Högberg, B., &amp; Lindgren, J. (2023). From a crisis of results to a crisis of wellbeing–education reform and the declining sense of school belonging in Sweden.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Comparative Education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59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(1), 18-37. https://doi.org/10.1080/03050068.2022.2140894</w:t>
      </w:r>
    </w:p>
    <w:p w14:paraId="51FB7B96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Huang, L. (2021). Bullying victimization, self-efficacy, fear of failure, and adolescents’ subjective well-being in China.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Children and Youth Services Review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127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(106084). https://doi.org/10.1016/j.childyouth.2021.106084</w:t>
      </w:r>
    </w:p>
    <w:p w14:paraId="37C11637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Jakubowski, M., &amp; Gajderowicz, T. (2020). Student well-being factors: A multilevel analysis of PISA 2015 international data.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European Research Studies Journal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XXIII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(4), 1312-1333. https://doi.org/10.35808/ersj/1912</w:t>
      </w:r>
    </w:p>
    <w:p w14:paraId="057E04F7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noProof w:val="0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Kaptan, O., Karabay, A., &amp; Kocabaş, İ. (2023). A panel data analysis of the effect of well‑being on PISA maths skills from the perspective of equality.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Quality and Quantity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13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. https://doi.org/10.1007/s11135-023-01624-9</w:t>
      </w:r>
    </w:p>
    <w:p w14:paraId="4E91280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Katsantonis, I., Barrado, B., McLellan, R., &amp; Gimenez, G. (2024). Subjective well-being and bullying victimisation: A cross-national study of adolescents in 64 countries and economies.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17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(4), 1563–1585. https://doi.org/10.1007/s12187-024-10147-0</w:t>
      </w:r>
    </w:p>
    <w:p w14:paraId="31BAA75C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King, R. B., Wang, Y., Fu, L., &amp; Leung, S. O. (2023). What are the top predictors of students’ well-being across cultures? Combining machine learning and conventional statistics.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Research Square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1-50. https://doi.org/10.21203/rs.3.rs-3362788/v1</w:t>
      </w:r>
    </w:p>
    <w:p w14:paraId="60B33B14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Kozina, A., &amp; Štraus, M. (2017). Relationship between academic achievement as measured in the PISA study and wellbeing indicators: Preliminary findings.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Solsko Polje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28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(5/6), 185-212.</w:t>
      </w:r>
      <w:r w:rsidRPr="001E0CA2">
        <w:rPr>
          <w:rFonts w:ascii="Times New Roman" w:hAnsi="Times New Roman" w:cs="Times New Roman"/>
          <w:noProof w:val="0"/>
          <w:kern w:val="0"/>
          <w:sz w:val="20"/>
          <w:szCs w:val="20"/>
        </w:rPr>
        <w:t xml:space="preserve"> 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http://www.dlib.si </w:t>
      </w:r>
      <w:r w:rsidRPr="001E0CA2">
        <w:rPr>
          <w:rStyle w:val="Hyperlink"/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56EE531E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noProof w:val="0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Liang, H., Wang, Z., &amp; Wu, W. (2022). The Effect of Shadow Education on Hong Kong Student Wellbeing: Evidence From PISA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Frontiers in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13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860179-860179. https://doi.org/10.3389/fpsyg.2022.860179</w:t>
      </w:r>
    </w:p>
    <w:p w14:paraId="0FF79279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Liu, A., Wei, Y., Xiu, Q., Yao, H., &amp; Liu, J. (2023). How learning time allocation make sense on secondary school students’ academic performance: A Chinese evidence based on PISA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Behavioural Sciences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13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(237). https://doi.org/10.3390/bs13030237</w:t>
      </w:r>
    </w:p>
    <w:p w14:paraId="27BAE701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Lou, N. M., &amp; Li, L. M. W. (2022). The mindsets × societal norm effect across 78 cultures: Growth mindsets are linked to performance weakly and well-being negatively in societies with fixed-mindset norms.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British Journal of Educational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93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134–152. https://doi.org/10.1111/bjep.12544</w:t>
      </w:r>
    </w:p>
    <w:p w14:paraId="483CC9E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Luan, X., Liu, J., &amp; Luo, X. (2022). Examining the link between physical activity and cognitive function: A parallel mediation model of health and wellbeing among adolescents.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Frontiers in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13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(764842). https://doi.org/10.3389/fpsyg.2022.764842</w:t>
      </w:r>
    </w:p>
    <w:p w14:paraId="5F1BB4FB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Marquez, J., &amp; Long, E. (2021). A global decline in adolescents’ subjective well-being: a comparative study exploring patterns of change in the life satisfaction of 15-year-old students in 46 countries.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14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(3), 1251-1292. https://doi.org/10.1007/s12187-020-09788-8</w:t>
      </w:r>
    </w:p>
    <w:p w14:paraId="44FAF53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  <w:u w:val="single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Marquez, J., &amp; Main, G. (2021). Can schools and education policy make children happier? A comparative study in 33 countries.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14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(1), 283-339. https://doi.org/10.1007/s12187-020-09758-0</w:t>
      </w:r>
    </w:p>
    <w:p w14:paraId="6A9F5996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Marquez, J., Lambert, L., &amp; Cutts, M. (2022). Geographic, socio-demographic and school type variation in adolescent wellbeing and mental health and links with academic competence in the United Arab Emirates.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1-40. https://doi.org/doi.org/10.1007/s12187-022-09993-7</w:t>
      </w:r>
    </w:p>
    <w:p w14:paraId="7E3CB850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>Marquez, J., Lambert, L., &amp; Khanna, D. (2022). Exploring factors associated with student wellbeing in the United Arab Emirates: PISA 2018. https://doi.org/doi.org/10.31235/osf.io/jby7x</w:t>
      </w:r>
    </w:p>
    <w:p w14:paraId="7A77D9A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Meng, J., &amp; Liu, S. (2022). Effects of culture on the balance between mathematics achievement and subjective wellbeing.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Frontiers in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13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(13:894774). https://doi.org/10.3389/fpsyg.2022.894774</w:t>
      </w:r>
    </w:p>
    <w:p w14:paraId="62E6FBE5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Molina-Muñoz D, C.-G. J. a., &amp; E, M.-P. (2023). Does the psychoemotional well-being of Spanish students influence their mathematical literacy? An evidence from PISA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Frontiers in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14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(1196529). https://doi.org/doi: 10.3389/fpsyg.2023.1196529</w:t>
      </w:r>
    </w:p>
    <w:p w14:paraId="525A5AA1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Ortega-Ruipérez, B., Castellanos-Sánchez, A., &amp; Marcano Larez, B. E. (2021). Risks in adolescent adjustment by internet exposure: Evidence from PISA.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Frontiers in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4532. https://doi.org/10.3389/fpsyg.2021.763759</w:t>
      </w:r>
    </w:p>
    <w:p w14:paraId="6F53B58A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1E0CA2">
        <w:rPr>
          <w:rFonts w:ascii="Times New Roman" w:hAnsi="Times New Roman" w:cs="Times New Roman"/>
          <w:sz w:val="20"/>
          <w:szCs w:val="20"/>
        </w:rPr>
        <w:t xml:space="preserve">Resino, D. A., Constante-Amores, A., Madrona, P. G., &amp; López, P. J. C. (2024). Student well-being and mathematical literacy performance in PISA 2018: A machine-learning approach. </w:t>
      </w:r>
      <w:r w:rsidRPr="001E0CA2">
        <w:rPr>
          <w:rFonts w:ascii="Times New Roman" w:hAnsi="Times New Roman" w:cs="Times New Roman"/>
          <w:i/>
          <w:iCs/>
          <w:sz w:val="20"/>
          <w:szCs w:val="20"/>
        </w:rPr>
        <w:t>Educational Psychology</w:t>
      </w:r>
      <w:r w:rsidRPr="001E0CA2">
        <w:rPr>
          <w:rFonts w:ascii="Times New Roman" w:hAnsi="Times New Roman" w:cs="Times New Roman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sz w:val="20"/>
          <w:szCs w:val="20"/>
        </w:rPr>
        <w:t xml:space="preserve"> 44</w:t>
      </w:r>
      <w:r w:rsidRPr="001E0CA2">
        <w:rPr>
          <w:rFonts w:ascii="Times New Roman" w:hAnsi="Times New Roman" w:cs="Times New Roman"/>
          <w:sz w:val="20"/>
          <w:szCs w:val="20"/>
        </w:rPr>
        <w:t xml:space="preserve">(3), 340-357. https://doi.org/10.1080/01443410.2024.2359104 </w:t>
      </w:r>
    </w:p>
    <w:p w14:paraId="79687447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Rodríguez, S., Valle, A., Gironelli, L. M., Guerrero, E., Regueiro, B., &amp; Estévez, I. (2020). Performance and well-being of native and immigrant students. Comparative analysis based on PISA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Journal of Adolescence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85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96-105. https://doi.org/10.1016/j.adolescence.2020.10.001</w:t>
      </w:r>
    </w:p>
    <w:p w14:paraId="3741BF74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Rohatgi, A., &amp; Scherer, R. (2020). Identifying profiles of students’ school climate perceptions using PISA 2015 data.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Large-Scale Assessments in Education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8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(1), 1-25. https://doi.org/10.1186/s40536-020-00083-0</w:t>
      </w:r>
    </w:p>
    <w:p w14:paraId="705AA220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Rudolf, R., &amp; Lee, J. (2023). School climate, academic performance, and adolescent well‑being in Korea: The roles of competition and cooperation.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16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917–940. https://doi.org/10.1007/s12187-022-10005-x</w:t>
      </w:r>
    </w:p>
    <w:p w14:paraId="600A8F6C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Seon, Y., &amp; Smith‐Adcock, S. (2021). School belonging, self‐efficacy, and meaning in life as mediators of bullying victimization and subjective well‐being in adolescents.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Psychology in the Schools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58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1753–1767. https://doi.org/10.1002/pits.22534</w:t>
      </w:r>
    </w:p>
    <w:p w14:paraId="102D0E5C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Siebecke, D. E. (2023). Does social well‑being predict academic resilience and achievement? Analysis of Swedish PISA 2018 data.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European Journal of Psychology of Education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0123456789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. https://doi.org/10.1007/s10212-023-00762-w </w:t>
      </w:r>
    </w:p>
    <w:p w14:paraId="2B8C9705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Sit, P., Cheung, K., Leong, M., &amp; Mak, S. (2021). Students’ frequent exposure to bullying: Comparing between low-achieving students of Macao and Taiwan in PISA 2015 well-being study.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Educational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41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(3), 302-319. https://doi.org/10.1080/01443410.2021.1876214</w:t>
      </w:r>
    </w:p>
    <w:p w14:paraId="4B8A6C1D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Su, M., &amp; Lee, J. (2023). Eastern versus Western gaps in whole child education: How school climate works for academic achievement and well‑being across China, Korea, Finland, and the United States.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Educational Research for Policy and Practice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117–138. https://doi.org/10.1007/s10671-022-09322-3</w:t>
      </w:r>
    </w:p>
    <w:p w14:paraId="18627173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Villar-Aldonza, A. (2023). To what extent a modern teaching style benefits students? Why do teachers act the way they do?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Journal of Computer Assisted Learning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39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578–590. https://doi.org/0.1111/jcal.12765</w:t>
      </w:r>
    </w:p>
    <w:p w14:paraId="13A7053F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Wang, Z. (2021). Mind the gap: Examining migrant-native disparities in reading performance and subjective wellbeing among 15-year-old students in different education systems.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International Journal of Educational Research Open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2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 100087. https://doi.org/10.1016/j.ijedro.2021.100087</w:t>
      </w:r>
    </w:p>
    <w:p w14:paraId="09810BC5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Wang, Y., King, R., &amp; Leung, S. O. (2022). Understanding Chinese students' well-being: A machine learning study.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, 1-36. https://doi.org/10.1007/s12187-022-09997-3 </w:t>
      </w:r>
    </w:p>
    <w:p w14:paraId="36AD3BCA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Style w:val="Hyperlink"/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Wang, Y., King, R. B., Wang, F., &amp; Leung, S. O. (2021). Need-supportive teaching is positively associated with students' well-being: A cross-cultural study.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Learning and Individual Differences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92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(102051), 1-13. https://doi.org/https://doi.org/10.1016/j.lindif.2021.102051</w:t>
      </w:r>
    </w:p>
    <w:p w14:paraId="2EDB8934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Wu, Y., &amp; Lee, J. (2022). The most salient global predictors of adolescents’ subjective well-being: Parental support, peer support, and anxiety.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Child Indicators Research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15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(1601–1629). https://doi.org/10.1007/s12187-022-09937-1 </w:t>
      </w:r>
    </w:p>
    <w:p w14:paraId="372B5B0B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Zhang, Y., Li, H., Chen, G., Li, B., Li, N., &amp; Zhou, X. (2024). The moderating roles of resilience and social support in the relationships between bullying victimization and well-being among Chinese adolescents: Evidence from PISA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British Journal of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115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, 66-89. https://doi.org/10.1111/bjop.12678 </w:t>
      </w:r>
    </w:p>
    <w:p w14:paraId="155095F5" w14:textId="77777777" w:rsidR="009F50A0" w:rsidRPr="001E0CA2" w:rsidRDefault="009F50A0" w:rsidP="009F50A0">
      <w:pPr>
        <w:pStyle w:val="EndNoteBibliography"/>
        <w:spacing w:after="0"/>
        <w:ind w:left="720" w:hanging="720"/>
        <w:rPr>
          <w:rFonts w:ascii="Times New Roman" w:hAnsi="Times New Roman" w:cs="Times New Roman"/>
          <w:kern w:val="0"/>
          <w:sz w:val="20"/>
          <w:szCs w:val="20"/>
        </w:rPr>
      </w:pPr>
      <w:r w:rsidRPr="001E0CA2">
        <w:rPr>
          <w:rFonts w:ascii="Times New Roman" w:hAnsi="Times New Roman" w:cs="Times New Roman"/>
          <w:kern w:val="0"/>
          <w:sz w:val="20"/>
          <w:szCs w:val="20"/>
        </w:rPr>
        <w:t xml:space="preserve">Zhang, M., Zhang, W., &amp; Shi, Y. (2023). Are happier adolescents more willing to protect the environment? Empirical evidence from Programme for International Student Assessment 2018. 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>Frontiers in Psychology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1E0CA2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14</w:t>
      </w:r>
      <w:r w:rsidRPr="001E0CA2">
        <w:rPr>
          <w:rFonts w:ascii="Times New Roman" w:hAnsi="Times New Roman" w:cs="Times New Roman"/>
          <w:kern w:val="0"/>
          <w:sz w:val="20"/>
          <w:szCs w:val="20"/>
        </w:rPr>
        <w:t>(1157409). https://doi.org/10.3389/fpsyg.2023.1157409</w:t>
      </w:r>
    </w:p>
    <w:p w14:paraId="4F958D21" w14:textId="77777777" w:rsidR="009F50A0" w:rsidRPr="001E0CA2" w:rsidRDefault="009F50A0" w:rsidP="009F50A0">
      <w:pPr>
        <w:rPr>
          <w:rFonts w:ascii="Times New Roman" w:hAnsi="Times New Roman" w:cs="Times New Roman"/>
          <w:sz w:val="20"/>
          <w:szCs w:val="20"/>
        </w:rPr>
      </w:pPr>
    </w:p>
    <w:p w14:paraId="3753FC83" w14:textId="77777777" w:rsidR="004E780C" w:rsidRDefault="004E780C"/>
    <w:sectPr w:rsidR="004E780C" w:rsidSect="009F50A0">
      <w:headerReference w:type="default" r:id="rId5"/>
      <w:footerReference w:type="even" r:id="rId6"/>
      <w:footerReference w:type="first" r:id="rId7"/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2D0F2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B519005" wp14:editId="730EE7D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45185" cy="374650"/>
              <wp:effectExtent l="0" t="0" r="12065" b="0"/>
              <wp:wrapNone/>
              <wp:docPr id="1569735037" name="Text Box 2" descr="[OFFICIAL]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5185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2212F" w14:textId="77777777" w:rsidR="00000000" w:rsidRPr="00D03495" w:rsidRDefault="00000000" w:rsidP="00D03495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Cs w:val="22"/>
                            </w:rPr>
                          </w:pPr>
                          <w:r w:rsidRPr="00D03495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Cs w:val="22"/>
                            </w:rPr>
                            <w:t>[OFFICIAL]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51900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[OFFICIAL]" style="position:absolute;margin-left:0;margin-top:0;width:66.55pt;height:29.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" filled="f" stroked="f">
              <v:textbox style="mso-fit-shape-to-text:t" inset="20pt,0,0,15pt">
                <w:txbxContent>
                  <w:p w14:paraId="6562212F" w14:textId="77777777" w:rsidR="00000000" w:rsidRPr="00D03495" w:rsidRDefault="00000000" w:rsidP="00D03495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Cs w:val="22"/>
                      </w:rPr>
                    </w:pPr>
                    <w:r w:rsidRPr="00D03495">
                      <w:rPr>
                        <w:rFonts w:ascii="Calibri" w:eastAsia="Calibri" w:hAnsi="Calibri" w:cs="Calibri"/>
                        <w:noProof/>
                        <w:color w:val="008000"/>
                        <w:szCs w:val="22"/>
                      </w:rPr>
                      <w:t>[OFFICIAL]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7AE78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DE1A6CF" wp14:editId="74C91C8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45185" cy="374650"/>
              <wp:effectExtent l="0" t="0" r="12065" b="0"/>
              <wp:wrapNone/>
              <wp:docPr id="1390574019" name="Text Box 1" descr="[OFFICIAL]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5185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C17323" w14:textId="77777777" w:rsidR="00000000" w:rsidRPr="00D03495" w:rsidRDefault="00000000" w:rsidP="00D03495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Cs w:val="22"/>
                            </w:rPr>
                          </w:pPr>
                          <w:r w:rsidRPr="00D03495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Cs w:val="22"/>
                            </w:rPr>
                            <w:t>[OFFICIAL]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E1A6C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[OFFICIAL]" style="position:absolute;margin-left:0;margin-top:0;width:66.55pt;height:29.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" filled="f" stroked="f">
              <v:textbox style="mso-fit-shape-to-text:t" inset="20pt,0,0,15pt">
                <w:txbxContent>
                  <w:p w14:paraId="11C17323" w14:textId="77777777" w:rsidR="00000000" w:rsidRPr="00D03495" w:rsidRDefault="00000000" w:rsidP="00D03495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Cs w:val="22"/>
                      </w:rPr>
                    </w:pPr>
                    <w:r w:rsidRPr="00D03495">
                      <w:rPr>
                        <w:rFonts w:ascii="Calibri" w:eastAsia="Calibri" w:hAnsi="Calibri" w:cs="Calibri"/>
                        <w:noProof/>
                        <w:color w:val="008000"/>
                        <w:szCs w:val="22"/>
                      </w:rPr>
                      <w:t>[OFFICIAL]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22470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22D0620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50C3F4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0A0"/>
    <w:rsid w:val="002978F5"/>
    <w:rsid w:val="003852CF"/>
    <w:rsid w:val="004E780C"/>
    <w:rsid w:val="009F50A0"/>
    <w:rsid w:val="00E45DA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82AF4"/>
  <w15:chartTrackingRefBased/>
  <w15:docId w15:val="{F9BB5245-D476-4A16-BF27-775377948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0A0"/>
    <w:pPr>
      <w:spacing w:line="259" w:lineRule="auto"/>
    </w:pPr>
    <w:rPr>
      <w:rFonts w:eastAsiaTheme="minorEastAsia"/>
      <w:sz w:val="22"/>
      <w:szCs w:val="28"/>
      <w:lang w:val="en-AU" w:eastAsia="zh-CN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50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0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0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lang w:val="en-US" w:eastAsia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0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0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0A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0A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0A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0A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0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0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0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0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0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0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0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0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0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0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9F50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0A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lang w:val="en-US"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9F50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0A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9F50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0A0"/>
    <w:pPr>
      <w:spacing w:line="278" w:lineRule="auto"/>
      <w:ind w:left="720"/>
      <w:contextualSpacing/>
    </w:pPr>
    <w:rPr>
      <w:rFonts w:eastAsiaTheme="minorHAnsi"/>
      <w:sz w:val="24"/>
      <w:szCs w:val="24"/>
      <w:lang w:val="en-US" w:eastAsia="en-US" w:bidi="ar-SA"/>
    </w:rPr>
  </w:style>
  <w:style w:type="character" w:styleId="IntenseEmphasis">
    <w:name w:val="Intense Emphasis"/>
    <w:basedOn w:val="DefaultParagraphFont"/>
    <w:uiPriority w:val="21"/>
    <w:qFormat/>
    <w:rsid w:val="009F50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0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0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0A0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9F50A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F50A0"/>
    <w:rPr>
      <w:rFonts w:ascii="Calibri" w:eastAsiaTheme="minorEastAsia" w:hAnsi="Calibri" w:cs="Calibri"/>
      <w:noProof/>
      <w:sz w:val="22"/>
      <w:szCs w:val="28"/>
      <w:lang w:val="en-AU" w:eastAsia="zh-CN" w:bidi="th-TH"/>
    </w:rPr>
  </w:style>
  <w:style w:type="paragraph" w:styleId="Header">
    <w:name w:val="header"/>
    <w:basedOn w:val="Normal"/>
    <w:link w:val="HeaderChar"/>
    <w:uiPriority w:val="99"/>
    <w:unhideWhenUsed/>
    <w:rsid w:val="009F50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0A0"/>
    <w:rPr>
      <w:rFonts w:eastAsiaTheme="minorEastAsia"/>
      <w:sz w:val="22"/>
      <w:szCs w:val="28"/>
      <w:lang w:val="en-AU" w:eastAsia="zh-CN" w:bidi="th-TH"/>
    </w:rPr>
  </w:style>
  <w:style w:type="paragraph" w:styleId="Footer">
    <w:name w:val="footer"/>
    <w:basedOn w:val="Normal"/>
    <w:link w:val="FooterChar"/>
    <w:uiPriority w:val="99"/>
    <w:unhideWhenUsed/>
    <w:rsid w:val="009F50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0A0"/>
    <w:rPr>
      <w:rFonts w:eastAsiaTheme="minorEastAsia"/>
      <w:sz w:val="22"/>
      <w:szCs w:val="28"/>
      <w:lang w:val="en-AU" w:eastAsia="zh-CN" w:bidi="th-TH"/>
    </w:rPr>
  </w:style>
  <w:style w:type="character" w:styleId="Hyperlink">
    <w:name w:val="Hyperlink"/>
    <w:basedOn w:val="DefaultParagraphFont"/>
    <w:uiPriority w:val="99"/>
    <w:unhideWhenUsed/>
    <w:rsid w:val="009F50A0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F50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https://doi.org/10.1007/s12187-023-10034-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1622</Words>
  <Characters>9931</Characters>
  <Application>Microsoft Office Word</Application>
  <DocSecurity>0</DocSecurity>
  <Lines>165</Lines>
  <Paragraphs>60</Paragraphs>
  <ScaleCrop>false</ScaleCrop>
  <Company/>
  <LinksUpToDate>false</LinksUpToDate>
  <CharactersWithSpaces>11493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2025-10-23T08:15:00Z</dcterms:created>
  <dcterms:modified xsi:type="dcterms:W3CDTF">2025-10-23T08:15:00Z</dcterms:modified>
</cp:coreProperties>
</file>