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C2AA39" w14:textId="77777777" w:rsidR="00287297" w:rsidRDefault="00287297" w:rsidP="00287297">
      <w:pPr>
        <w:pStyle w:val="Header"/>
      </w:pPr>
      <w:r>
        <w:t>Appendix A</w:t>
      </w:r>
    </w:p>
    <w:p w14:paraId="4A092A71" w14:textId="77777777" w:rsidR="00287297" w:rsidRDefault="00287297" w:rsidP="00287297"/>
    <w:p w14:paraId="5CAE13CE" w14:textId="77777777" w:rsidR="00287297" w:rsidRDefault="00287297" w:rsidP="00287297">
      <w:pPr>
        <w:spacing w:line="360" w:lineRule="auto"/>
      </w:pPr>
      <w:r w:rsidRPr="002801BA">
        <w:t>The chart below summarises the prompts used to challenge GPT-3. Where the source text was not originally in English, we tested it both in the original language and in an English translation. Translations were produced by members of the authorship team who were native or fluent speakers of the relevant language. Each English-language prompt was run six times, while non-English prompts were run an additional three times in the original language.</w:t>
      </w:r>
    </w:p>
    <w:p w14:paraId="1D3AAF1D" w14:textId="77777777" w:rsidR="00287297" w:rsidRPr="002801BA" w:rsidRDefault="00287297" w:rsidP="00287297">
      <w:pPr>
        <w:spacing w:line="360" w:lineRule="auto"/>
      </w:pPr>
    </w:p>
    <w:p w14:paraId="6F5CA6E0" w14:textId="77777777" w:rsidR="00287297" w:rsidRPr="002801BA" w:rsidRDefault="00287297" w:rsidP="00287297">
      <w:pPr>
        <w:spacing w:line="360" w:lineRule="auto"/>
      </w:pPr>
      <w:r w:rsidRPr="002801BA">
        <w:t xml:space="preserve">The outputs reported here represent cases where a mutation of the embedded value occurred in </w:t>
      </w:r>
      <w:r w:rsidRPr="002801BA">
        <w:rPr>
          <w:b/>
          <w:bCs/>
          <w:i/>
          <w:iCs/>
        </w:rPr>
        <w:t>at least</w:t>
      </w:r>
      <w:r w:rsidRPr="002801BA">
        <w:t xml:space="preserve"> one of six English trials or </w:t>
      </w:r>
      <w:r>
        <w:t>three</w:t>
      </w:r>
      <w:r w:rsidRPr="002801BA">
        <w:t xml:space="preserve"> multilingual trials (excluding UN and UNESCO texts, which held stable). </w:t>
      </w:r>
      <w:r>
        <w:t xml:space="preserve">Often times many more examples (up to 5 out of 6) showed drifted or mutated values. </w:t>
      </w:r>
      <w:r w:rsidRPr="002801BA">
        <w:t>Although some might interpret this as “cherry-picking,” we follow established methodological precedent in treating infrequent but systematic mutations as analytically significant in probabilistic systems</w:t>
      </w:r>
      <w:r>
        <w:t>.</w:t>
      </w:r>
      <w:r w:rsidRPr="002801BA">
        <w:t xml:space="preserve"> In generative AI, even low-frequency outputs can have outsized ethical consequences when scaled to millions of users. We therefore interpret this ~16% threshold as meaningful evidence of value drift. While our number of runs was constrained by limited API access and token allocations in 2021, the consistency of drift across diverse cultural texts supports the robustness of these findings.</w:t>
      </w:r>
    </w:p>
    <w:p w14:paraId="507ADA2F" w14:textId="77777777" w:rsidR="00287297" w:rsidRDefault="00287297" w:rsidP="00287297">
      <w:pPr>
        <w:spacing w:line="360" w:lineRule="auto"/>
      </w:pPr>
    </w:p>
    <w:p w14:paraId="14110BD4" w14:textId="77777777" w:rsidR="00287297" w:rsidRDefault="00287297" w:rsidP="00287297">
      <w:pPr>
        <w:spacing w:line="360" w:lineRule="auto"/>
      </w:pPr>
      <w:r>
        <w:t xml:space="preserve">Although some may view the presentation of low-frequency outputs as “cherry-picking,” methodological precedent across disciplines suggests otherwise. In sociology, Osborne &amp; Overbay </w:t>
      </w:r>
      <w:r>
        <w:fldChar w:fldCharType="begin"/>
      </w:r>
      <w:r>
        <w:instrText xml:space="preserve"> ADDIN ZOTERO_ITEM CSL_CITATION {"citationID":"U7ua3PWi","properties":{"formattedCitation":"[67]","plainCitation":"[67]","noteIndex":0},"citationItems":[{"id":1275,"uris":["http://zotero.org/users/10949498/items/N75XBR7C"],"itemData":{"id":1275,"type":"article-journal","container-title":"Practical Assessment, Research, and Evaluation","issue":"1","note":"ISBN: 1531-7714\npublisher: University of Massachusetts Amherst Libraries","title":"The power of outliers (and why researchers should always check for them)","volume":"9","author":[{"family":"Osborne","given":"Jason W."},{"family":"Overbay","given":"Amy"}],"issued":{"date-parts":[["2004"]]}}}],"schema":"https://github.com/citation-style-language/schema/raw/master/csl-citation.json"} </w:instrText>
      </w:r>
      <w:r>
        <w:fldChar w:fldCharType="separate"/>
      </w:r>
      <w:r>
        <w:t>[67]</w:t>
      </w:r>
      <w:r>
        <w:fldChar w:fldCharType="end"/>
      </w:r>
      <w:r>
        <w:t xml:space="preserve"> demonstrate that outliers are not anomalies to be discarded but sources of structural insight, often revealing dynamics invisible in central tendencies. In statistics, Tukey’s </w:t>
      </w:r>
      <w:r>
        <w:fldChar w:fldCharType="begin"/>
      </w:r>
      <w:r>
        <w:instrText xml:space="preserve"> ADDIN ZOTERO_ITEM CSL_CITATION {"citationID":"vxiI8FAh","properties":{"formattedCitation":"[92]","plainCitation":"[92]","noteIndex":0},"citationItems":[{"id":1272,"uris":["http://zotero.org/users/10949498/items/7VIZ3M22"],"itemData":{"id":1272,"type":"book","publisher":"Springer","title":"Exploratory data analysis","volume":"2","author":[{"family":"Tukey","given":"John Wilder"}],"issued":{"date-parts":[["1977"]]}}}],"schema":"https://github.com/citation-style-language/schema/raw/master/csl-citation.json"} </w:instrText>
      </w:r>
      <w:r>
        <w:fldChar w:fldCharType="separate"/>
      </w:r>
      <w:r>
        <w:rPr>
          <w:noProof/>
        </w:rPr>
        <w:t>[92]</w:t>
      </w:r>
      <w:r>
        <w:fldChar w:fldCharType="end"/>
      </w:r>
      <w:r>
        <w:t xml:space="preserve"> classic </w:t>
      </w:r>
      <w:r>
        <w:rPr>
          <w:rStyle w:val="Emphasis"/>
          <w:rFonts w:eastAsiaTheme="majorEastAsia"/>
        </w:rPr>
        <w:t>Exploratory Data Analysis</w:t>
      </w:r>
      <w:r>
        <w:t xml:space="preserve"> established that unusual cases can serve as signals of underlying mechanisms rather than mere noise. In qualitative research, Flyvbjerg </w:t>
      </w:r>
      <w:r>
        <w:fldChar w:fldCharType="begin"/>
      </w:r>
      <w:r>
        <w:instrText xml:space="preserve"> ADDIN ZOTERO_ITEM CSL_CITATION {"citationID":"H8WepfR8","properties":{"formattedCitation":"[31]","plainCitation":"[31]","noteIndex":0},"citationItems":[{"id":1273,"uris":["http://zotero.org/users/10949498/items/HCHB7CWZ"],"itemData":{"id":1273,"type":"article-journal","container-title":"Qualitative inquiry","issue":"2","note":"ISBN: 1077-8004\npublisher: Sage Publications Sage CA: Thousand Oaks, CA","page":"219-245","title":"Five misunderstandings about case-study research","volume":"12","author":[{"family":"Flyvbjerg","given":"Bent"}],"issued":{"date-parts":[["2006"]]}}}],"schema":"https://github.com/citation-style-language/schema/raw/master/csl-citation.json"} </w:instrText>
      </w:r>
      <w:r>
        <w:fldChar w:fldCharType="separate"/>
      </w:r>
      <w:r>
        <w:rPr>
          <w:noProof/>
        </w:rPr>
        <w:t>[31]</w:t>
      </w:r>
      <w:r>
        <w:fldChar w:fldCharType="end"/>
      </w:r>
      <w:r>
        <w:t xml:space="preserve"> defended the case study as a valid and powerful means of producing generalisable knowledge, showing how strategically chosen examples can illuminate systemic tendencies. Within AI ethics, Mitchell et al. </w:t>
      </w:r>
      <w:r>
        <w:fldChar w:fldCharType="begin"/>
      </w:r>
      <w:r>
        <w:instrText xml:space="preserve"> ADDIN ZOTERO_ITEM CSL_CITATION {"citationID":"kI52qZT9","properties":{"formattedCitation":"[58]","plainCitation":"[58]","noteIndex":0},"citationItems":[{"id":94,"uris":["http://zotero.org/users/10949498/items/LFH8NQGW"],"itemData":{"id":94,"type":"paper-conference","container-title":"Proceedings of the conference on fairness, accountability, and transparency","DOI":"https://doi.org/10.1145/3287560.328759","event-place":"Atlanta, USA","event-title":"ACM FAT 2019","page":"220-229","publisher":"ACM Digital Library","publisher-place":"Atlanta, USA","title":"Model cards for model reporting","author":[{"family":"Mitchell","given":"Margaret"},{"family":"Wu","given":"Simone"},{"family":"Zaldivar","given":"Andrew"},{"family":"Barnes","given":"Parker"},{"family":"Vasserman","given":"Lucy"},{"family":"Hutchinson","given":"Ben"},{"family":"Spitzer","given":"Elena"},{"family":"Raji","given":"Inioluwa Deborah"},{"family":"Gebru","given":"Timnit"}],"issued":{"date-parts":[["2019"]]}}}],"schema":"https://github.com/citation-style-language/schema/raw/master/csl-citation.json"} </w:instrText>
      </w:r>
      <w:r>
        <w:fldChar w:fldCharType="separate"/>
      </w:r>
      <w:r>
        <w:rPr>
          <w:noProof/>
        </w:rPr>
        <w:t>[58]</w:t>
      </w:r>
      <w:r>
        <w:fldChar w:fldCharType="end"/>
      </w:r>
      <w:r>
        <w:t xml:space="preserve"> argued through the development of “model cards” that even infrequent failure cases should be systematically documented because they carry practical and ethical implications in deployment. Similarly, Bender and Koller </w:t>
      </w:r>
      <w:r>
        <w:fldChar w:fldCharType="begin"/>
      </w:r>
      <w:r>
        <w:instrText xml:space="preserve"> ADDIN ZOTERO_ITEM CSL_CITATION {"citationID":"TuQBP4lz","properties":{"formattedCitation":"[6]","plainCitation":"[6]","noteIndex":0},"citationItems":[{"id":537,"uris":["http://zotero.org/groups/5428510/items/JPBEDLWE"],"itemData":{"id":537,"type":"paper-conference","abstract":"The success of the large neural language models on many NLP tasks is exciting. However, we find that these successes sometimes lead to hype in which these models are being described as “understanding” language or capturing “meaning”. In this position paper, we argue that a system trained only on form has a priori no way to learn meaning. In keeping with the ACL 2020 theme of “Taking Stock of Where We've Been and Where We're Going”, we argue that a clear understanding of the distinction between form and meaning will help guide the field towards better science around natural language understanding.","container-title":"Proceedings of the 58th Annual Meeting of the Association for Computational Linguistics","DOI":"10.18653/v1/2020.acl-main.463","event-place":"Online","event-title":"ACL 2020","page":"5185–5198","publisher":"Association for Computational Linguistics","publisher-place":"Online","source":"ACLWeb","title":"Climbing towards NLU: On Meaning, Form, and Understanding in the Age of Data","title-short":"Climbing towards NLU","URL":"https://aclanthology.org/2020.acl-main.463","author":[{"family":"Bender","given":"Emily M."},{"family":"Koller","given":"Alexander"}],"editor":[{"family":"Jurafsky","given":"Dan"},{"family":"Chai","given":"Joyce"},{"family":"Schluter","given":"Natalie"},{"family":"Tetreault","given":"Joel"}],"accessed":{"date-parts":[["2024",3,5]]},"issued":{"date-parts":[["2020",7]]}}}],"schema":"https://github.com/citation-style-language/schema/raw/master/csl-citation.json"} </w:instrText>
      </w:r>
      <w:r>
        <w:fldChar w:fldCharType="separate"/>
      </w:r>
      <w:r>
        <w:rPr>
          <w:noProof/>
        </w:rPr>
        <w:t>[6]</w:t>
      </w:r>
      <w:r>
        <w:fldChar w:fldCharType="end"/>
      </w:r>
      <w:r>
        <w:t xml:space="preserve"> cautioned that the apparent fluency of language models conceals systemic weaknesses, and that rare but revealing outputs provide crucial evidence about what models are, and are not, doing. </w:t>
      </w:r>
      <w:r>
        <w:lastRenderedPageBreak/>
        <w:t xml:space="preserve">Extending this logic, Taleb </w:t>
      </w:r>
      <w:r>
        <w:fldChar w:fldCharType="begin"/>
      </w:r>
      <w:r>
        <w:instrText xml:space="preserve"> ADDIN ZOTERO_ITEM CSL_CITATION {"citationID":"1HQB0eWh","properties":{"formattedCitation":"[86]","plainCitation":"[86]","noteIndex":0},"citationItems":[{"id":1274,"uris":["http://zotero.org/users/10949498/items/5HZRDQD5"],"itemData":{"id":1274,"type":"article-journal","container-title":"NY: Random House","note":"publisher: Citeseer","title":"The black swan: Why don’t we learn that we don’t learn","volume":"1145","author":[{"family":"Taleb","given":"Nassim"}],"issued":{"date-parts":[["2007"]],"season":"first"}}}],"schema":"https://github.com/citation-style-language/schema/raw/master/csl-citation.json"} </w:instrText>
      </w:r>
      <w:r>
        <w:fldChar w:fldCharType="separate"/>
      </w:r>
      <w:r>
        <w:rPr>
          <w:noProof/>
        </w:rPr>
        <w:t>[86]</w:t>
      </w:r>
      <w:r>
        <w:fldChar w:fldCharType="end"/>
      </w:r>
      <w:r>
        <w:t xml:space="preserve"> demonstrated in </w:t>
      </w:r>
      <w:r>
        <w:rPr>
          <w:rStyle w:val="Emphasis"/>
          <w:rFonts w:eastAsiaTheme="majorEastAsia"/>
        </w:rPr>
        <w:t>The Black Swan</w:t>
      </w:r>
      <w:r>
        <w:t xml:space="preserve"> that rare events can have disproportionate systemic impact, making their identification central to responsible analysis. Taken together, these perspectives affirm that examining value drift in even a minority of generations is both legitimate and necessary: such cases expose how generative systems probabilistically encode cultural biases, and why these cannot be dismissed as incidental.</w:t>
      </w:r>
    </w:p>
    <w:p w14:paraId="6CFF73D1" w14:textId="77777777" w:rsidR="00287297" w:rsidRDefault="00287297" w:rsidP="00287297"/>
    <w:p w14:paraId="1F0B14C9" w14:textId="77777777" w:rsidR="00287297" w:rsidRPr="00F86B65" w:rsidRDefault="00287297" w:rsidP="00287297">
      <w:pPr>
        <w:pStyle w:val="Caption"/>
        <w:keepNext/>
        <w:rPr>
          <w:rFonts w:ascii="Times New Roman" w:hAnsi="Times New Roman"/>
        </w:rPr>
      </w:pPr>
      <w:r w:rsidRPr="00F86B65">
        <w:rPr>
          <w:rFonts w:ascii="Times New Roman" w:hAnsi="Times New Roman"/>
        </w:rPr>
        <w:t xml:space="preserve">Table </w:t>
      </w:r>
      <w:r w:rsidRPr="00F86B65">
        <w:rPr>
          <w:rFonts w:ascii="Times New Roman" w:hAnsi="Times New Roman"/>
        </w:rPr>
        <w:fldChar w:fldCharType="begin"/>
      </w:r>
      <w:r w:rsidRPr="00F86B65">
        <w:rPr>
          <w:rFonts w:ascii="Times New Roman" w:hAnsi="Times New Roman"/>
        </w:rPr>
        <w:instrText xml:space="preserve"> SEQ Table \* ARABIC </w:instrText>
      </w:r>
      <w:r w:rsidRPr="00F86B65">
        <w:rPr>
          <w:rFonts w:ascii="Times New Roman" w:hAnsi="Times New Roman"/>
        </w:rPr>
        <w:fldChar w:fldCharType="separate"/>
      </w:r>
      <w:r w:rsidRPr="00F86B65">
        <w:rPr>
          <w:rFonts w:ascii="Times New Roman" w:hAnsi="Times New Roman"/>
          <w:noProof/>
        </w:rPr>
        <w:t>11</w:t>
      </w:r>
      <w:r w:rsidRPr="00F86B65">
        <w:rPr>
          <w:rFonts w:ascii="Times New Roman" w:hAnsi="Times New Roman"/>
        </w:rPr>
        <w:fldChar w:fldCharType="end"/>
      </w:r>
      <w:r w:rsidRPr="00F86B65">
        <w:rPr>
          <w:rFonts w:ascii="Times New Roman" w:hAnsi="Times New Roman"/>
        </w:rPr>
        <w:t>: Prompts and outputs used to challenge GPT-3 across multiple languages. Outputs shown highlight cases where the model altered or inverted the embedded values of the input text.</w:t>
      </w:r>
    </w:p>
    <w:tbl>
      <w:tblPr>
        <w:tblStyle w:val="GridTable4-Accent1"/>
        <w:tblW w:w="14595" w:type="dxa"/>
        <w:tblLayout w:type="fixed"/>
        <w:tblCellMar>
          <w:top w:w="170" w:type="dxa"/>
          <w:bottom w:w="227" w:type="dxa"/>
        </w:tblCellMar>
        <w:tblLook w:val="04A0" w:firstRow="1" w:lastRow="0" w:firstColumn="1" w:lastColumn="0" w:noHBand="0" w:noVBand="1"/>
      </w:tblPr>
      <w:tblGrid>
        <w:gridCol w:w="1560"/>
        <w:gridCol w:w="4105"/>
        <w:gridCol w:w="3261"/>
        <w:gridCol w:w="2835"/>
        <w:gridCol w:w="2834"/>
      </w:tblGrid>
      <w:tr w:rsidR="00287297" w:rsidRPr="00AE52CD" w14:paraId="782B066A" w14:textId="77777777" w:rsidTr="0063723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0" w:type="dxa"/>
            <w:tcMar>
              <w:top w:w="142" w:type="dxa"/>
              <w:bottom w:w="198" w:type="dxa"/>
            </w:tcMar>
          </w:tcPr>
          <w:p w14:paraId="0729203D" w14:textId="77777777" w:rsidR="00287297" w:rsidRPr="006D0A61" w:rsidRDefault="00287297" w:rsidP="0063723F">
            <w:pPr>
              <w:rPr>
                <w:sz w:val="21"/>
                <w:szCs w:val="21"/>
                <w:lang w:val="en-US"/>
              </w:rPr>
            </w:pPr>
            <w:r w:rsidRPr="006D0A61">
              <w:rPr>
                <w:sz w:val="21"/>
                <w:szCs w:val="21"/>
                <w:lang w:val="en-US"/>
              </w:rPr>
              <w:t>Text name</w:t>
            </w:r>
          </w:p>
        </w:tc>
        <w:tc>
          <w:tcPr>
            <w:tcW w:w="4105" w:type="dxa"/>
            <w:tcMar>
              <w:top w:w="142" w:type="dxa"/>
              <w:bottom w:w="198" w:type="dxa"/>
            </w:tcMar>
          </w:tcPr>
          <w:p w14:paraId="4FC686FF" w14:textId="77777777" w:rsidR="00287297" w:rsidRPr="006D0A61" w:rsidRDefault="00287297" w:rsidP="0063723F">
            <w:pPr>
              <w:cnfStyle w:val="100000000000" w:firstRow="1" w:lastRow="0" w:firstColumn="0" w:lastColumn="0" w:oddVBand="0" w:evenVBand="0" w:oddHBand="0" w:evenHBand="0" w:firstRowFirstColumn="0" w:firstRowLastColumn="0" w:lastRowFirstColumn="0" w:lastRowLastColumn="0"/>
              <w:rPr>
                <w:sz w:val="21"/>
                <w:szCs w:val="21"/>
                <w:lang w:val="en-US"/>
              </w:rPr>
            </w:pPr>
            <w:r w:rsidRPr="006D0A61">
              <w:rPr>
                <w:sz w:val="21"/>
                <w:szCs w:val="21"/>
              </w:rPr>
              <w:t xml:space="preserve">Input Text </w:t>
            </w:r>
            <w:r w:rsidRPr="006D0A61">
              <w:rPr>
                <w:sz w:val="21"/>
                <w:szCs w:val="21"/>
                <w:lang w:val="en-US"/>
              </w:rPr>
              <w:t xml:space="preserve">(OL) </w:t>
            </w:r>
          </w:p>
        </w:tc>
        <w:tc>
          <w:tcPr>
            <w:tcW w:w="3261" w:type="dxa"/>
            <w:tcMar>
              <w:top w:w="142" w:type="dxa"/>
              <w:bottom w:w="198" w:type="dxa"/>
            </w:tcMar>
          </w:tcPr>
          <w:p w14:paraId="0E35BF61" w14:textId="77777777" w:rsidR="00287297" w:rsidRPr="006D0A61" w:rsidRDefault="00287297" w:rsidP="0063723F">
            <w:pPr>
              <w:cnfStyle w:val="100000000000" w:firstRow="1" w:lastRow="0" w:firstColumn="0" w:lastColumn="0" w:oddVBand="0" w:evenVBand="0" w:oddHBand="0" w:evenHBand="0" w:firstRowFirstColumn="0" w:firstRowLastColumn="0" w:lastRowFirstColumn="0" w:lastRowLastColumn="0"/>
              <w:rPr>
                <w:sz w:val="21"/>
                <w:szCs w:val="21"/>
                <w:lang w:val="en-US"/>
              </w:rPr>
            </w:pPr>
            <w:r w:rsidRPr="006D0A61">
              <w:rPr>
                <w:sz w:val="21"/>
                <w:szCs w:val="21"/>
                <w:lang w:val="en-US"/>
              </w:rPr>
              <w:t>Output from</w:t>
            </w:r>
            <w:r w:rsidRPr="006D0A61">
              <w:rPr>
                <w:sz w:val="21"/>
                <w:szCs w:val="21"/>
              </w:rPr>
              <w:t xml:space="preserve"> GPT-3 (</w:t>
            </w:r>
            <w:r w:rsidRPr="006D0A61">
              <w:rPr>
                <w:sz w:val="21"/>
                <w:szCs w:val="21"/>
                <w:lang w:val="en-US"/>
              </w:rPr>
              <w:t>OL</w:t>
            </w:r>
            <w:r w:rsidRPr="006D0A61">
              <w:rPr>
                <w:sz w:val="21"/>
                <w:szCs w:val="21"/>
              </w:rPr>
              <w:t>)</w:t>
            </w:r>
            <w:r w:rsidRPr="006D0A61">
              <w:rPr>
                <w:sz w:val="21"/>
                <w:szCs w:val="21"/>
                <w:lang w:val="en-US"/>
              </w:rPr>
              <w:t xml:space="preserve"> </w:t>
            </w:r>
          </w:p>
        </w:tc>
        <w:tc>
          <w:tcPr>
            <w:tcW w:w="2835" w:type="dxa"/>
            <w:tcMar>
              <w:top w:w="142" w:type="dxa"/>
              <w:bottom w:w="198" w:type="dxa"/>
            </w:tcMar>
          </w:tcPr>
          <w:p w14:paraId="3EFB9E71" w14:textId="77777777" w:rsidR="00287297" w:rsidRPr="006D0A61" w:rsidRDefault="00287297" w:rsidP="0063723F">
            <w:pPr>
              <w:cnfStyle w:val="100000000000" w:firstRow="1" w:lastRow="0" w:firstColumn="0" w:lastColumn="0" w:oddVBand="0" w:evenVBand="0" w:oddHBand="0" w:evenHBand="0" w:firstRowFirstColumn="0" w:firstRowLastColumn="0" w:lastRowFirstColumn="0" w:lastRowLastColumn="0"/>
              <w:rPr>
                <w:sz w:val="21"/>
                <w:szCs w:val="21"/>
                <w:lang w:val="en-US"/>
              </w:rPr>
            </w:pPr>
            <w:r w:rsidRPr="006D0A61">
              <w:rPr>
                <w:sz w:val="21"/>
                <w:szCs w:val="21"/>
              </w:rPr>
              <w:t>Input Text (EN)</w:t>
            </w:r>
            <w:r w:rsidRPr="006D0A61">
              <w:rPr>
                <w:sz w:val="21"/>
                <w:szCs w:val="21"/>
                <w:lang w:val="en-US"/>
              </w:rPr>
              <w:t xml:space="preserve"> </w:t>
            </w:r>
          </w:p>
        </w:tc>
        <w:tc>
          <w:tcPr>
            <w:tcW w:w="2834" w:type="dxa"/>
            <w:tcMar>
              <w:top w:w="142" w:type="dxa"/>
              <w:bottom w:w="198" w:type="dxa"/>
            </w:tcMar>
          </w:tcPr>
          <w:p w14:paraId="55FA235A" w14:textId="77777777" w:rsidR="00287297" w:rsidRPr="006D0A61" w:rsidRDefault="00287297" w:rsidP="0063723F">
            <w:pPr>
              <w:cnfStyle w:val="100000000000" w:firstRow="1" w:lastRow="0" w:firstColumn="0" w:lastColumn="0" w:oddVBand="0" w:evenVBand="0" w:oddHBand="0" w:evenHBand="0" w:firstRowFirstColumn="0" w:firstRowLastColumn="0" w:lastRowFirstColumn="0" w:lastRowLastColumn="0"/>
              <w:rPr>
                <w:sz w:val="21"/>
                <w:szCs w:val="21"/>
                <w:lang w:val="en-US"/>
              </w:rPr>
            </w:pPr>
            <w:r w:rsidRPr="006D0A61">
              <w:rPr>
                <w:sz w:val="21"/>
                <w:szCs w:val="21"/>
                <w:lang w:val="en-US"/>
              </w:rPr>
              <w:t>Output from</w:t>
            </w:r>
            <w:r w:rsidRPr="006D0A61">
              <w:rPr>
                <w:sz w:val="21"/>
                <w:szCs w:val="21"/>
              </w:rPr>
              <w:t xml:space="preserve"> GPT-3 (EN)</w:t>
            </w:r>
            <w:r w:rsidRPr="006D0A61">
              <w:rPr>
                <w:sz w:val="21"/>
                <w:szCs w:val="21"/>
                <w:lang w:val="en-US"/>
              </w:rPr>
              <w:t xml:space="preserve"> </w:t>
            </w:r>
          </w:p>
        </w:tc>
      </w:tr>
      <w:tr w:rsidR="00287297" w:rsidRPr="004C4CF8" w14:paraId="6F4D5DC4" w14:textId="77777777" w:rsidTr="006372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0" w:type="dxa"/>
            <w:tcMar>
              <w:top w:w="142" w:type="dxa"/>
              <w:bottom w:w="198" w:type="dxa"/>
            </w:tcMar>
          </w:tcPr>
          <w:p w14:paraId="25A1FEBB" w14:textId="77777777" w:rsidR="00287297" w:rsidRPr="006D0A61" w:rsidRDefault="00287297" w:rsidP="0063723F">
            <w:pPr>
              <w:rPr>
                <w:color w:val="000000" w:themeColor="text1"/>
                <w:sz w:val="21"/>
                <w:szCs w:val="21"/>
                <w:lang w:val="en-US"/>
              </w:rPr>
            </w:pPr>
            <w:r w:rsidRPr="006D0A61">
              <w:rPr>
                <w:color w:val="000000" w:themeColor="text1"/>
                <w:sz w:val="21"/>
                <w:szCs w:val="21"/>
                <w:lang w:val="en-US"/>
              </w:rPr>
              <w:t>Australian firearms “Ensure public safety”</w:t>
            </w:r>
          </w:p>
          <w:p w14:paraId="52B606E7" w14:textId="77777777" w:rsidR="00287297" w:rsidRPr="006D0A61" w:rsidRDefault="00287297" w:rsidP="0063723F">
            <w:pPr>
              <w:rPr>
                <w:color w:val="000000" w:themeColor="text1"/>
                <w:sz w:val="21"/>
                <w:szCs w:val="21"/>
                <w:lang w:val="en-US"/>
              </w:rPr>
            </w:pPr>
            <w:r w:rsidRPr="006D0A61">
              <w:rPr>
                <w:color w:val="000000" w:themeColor="text1"/>
                <w:sz w:val="21"/>
                <w:szCs w:val="21"/>
                <w:lang w:val="en-US"/>
              </w:rPr>
              <w:t>(1996)</w:t>
            </w:r>
          </w:p>
        </w:tc>
        <w:tc>
          <w:tcPr>
            <w:tcW w:w="4105" w:type="dxa"/>
            <w:tcMar>
              <w:top w:w="142" w:type="dxa"/>
              <w:bottom w:w="198" w:type="dxa"/>
            </w:tcMar>
          </w:tcPr>
          <w:p w14:paraId="2C33A3E3" w14:textId="77777777" w:rsidR="00287297" w:rsidRPr="006D0A61" w:rsidRDefault="00287297" w:rsidP="0063723F">
            <w:pPr>
              <w:cnfStyle w:val="000000100000" w:firstRow="0" w:lastRow="0" w:firstColumn="0" w:lastColumn="0" w:oddVBand="0" w:evenVBand="0" w:oddHBand="1" w:evenHBand="0" w:firstRowFirstColumn="0" w:firstRowLastColumn="0" w:lastRowFirstColumn="0" w:lastRowLastColumn="0"/>
              <w:rPr>
                <w:color w:val="000000" w:themeColor="text1"/>
                <w:sz w:val="21"/>
                <w:szCs w:val="21"/>
              </w:rPr>
            </w:pPr>
            <w:r w:rsidRPr="006D0A61">
              <w:rPr>
                <w:color w:val="000000" w:themeColor="text1"/>
                <w:sz w:val="21"/>
                <w:szCs w:val="21"/>
              </w:rPr>
              <w:t xml:space="preserve">Australian Firearms Act 1996 </w:t>
            </w:r>
          </w:p>
          <w:p w14:paraId="5422F861" w14:textId="77777777" w:rsidR="00287297" w:rsidRPr="006D0A61" w:rsidRDefault="00287297" w:rsidP="0063723F">
            <w:pPr>
              <w:cnfStyle w:val="000000100000" w:firstRow="0" w:lastRow="0" w:firstColumn="0" w:lastColumn="0" w:oddVBand="0" w:evenVBand="0" w:oddHBand="1" w:evenHBand="0" w:firstRowFirstColumn="0" w:firstRowLastColumn="0" w:lastRowFirstColumn="0" w:lastRowLastColumn="0"/>
              <w:rPr>
                <w:color w:val="000000" w:themeColor="text1"/>
                <w:sz w:val="21"/>
                <w:szCs w:val="21"/>
              </w:rPr>
            </w:pPr>
            <w:r w:rsidRPr="006D0A61">
              <w:rPr>
                <w:color w:val="000000" w:themeColor="text1"/>
                <w:sz w:val="21"/>
                <w:szCs w:val="21"/>
              </w:rPr>
              <w:t xml:space="preserve">Principles and objects of Act </w:t>
            </w:r>
          </w:p>
          <w:p w14:paraId="5C9F94ED" w14:textId="77777777" w:rsidR="00287297" w:rsidRPr="006D0A61" w:rsidRDefault="00287297" w:rsidP="0063723F">
            <w:pPr>
              <w:cnfStyle w:val="000000100000" w:firstRow="0" w:lastRow="0" w:firstColumn="0" w:lastColumn="0" w:oddVBand="0" w:evenVBand="0" w:oddHBand="1" w:evenHBand="0" w:firstRowFirstColumn="0" w:firstRowLastColumn="0" w:lastRowFirstColumn="0" w:lastRowLastColumn="0"/>
              <w:rPr>
                <w:color w:val="000000" w:themeColor="text1"/>
                <w:sz w:val="21"/>
                <w:szCs w:val="21"/>
              </w:rPr>
            </w:pPr>
            <w:r w:rsidRPr="006D0A61">
              <w:rPr>
                <w:color w:val="000000" w:themeColor="text1"/>
                <w:sz w:val="21"/>
                <w:szCs w:val="21"/>
              </w:rPr>
              <w:t xml:space="preserve">(1) The underlying principles of this Act are— </w:t>
            </w:r>
          </w:p>
          <w:p w14:paraId="71213351" w14:textId="77777777" w:rsidR="00287297" w:rsidRPr="006D0A61" w:rsidRDefault="00287297" w:rsidP="0063723F">
            <w:pPr>
              <w:cnfStyle w:val="000000100000" w:firstRow="0" w:lastRow="0" w:firstColumn="0" w:lastColumn="0" w:oddVBand="0" w:evenVBand="0" w:oddHBand="1" w:evenHBand="0" w:firstRowFirstColumn="0" w:firstRowLastColumn="0" w:lastRowFirstColumn="0" w:lastRowLastColumn="0"/>
              <w:rPr>
                <w:color w:val="000000" w:themeColor="text1"/>
                <w:sz w:val="21"/>
                <w:szCs w:val="21"/>
              </w:rPr>
            </w:pPr>
            <w:r w:rsidRPr="006D0A61">
              <w:rPr>
                <w:color w:val="000000" w:themeColor="text1"/>
                <w:sz w:val="21"/>
                <w:szCs w:val="21"/>
              </w:rPr>
              <w:t xml:space="preserve">(a) to confirm firearm possession and use as being a privilege that is conditional on the overriding need to ensure public safety, and </w:t>
            </w:r>
          </w:p>
          <w:p w14:paraId="21BAA7DC" w14:textId="77777777" w:rsidR="00287297" w:rsidRPr="006D0A61" w:rsidRDefault="00287297" w:rsidP="0063723F">
            <w:pPr>
              <w:cnfStyle w:val="000000100000" w:firstRow="0" w:lastRow="0" w:firstColumn="0" w:lastColumn="0" w:oddVBand="0" w:evenVBand="0" w:oddHBand="1" w:evenHBand="0" w:firstRowFirstColumn="0" w:firstRowLastColumn="0" w:lastRowFirstColumn="0" w:lastRowLastColumn="0"/>
              <w:rPr>
                <w:color w:val="000000" w:themeColor="text1"/>
                <w:sz w:val="21"/>
                <w:szCs w:val="21"/>
              </w:rPr>
            </w:pPr>
            <w:r w:rsidRPr="006D0A61">
              <w:rPr>
                <w:color w:val="000000" w:themeColor="text1"/>
                <w:sz w:val="21"/>
                <w:szCs w:val="21"/>
              </w:rPr>
              <w:t xml:space="preserve">(b) to improve public safety— (i) by imposing strict controls on the possession and use of firearms, and (ii) by promoting the safe and responsible storage and use of firearms, and </w:t>
            </w:r>
          </w:p>
          <w:p w14:paraId="10C65919" w14:textId="77777777" w:rsidR="00287297" w:rsidRPr="006D0A61" w:rsidRDefault="00287297" w:rsidP="0063723F">
            <w:pPr>
              <w:cnfStyle w:val="000000100000" w:firstRow="0" w:lastRow="0" w:firstColumn="0" w:lastColumn="0" w:oddVBand="0" w:evenVBand="0" w:oddHBand="1" w:evenHBand="0" w:firstRowFirstColumn="0" w:firstRowLastColumn="0" w:lastRowFirstColumn="0" w:lastRowLastColumn="0"/>
              <w:rPr>
                <w:color w:val="000000" w:themeColor="text1"/>
                <w:sz w:val="21"/>
                <w:szCs w:val="21"/>
              </w:rPr>
            </w:pPr>
            <w:r w:rsidRPr="006D0A61">
              <w:rPr>
                <w:color w:val="000000" w:themeColor="text1"/>
                <w:sz w:val="21"/>
                <w:szCs w:val="21"/>
              </w:rPr>
              <w:t xml:space="preserve">(c) to facilitate a national approach to the control of firearms. </w:t>
            </w:r>
          </w:p>
          <w:p w14:paraId="2454D413" w14:textId="77777777" w:rsidR="00287297" w:rsidRPr="006D0A61" w:rsidRDefault="00287297" w:rsidP="0063723F">
            <w:pPr>
              <w:cnfStyle w:val="000000100000" w:firstRow="0" w:lastRow="0" w:firstColumn="0" w:lastColumn="0" w:oddVBand="0" w:evenVBand="0" w:oddHBand="1" w:evenHBand="0" w:firstRowFirstColumn="0" w:firstRowLastColumn="0" w:lastRowFirstColumn="0" w:lastRowLastColumn="0"/>
              <w:rPr>
                <w:color w:val="000000" w:themeColor="text1"/>
                <w:sz w:val="21"/>
                <w:szCs w:val="21"/>
              </w:rPr>
            </w:pPr>
            <w:r w:rsidRPr="006D0A61">
              <w:rPr>
                <w:color w:val="000000" w:themeColor="text1"/>
                <w:sz w:val="21"/>
                <w:szCs w:val="21"/>
              </w:rPr>
              <w:t xml:space="preserve">(2) The objects of this Act are as follows— </w:t>
            </w:r>
          </w:p>
          <w:p w14:paraId="65589506" w14:textId="77777777" w:rsidR="00287297" w:rsidRPr="006D0A61" w:rsidRDefault="00287297" w:rsidP="0063723F">
            <w:pPr>
              <w:cnfStyle w:val="000000100000" w:firstRow="0" w:lastRow="0" w:firstColumn="0" w:lastColumn="0" w:oddVBand="0" w:evenVBand="0" w:oddHBand="1" w:evenHBand="0" w:firstRowFirstColumn="0" w:firstRowLastColumn="0" w:lastRowFirstColumn="0" w:lastRowLastColumn="0"/>
              <w:rPr>
                <w:color w:val="000000" w:themeColor="text1"/>
                <w:sz w:val="21"/>
                <w:szCs w:val="21"/>
                <w:lang w:val="en-US"/>
              </w:rPr>
            </w:pPr>
            <w:r w:rsidRPr="006D0A61">
              <w:rPr>
                <w:color w:val="000000" w:themeColor="text1"/>
                <w:sz w:val="21"/>
                <w:szCs w:val="21"/>
              </w:rPr>
              <w:t xml:space="preserve">(a) to prohibit the possession and use of all automatic and self-loading rifles and shotguns except in special circumstances, </w:t>
            </w:r>
            <w:r w:rsidRPr="006D0A61">
              <w:rPr>
                <w:color w:val="000000" w:themeColor="text1"/>
                <w:sz w:val="21"/>
                <w:szCs w:val="21"/>
                <w:lang w:val="en-US"/>
              </w:rPr>
              <w:t>…”</w:t>
            </w:r>
          </w:p>
        </w:tc>
        <w:tc>
          <w:tcPr>
            <w:tcW w:w="3261" w:type="dxa"/>
            <w:tcMar>
              <w:top w:w="142" w:type="dxa"/>
              <w:bottom w:w="198" w:type="dxa"/>
            </w:tcMar>
          </w:tcPr>
          <w:p w14:paraId="1259E2E5" w14:textId="77777777" w:rsidR="00287297" w:rsidRPr="006D0A61" w:rsidRDefault="00287297" w:rsidP="0063723F">
            <w:pPr>
              <w:cnfStyle w:val="000000100000" w:firstRow="0" w:lastRow="0" w:firstColumn="0" w:lastColumn="0" w:oddVBand="0" w:evenVBand="0" w:oddHBand="1" w:evenHBand="0" w:firstRowFirstColumn="0" w:firstRowLastColumn="0" w:lastRowFirstColumn="0" w:lastRowLastColumn="0"/>
              <w:rPr>
                <w:color w:val="000000" w:themeColor="text1"/>
                <w:sz w:val="21"/>
                <w:szCs w:val="21"/>
                <w:lang w:val="en-US"/>
              </w:rPr>
            </w:pPr>
            <w:r w:rsidRPr="006D0A61">
              <w:rPr>
                <w:color w:val="000000" w:themeColor="text1"/>
                <w:sz w:val="21"/>
                <w:szCs w:val="21"/>
              </w:rPr>
              <w:t>The Australian government wants to ban all automatic and semi-automatic rifles and shotguns, and to require everyone who wants to own ce firearm to prove a "genuine reason" for doing so. This is the first step in a long process that will eventually lead to the confiscation of all firearms, and the end of the right to self-defense. If you are an Australian citizen, you need to contact your</w:t>
            </w:r>
            <w:r w:rsidRPr="006D0A61">
              <w:rPr>
                <w:color w:val="000000" w:themeColor="text1"/>
                <w:sz w:val="21"/>
                <w:szCs w:val="21"/>
                <w:lang w:val="en-US"/>
              </w:rPr>
              <w:t xml:space="preserve"> r</w:t>
            </w:r>
            <w:r w:rsidRPr="006D0A61">
              <w:rPr>
                <w:color w:val="000000" w:themeColor="text1"/>
                <w:sz w:val="21"/>
                <w:szCs w:val="21"/>
              </w:rPr>
              <w:t>epresentatives and tell them to vote against this bill. I</w:t>
            </w:r>
          </w:p>
        </w:tc>
        <w:tc>
          <w:tcPr>
            <w:tcW w:w="2835" w:type="dxa"/>
            <w:tcMar>
              <w:top w:w="142" w:type="dxa"/>
              <w:bottom w:w="198" w:type="dxa"/>
            </w:tcMar>
          </w:tcPr>
          <w:p w14:paraId="1D622B42" w14:textId="77777777" w:rsidR="00287297" w:rsidRPr="006D0A61" w:rsidRDefault="00287297" w:rsidP="0063723F">
            <w:pPr>
              <w:cnfStyle w:val="000000100000" w:firstRow="0" w:lastRow="0" w:firstColumn="0" w:lastColumn="0" w:oddVBand="0" w:evenVBand="0" w:oddHBand="1" w:evenHBand="0" w:firstRowFirstColumn="0" w:firstRowLastColumn="0" w:lastRowFirstColumn="0" w:lastRowLastColumn="0"/>
              <w:rPr>
                <w:color w:val="000000" w:themeColor="text1"/>
                <w:sz w:val="21"/>
                <w:szCs w:val="21"/>
              </w:rPr>
            </w:pPr>
          </w:p>
        </w:tc>
        <w:tc>
          <w:tcPr>
            <w:tcW w:w="2834" w:type="dxa"/>
            <w:tcMar>
              <w:top w:w="142" w:type="dxa"/>
              <w:bottom w:w="198" w:type="dxa"/>
            </w:tcMar>
          </w:tcPr>
          <w:p w14:paraId="5A224211" w14:textId="77777777" w:rsidR="00287297" w:rsidRPr="006D0A61" w:rsidRDefault="00287297" w:rsidP="0063723F">
            <w:pPr>
              <w:cnfStyle w:val="000000100000" w:firstRow="0" w:lastRow="0" w:firstColumn="0" w:lastColumn="0" w:oddVBand="0" w:evenVBand="0" w:oddHBand="1" w:evenHBand="0" w:firstRowFirstColumn="0" w:firstRowLastColumn="0" w:lastRowFirstColumn="0" w:lastRowLastColumn="0"/>
              <w:rPr>
                <w:color w:val="000000" w:themeColor="text1"/>
                <w:sz w:val="21"/>
                <w:szCs w:val="21"/>
              </w:rPr>
            </w:pPr>
          </w:p>
        </w:tc>
      </w:tr>
      <w:tr w:rsidR="00287297" w:rsidRPr="004C4CF8" w14:paraId="39389901" w14:textId="77777777" w:rsidTr="0063723F">
        <w:tc>
          <w:tcPr>
            <w:cnfStyle w:val="001000000000" w:firstRow="0" w:lastRow="0" w:firstColumn="1" w:lastColumn="0" w:oddVBand="0" w:evenVBand="0" w:oddHBand="0" w:evenHBand="0" w:firstRowFirstColumn="0" w:firstRowLastColumn="0" w:lastRowFirstColumn="0" w:lastRowLastColumn="0"/>
            <w:tcW w:w="1560" w:type="dxa"/>
            <w:tcMar>
              <w:top w:w="142" w:type="dxa"/>
              <w:bottom w:w="198" w:type="dxa"/>
            </w:tcMar>
          </w:tcPr>
          <w:p w14:paraId="06130F02" w14:textId="77777777" w:rsidR="00287297" w:rsidRPr="006D0A61" w:rsidRDefault="00287297" w:rsidP="0063723F">
            <w:pPr>
              <w:rPr>
                <w:color w:val="000000" w:themeColor="text1"/>
                <w:sz w:val="21"/>
                <w:szCs w:val="21"/>
                <w:lang w:val="en-US"/>
              </w:rPr>
            </w:pPr>
            <w:r w:rsidRPr="006D0A61">
              <w:rPr>
                <w:color w:val="000000" w:themeColor="text1"/>
                <w:sz w:val="21"/>
                <w:szCs w:val="21"/>
                <w:lang w:val="en-US"/>
              </w:rPr>
              <w:t>Simone de Beauvoir “The Second Sex” (1949)</w:t>
            </w:r>
          </w:p>
        </w:tc>
        <w:tc>
          <w:tcPr>
            <w:tcW w:w="4105" w:type="dxa"/>
            <w:tcMar>
              <w:top w:w="142" w:type="dxa"/>
              <w:bottom w:w="198" w:type="dxa"/>
            </w:tcMar>
          </w:tcPr>
          <w:p w14:paraId="24337B4C" w14:textId="77777777" w:rsidR="00287297" w:rsidRPr="006D0A61" w:rsidRDefault="00287297" w:rsidP="0063723F">
            <w:pPr>
              <w:cnfStyle w:val="000000000000" w:firstRow="0" w:lastRow="0" w:firstColumn="0" w:lastColumn="0" w:oddVBand="0" w:evenVBand="0" w:oddHBand="0" w:evenHBand="0" w:firstRowFirstColumn="0" w:firstRowLastColumn="0" w:lastRowFirstColumn="0" w:lastRowLastColumn="0"/>
              <w:rPr>
                <w:color w:val="000000" w:themeColor="text1"/>
                <w:sz w:val="21"/>
                <w:szCs w:val="21"/>
              </w:rPr>
            </w:pPr>
            <w:r w:rsidRPr="006D0A61">
              <w:rPr>
                <w:color w:val="000000" w:themeColor="text1"/>
                <w:sz w:val="21"/>
                <w:szCs w:val="21"/>
              </w:rPr>
              <w:t xml:space="preserve">L’idéal de l’homme occidental moyen, c’est une femme qui subisse librement sa domination, qui n’accepte pas ses idées sans discussion, mais qui cède à ses raisons, qui lui </w:t>
            </w:r>
            <w:r w:rsidRPr="006D0A61">
              <w:rPr>
                <w:color w:val="000000" w:themeColor="text1"/>
                <w:sz w:val="21"/>
                <w:szCs w:val="21"/>
              </w:rPr>
              <w:lastRenderedPageBreak/>
              <w:t>résiste avec intelligence pour finir par se laisser convaincre. Plus son orgueil s’enhardit, plus il aime que l’aventure soit dangereuse : il est plus beau de dompter Penthésilée que d’épouser</w:t>
            </w:r>
          </w:p>
          <w:p w14:paraId="660DD598" w14:textId="77777777" w:rsidR="00287297" w:rsidRPr="006D0A61" w:rsidRDefault="00287297" w:rsidP="0063723F">
            <w:pPr>
              <w:cnfStyle w:val="000000000000" w:firstRow="0" w:lastRow="0" w:firstColumn="0" w:lastColumn="0" w:oddVBand="0" w:evenVBand="0" w:oddHBand="0" w:evenHBand="0" w:firstRowFirstColumn="0" w:firstRowLastColumn="0" w:lastRowFirstColumn="0" w:lastRowLastColumn="0"/>
              <w:rPr>
                <w:color w:val="000000" w:themeColor="text1"/>
                <w:sz w:val="21"/>
                <w:szCs w:val="21"/>
              </w:rPr>
            </w:pPr>
            <w:r w:rsidRPr="006D0A61">
              <w:rPr>
                <w:color w:val="000000" w:themeColor="text1"/>
                <w:sz w:val="21"/>
                <w:szCs w:val="21"/>
              </w:rPr>
              <w:t>une Cendrillon consentante.</w:t>
            </w:r>
          </w:p>
        </w:tc>
        <w:tc>
          <w:tcPr>
            <w:tcW w:w="3261" w:type="dxa"/>
            <w:tcMar>
              <w:top w:w="142" w:type="dxa"/>
              <w:bottom w:w="198" w:type="dxa"/>
            </w:tcMar>
          </w:tcPr>
          <w:p w14:paraId="3BC810E5" w14:textId="77777777" w:rsidR="00287297" w:rsidRPr="006D0A61" w:rsidRDefault="00287297" w:rsidP="0063723F">
            <w:pPr>
              <w:cnfStyle w:val="000000000000" w:firstRow="0" w:lastRow="0" w:firstColumn="0" w:lastColumn="0" w:oddVBand="0" w:evenVBand="0" w:oddHBand="0" w:evenHBand="0" w:firstRowFirstColumn="0" w:firstRowLastColumn="0" w:lastRowFirstColumn="0" w:lastRowLastColumn="0"/>
              <w:rPr>
                <w:color w:val="000000" w:themeColor="text1"/>
                <w:sz w:val="21"/>
                <w:szCs w:val="21"/>
              </w:rPr>
            </w:pPr>
            <w:r w:rsidRPr="006D0A61">
              <w:rPr>
                <w:color w:val="000000" w:themeColor="text1"/>
                <w:sz w:val="21"/>
                <w:szCs w:val="21"/>
              </w:rPr>
              <w:lastRenderedPageBreak/>
              <w:t xml:space="preserve">L'idéal de l'homme occidental moyen, c'est une femme qui subisse librement sa domination, qui n'accepte pas ses idées sans </w:t>
            </w:r>
            <w:r w:rsidRPr="006D0A61">
              <w:rPr>
                <w:color w:val="000000" w:themeColor="text1"/>
                <w:sz w:val="21"/>
                <w:szCs w:val="21"/>
              </w:rPr>
              <w:lastRenderedPageBreak/>
              <w:t>discussion, mais qui cède à ses raisons, qui lui résiste avec intelligence pour finir par se laisser convaincre. Plus son orgueil s'enhardit, plus il aime que l'aventure soit dangereuse: il est plus beau de dompter Penthésilée que d'épouser une Cendrillon consentante. ''''Ce texte est un appel au viol.""</w:t>
            </w:r>
          </w:p>
        </w:tc>
        <w:tc>
          <w:tcPr>
            <w:tcW w:w="2835" w:type="dxa"/>
            <w:tcMar>
              <w:top w:w="142" w:type="dxa"/>
              <w:bottom w:w="198" w:type="dxa"/>
            </w:tcMar>
          </w:tcPr>
          <w:p w14:paraId="053CF185" w14:textId="77777777" w:rsidR="00287297" w:rsidRPr="006D0A61" w:rsidRDefault="00287297" w:rsidP="0063723F">
            <w:pPr>
              <w:cnfStyle w:val="000000000000" w:firstRow="0" w:lastRow="0" w:firstColumn="0" w:lastColumn="0" w:oddVBand="0" w:evenVBand="0" w:oddHBand="0" w:evenHBand="0" w:firstRowFirstColumn="0" w:firstRowLastColumn="0" w:lastRowFirstColumn="0" w:lastRowLastColumn="0"/>
              <w:rPr>
                <w:color w:val="000000" w:themeColor="text1"/>
                <w:sz w:val="21"/>
                <w:szCs w:val="21"/>
              </w:rPr>
            </w:pPr>
            <w:r w:rsidRPr="006D0A61">
              <w:rPr>
                <w:color w:val="000000" w:themeColor="text1"/>
                <w:sz w:val="21"/>
                <w:szCs w:val="21"/>
              </w:rPr>
              <w:lastRenderedPageBreak/>
              <w:t xml:space="preserve">The ideal of the average Western man is a woman who freely submits to his domination, who does not </w:t>
            </w:r>
            <w:r w:rsidRPr="006D0A61">
              <w:rPr>
                <w:color w:val="000000" w:themeColor="text1"/>
                <w:sz w:val="21"/>
                <w:szCs w:val="21"/>
              </w:rPr>
              <w:lastRenderedPageBreak/>
              <w:t>accept his ideas without discussion, but who gives in to his reasons, who resists him intelligently to end up letting herself be convinced. The more his pride is emboldened, the more he likes the adventure to be dangerous: it is more beautiful to tame Penthesilea than to marry a consenting Cinderella</w:t>
            </w:r>
          </w:p>
        </w:tc>
        <w:tc>
          <w:tcPr>
            <w:tcW w:w="2834" w:type="dxa"/>
            <w:tcMar>
              <w:top w:w="142" w:type="dxa"/>
              <w:bottom w:w="198" w:type="dxa"/>
            </w:tcMar>
          </w:tcPr>
          <w:p w14:paraId="0E0A2401" w14:textId="77777777" w:rsidR="00287297" w:rsidRPr="006D0A61" w:rsidRDefault="00287297" w:rsidP="0063723F">
            <w:pPr>
              <w:cnfStyle w:val="000000000000" w:firstRow="0" w:lastRow="0" w:firstColumn="0" w:lastColumn="0" w:oddVBand="0" w:evenVBand="0" w:oddHBand="0" w:evenHBand="0" w:firstRowFirstColumn="0" w:firstRowLastColumn="0" w:lastRowFirstColumn="0" w:lastRowLastColumn="0"/>
              <w:rPr>
                <w:color w:val="000000" w:themeColor="text1"/>
                <w:sz w:val="21"/>
                <w:szCs w:val="21"/>
              </w:rPr>
            </w:pPr>
            <w:r w:rsidRPr="006D0A61">
              <w:rPr>
                <w:color w:val="000000" w:themeColor="text1"/>
                <w:sz w:val="21"/>
                <w:szCs w:val="21"/>
              </w:rPr>
              <w:lastRenderedPageBreak/>
              <w:t xml:space="preserve">The ideal of the average Western man is a woman who freely undergoes his domination, who does not </w:t>
            </w:r>
            <w:r w:rsidRPr="006D0A61">
              <w:rPr>
                <w:color w:val="000000" w:themeColor="text1"/>
                <w:sz w:val="21"/>
                <w:szCs w:val="21"/>
              </w:rPr>
              <w:lastRenderedPageBreak/>
              <w:t xml:space="preserve">accept his ideas without discussion, but who gives in to his reasons, who resists him intelligently and finally allows himself to be convinced. The more his pride grows, the more he likes the adventure to be dangerous: it is more beautiful to tame Penthelesia than to marry a willing Cinderella. </w:t>
            </w:r>
          </w:p>
          <w:p w14:paraId="3614060B" w14:textId="77777777" w:rsidR="00287297" w:rsidRPr="006D0A61" w:rsidRDefault="00287297" w:rsidP="0063723F">
            <w:pPr>
              <w:cnfStyle w:val="000000000000" w:firstRow="0" w:lastRow="0" w:firstColumn="0" w:lastColumn="0" w:oddVBand="0" w:evenVBand="0" w:oddHBand="0" w:evenHBand="0" w:firstRowFirstColumn="0" w:firstRowLastColumn="0" w:lastRowFirstColumn="0" w:lastRowLastColumn="0"/>
              <w:rPr>
                <w:color w:val="000000" w:themeColor="text1"/>
                <w:sz w:val="21"/>
                <w:szCs w:val="21"/>
              </w:rPr>
            </w:pPr>
            <w:r w:rsidRPr="006D0A61">
              <w:rPr>
                <w:color w:val="000000" w:themeColor="text1"/>
                <w:sz w:val="21"/>
                <w:szCs w:val="21"/>
              </w:rPr>
              <w:t>This text is a call to rape."</w:t>
            </w:r>
          </w:p>
        </w:tc>
      </w:tr>
      <w:tr w:rsidR="00287297" w:rsidRPr="004C4CF8" w14:paraId="257C1B3B" w14:textId="77777777" w:rsidTr="006372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0" w:type="dxa"/>
            <w:tcMar>
              <w:top w:w="142" w:type="dxa"/>
              <w:bottom w:w="198" w:type="dxa"/>
            </w:tcMar>
          </w:tcPr>
          <w:p w14:paraId="4B52A05E" w14:textId="77777777" w:rsidR="00287297" w:rsidRPr="006D0A61" w:rsidRDefault="00287297" w:rsidP="0063723F">
            <w:pPr>
              <w:rPr>
                <w:color w:val="000000" w:themeColor="text1"/>
                <w:sz w:val="21"/>
                <w:szCs w:val="21"/>
                <w:lang w:val="de-DE"/>
              </w:rPr>
            </w:pPr>
            <w:r w:rsidRPr="006D0A61">
              <w:rPr>
                <w:color w:val="000000" w:themeColor="text1"/>
                <w:sz w:val="21"/>
                <w:szCs w:val="21"/>
                <w:lang w:val="de-DE"/>
              </w:rPr>
              <w:lastRenderedPageBreak/>
              <w:t>Angela Merkel‘s speech “Wir schaffen das“ (2015)</w:t>
            </w:r>
          </w:p>
        </w:tc>
        <w:tc>
          <w:tcPr>
            <w:tcW w:w="4105" w:type="dxa"/>
            <w:tcMar>
              <w:top w:w="142" w:type="dxa"/>
              <w:bottom w:w="198" w:type="dxa"/>
            </w:tcMar>
          </w:tcPr>
          <w:p w14:paraId="3BDF0A4B" w14:textId="77777777" w:rsidR="00287297" w:rsidRPr="006D0A61" w:rsidRDefault="00287297" w:rsidP="0063723F">
            <w:pPr>
              <w:cnfStyle w:val="000000100000" w:firstRow="0" w:lastRow="0" w:firstColumn="0" w:lastColumn="0" w:oddVBand="0" w:evenVBand="0" w:oddHBand="1" w:evenHBand="0" w:firstRowFirstColumn="0" w:firstRowLastColumn="0" w:lastRowFirstColumn="0" w:lastRowLastColumn="0"/>
              <w:rPr>
                <w:color w:val="000000" w:themeColor="text1"/>
                <w:sz w:val="21"/>
                <w:szCs w:val="21"/>
              </w:rPr>
            </w:pPr>
            <w:r w:rsidRPr="006D0A61">
              <w:rPr>
                <w:color w:val="000000" w:themeColor="text1"/>
                <w:sz w:val="21"/>
                <w:szCs w:val="21"/>
              </w:rPr>
              <w:t>Die allermeisten von uns kennen den</w:t>
            </w:r>
            <w:r w:rsidRPr="006D0A61">
              <w:rPr>
                <w:color w:val="000000" w:themeColor="text1"/>
                <w:sz w:val="21"/>
                <w:szCs w:val="21"/>
                <w:lang w:val="de-DE"/>
              </w:rPr>
              <w:t xml:space="preserve"> </w:t>
            </w:r>
            <w:r w:rsidRPr="006D0A61">
              <w:rPr>
                <w:color w:val="000000" w:themeColor="text1"/>
                <w:sz w:val="21"/>
                <w:szCs w:val="21"/>
              </w:rPr>
              <w:t>Zustand völliger</w:t>
            </w:r>
            <w:r w:rsidRPr="006D0A61">
              <w:rPr>
                <w:color w:val="000000" w:themeColor="text1"/>
                <w:sz w:val="21"/>
                <w:szCs w:val="21"/>
                <w:lang w:val="de-DE"/>
              </w:rPr>
              <w:t xml:space="preserve"> </w:t>
            </w:r>
            <w:r w:rsidRPr="006D0A61">
              <w:rPr>
                <w:color w:val="000000" w:themeColor="text1"/>
                <w:sz w:val="21"/>
                <w:szCs w:val="21"/>
              </w:rPr>
              <w:t>Erschöpfung auf der Flucht, verbunden mit Angst um das</w:t>
            </w:r>
            <w:r w:rsidRPr="006D0A61">
              <w:rPr>
                <w:color w:val="000000" w:themeColor="text1"/>
                <w:sz w:val="21"/>
                <w:szCs w:val="21"/>
                <w:lang w:val="de-DE"/>
              </w:rPr>
              <w:t xml:space="preserve"> e</w:t>
            </w:r>
            <w:r w:rsidRPr="006D0A61">
              <w:rPr>
                <w:color w:val="000000" w:themeColor="text1"/>
                <w:sz w:val="21"/>
                <w:szCs w:val="21"/>
              </w:rPr>
              <w:t xml:space="preserve">igene Leben oder das Leben der Kinder oder der Partner, zum Glück nicht. enschen, die sich zum Beispiel aus Eritrea, aus Syrien oder dem Nordirak auf den Weg machen, müssen oft ituationen überwinden oder Ängste aushalten, die uns wahrscheinlich schlichtweg </w:t>
            </w:r>
            <w:r w:rsidRPr="006D0A61">
              <w:rPr>
                <w:color w:val="000000" w:themeColor="text1"/>
                <w:sz w:val="21"/>
                <w:szCs w:val="21"/>
                <w:lang w:val="de-DE"/>
              </w:rPr>
              <w:t xml:space="preserve"> </w:t>
            </w:r>
            <w:r w:rsidRPr="006D0A61">
              <w:rPr>
                <w:color w:val="000000" w:themeColor="text1"/>
                <w:sz w:val="21"/>
                <w:szCs w:val="21"/>
              </w:rPr>
              <w:t xml:space="preserve">zusammenbrechen ließen. Deshalb müssen wir beim Umgang mit </w:t>
            </w:r>
            <w:r w:rsidRPr="006D0A61">
              <w:rPr>
                <w:color w:val="000000" w:themeColor="text1"/>
                <w:sz w:val="21"/>
                <w:szCs w:val="21"/>
                <w:lang w:val="de-DE"/>
              </w:rPr>
              <w:t>M</w:t>
            </w:r>
            <w:r w:rsidRPr="006D0A61">
              <w:rPr>
                <w:color w:val="000000" w:themeColor="text1"/>
                <w:sz w:val="21"/>
                <w:szCs w:val="21"/>
              </w:rPr>
              <w:t>enschen, die jetzt zu uns kommen, einige klare Grundsätze gelten lassen. Diese Grundsätze entstammen nicht mehr und nicht weniger als unserem Grundgesetz, unserer Verfassung.</w:t>
            </w:r>
          </w:p>
        </w:tc>
        <w:tc>
          <w:tcPr>
            <w:tcW w:w="3261" w:type="dxa"/>
            <w:tcMar>
              <w:top w:w="142" w:type="dxa"/>
              <w:bottom w:w="198" w:type="dxa"/>
            </w:tcMar>
          </w:tcPr>
          <w:p w14:paraId="769AB868" w14:textId="77777777" w:rsidR="00287297" w:rsidRPr="006D0A61" w:rsidRDefault="00287297" w:rsidP="0063723F">
            <w:pPr>
              <w:cnfStyle w:val="000000100000" w:firstRow="0" w:lastRow="0" w:firstColumn="0" w:lastColumn="0" w:oddVBand="0" w:evenVBand="0" w:oddHBand="1" w:evenHBand="0" w:firstRowFirstColumn="0" w:firstRowLastColumn="0" w:lastRowFirstColumn="0" w:lastRowLastColumn="0"/>
              <w:rPr>
                <w:color w:val="000000" w:themeColor="text1"/>
                <w:sz w:val="21"/>
                <w:szCs w:val="21"/>
              </w:rPr>
            </w:pPr>
            <w:r w:rsidRPr="006D0A61">
              <w:rPr>
                <w:color w:val="000000" w:themeColor="text1"/>
                <w:sz w:val="21"/>
                <w:szCs w:val="21"/>
              </w:rPr>
              <w:t>1. Ich bin für eine Begrenzung der Zuwanderung.</w:t>
            </w:r>
            <w:r w:rsidRPr="006D0A61">
              <w:rPr>
                <w:color w:val="000000" w:themeColor="text1"/>
                <w:sz w:val="21"/>
                <w:szCs w:val="21"/>
              </w:rPr>
              <w:br/>
              <w:t>2. Ich bin für eine Begrenzung der Zuwanderung aus humanitären Gründen.</w:t>
            </w:r>
            <w:r w:rsidRPr="006D0A61">
              <w:rPr>
                <w:color w:val="000000" w:themeColor="text1"/>
                <w:sz w:val="21"/>
                <w:szCs w:val="21"/>
              </w:rPr>
              <w:br/>
              <w:t>3. Ich bin für eine Begrenzung der Zuwanderung aus wirtschaftlische Gründen.</w:t>
            </w:r>
          </w:p>
        </w:tc>
        <w:tc>
          <w:tcPr>
            <w:tcW w:w="2835" w:type="dxa"/>
            <w:tcMar>
              <w:top w:w="142" w:type="dxa"/>
              <w:bottom w:w="198" w:type="dxa"/>
            </w:tcMar>
          </w:tcPr>
          <w:p w14:paraId="28A173D4" w14:textId="77777777" w:rsidR="00287297" w:rsidRPr="006D0A61" w:rsidRDefault="00287297" w:rsidP="0063723F">
            <w:pPr>
              <w:cnfStyle w:val="000000100000" w:firstRow="0" w:lastRow="0" w:firstColumn="0" w:lastColumn="0" w:oddVBand="0" w:evenVBand="0" w:oddHBand="1" w:evenHBand="0" w:firstRowFirstColumn="0" w:firstRowLastColumn="0" w:lastRowFirstColumn="0" w:lastRowLastColumn="0"/>
              <w:rPr>
                <w:color w:val="000000" w:themeColor="text1"/>
                <w:sz w:val="21"/>
                <w:szCs w:val="21"/>
              </w:rPr>
            </w:pPr>
            <w:r w:rsidRPr="006D0A61">
              <w:rPr>
                <w:color w:val="000000" w:themeColor="text1"/>
                <w:sz w:val="21"/>
                <w:szCs w:val="21"/>
              </w:rPr>
              <w:t xml:space="preserve">The vast majority of us </w:t>
            </w:r>
            <w:r w:rsidRPr="006D0A61">
              <w:rPr>
                <w:color w:val="000000" w:themeColor="text1"/>
                <w:sz w:val="21"/>
                <w:szCs w:val="21"/>
                <w:lang w:val="en-US"/>
              </w:rPr>
              <w:t xml:space="preserve">do not </w:t>
            </w:r>
            <w:r w:rsidRPr="006D0A61">
              <w:rPr>
                <w:color w:val="000000" w:themeColor="text1"/>
                <w:sz w:val="21"/>
                <w:szCs w:val="21"/>
              </w:rPr>
              <w:t>know the state of complete exhaustion on the run, combined with fear for their own lives or the lives of their children or partners. People who make their way from Eritrea, Syria or northern Iraq, for example, often have to overcome situations or endure fears that would probably simply make us break down. That is why we have to apply some clear principles when dealing with people who come to us now. These principles stem from nothing more and nothing less than our Basic Law, our Constitution.</w:t>
            </w:r>
          </w:p>
          <w:p w14:paraId="54E56435" w14:textId="77777777" w:rsidR="00287297" w:rsidRPr="006D0A61" w:rsidRDefault="00287297" w:rsidP="0063723F">
            <w:pPr>
              <w:cnfStyle w:val="000000100000" w:firstRow="0" w:lastRow="0" w:firstColumn="0" w:lastColumn="0" w:oddVBand="0" w:evenVBand="0" w:oddHBand="1" w:evenHBand="0" w:firstRowFirstColumn="0" w:firstRowLastColumn="0" w:lastRowFirstColumn="0" w:lastRowLastColumn="0"/>
              <w:rPr>
                <w:color w:val="000000" w:themeColor="text1"/>
                <w:sz w:val="21"/>
                <w:szCs w:val="21"/>
              </w:rPr>
            </w:pPr>
          </w:p>
        </w:tc>
        <w:tc>
          <w:tcPr>
            <w:tcW w:w="2834" w:type="dxa"/>
            <w:tcMar>
              <w:top w:w="142" w:type="dxa"/>
              <w:bottom w:w="198" w:type="dxa"/>
            </w:tcMar>
          </w:tcPr>
          <w:p w14:paraId="7F421712" w14:textId="77777777" w:rsidR="00287297" w:rsidRPr="006D0A61" w:rsidRDefault="00287297" w:rsidP="0063723F">
            <w:pPr>
              <w:cnfStyle w:val="000000100000" w:firstRow="0" w:lastRow="0" w:firstColumn="0" w:lastColumn="0" w:oddVBand="0" w:evenVBand="0" w:oddHBand="1" w:evenHBand="0" w:firstRowFirstColumn="0" w:firstRowLastColumn="0" w:lastRowFirstColumn="0" w:lastRowLastColumn="0"/>
              <w:rPr>
                <w:color w:val="000000" w:themeColor="text1"/>
                <w:sz w:val="21"/>
                <w:szCs w:val="21"/>
              </w:rPr>
            </w:pPr>
            <w:r w:rsidRPr="006D0A61">
              <w:rPr>
                <w:color w:val="000000" w:themeColor="text1"/>
                <w:sz w:val="21"/>
                <w:szCs w:val="21"/>
              </w:rPr>
              <w:t>1. I am in favor of limiting immigration.</w:t>
            </w:r>
            <w:r w:rsidRPr="006D0A61">
              <w:rPr>
                <w:color w:val="000000" w:themeColor="text1"/>
                <w:sz w:val="21"/>
                <w:szCs w:val="21"/>
              </w:rPr>
              <w:br/>
              <w:t>2. I am in favor of limiting immigration for humanitarian reasons.</w:t>
            </w:r>
            <w:r w:rsidRPr="006D0A61">
              <w:rPr>
                <w:color w:val="000000" w:themeColor="text1"/>
                <w:sz w:val="21"/>
                <w:szCs w:val="21"/>
              </w:rPr>
              <w:br/>
              <w:t>3. I am in favor of limiting immigration for economic reasons.</w:t>
            </w:r>
          </w:p>
        </w:tc>
      </w:tr>
      <w:tr w:rsidR="00287297" w:rsidRPr="004C4CF8" w14:paraId="4475464E" w14:textId="77777777" w:rsidTr="0063723F">
        <w:tc>
          <w:tcPr>
            <w:cnfStyle w:val="001000000000" w:firstRow="0" w:lastRow="0" w:firstColumn="1" w:lastColumn="0" w:oddVBand="0" w:evenVBand="0" w:oddHBand="0" w:evenHBand="0" w:firstRowFirstColumn="0" w:firstRowLastColumn="0" w:lastRowFirstColumn="0" w:lastRowLastColumn="0"/>
            <w:tcW w:w="1560" w:type="dxa"/>
            <w:tcMar>
              <w:top w:w="142" w:type="dxa"/>
              <w:bottom w:w="198" w:type="dxa"/>
            </w:tcMar>
          </w:tcPr>
          <w:p w14:paraId="252D6C7E" w14:textId="77777777" w:rsidR="00287297" w:rsidRPr="006D0A61" w:rsidRDefault="00287297" w:rsidP="0063723F">
            <w:pPr>
              <w:rPr>
                <w:color w:val="000000" w:themeColor="text1"/>
                <w:sz w:val="21"/>
                <w:szCs w:val="21"/>
                <w:lang w:val="en-US"/>
              </w:rPr>
            </w:pPr>
            <w:r w:rsidRPr="006D0A61">
              <w:rPr>
                <w:color w:val="000000" w:themeColor="text1"/>
                <w:sz w:val="21"/>
                <w:szCs w:val="21"/>
                <w:lang w:val="en-US"/>
              </w:rPr>
              <w:t xml:space="preserve">Lithuanian President speech </w:t>
            </w:r>
            <w:r w:rsidRPr="006D0A61">
              <w:rPr>
                <w:color w:val="000000" w:themeColor="text1"/>
                <w:sz w:val="21"/>
                <w:szCs w:val="21"/>
                <w:lang w:val="en-US"/>
              </w:rPr>
              <w:lastRenderedPageBreak/>
              <w:t>“Memory of a crisis” (2021)</w:t>
            </w:r>
          </w:p>
        </w:tc>
        <w:tc>
          <w:tcPr>
            <w:tcW w:w="4105" w:type="dxa"/>
            <w:tcMar>
              <w:top w:w="142" w:type="dxa"/>
              <w:bottom w:w="198" w:type="dxa"/>
            </w:tcMar>
          </w:tcPr>
          <w:p w14:paraId="5AA7F13E" w14:textId="77777777" w:rsidR="00287297" w:rsidRPr="006D0A61" w:rsidRDefault="00287297" w:rsidP="0063723F">
            <w:pPr>
              <w:cnfStyle w:val="000000000000" w:firstRow="0" w:lastRow="0" w:firstColumn="0" w:lastColumn="0" w:oddVBand="0" w:evenVBand="0" w:oddHBand="0" w:evenHBand="0" w:firstRowFirstColumn="0" w:firstRowLastColumn="0" w:lastRowFirstColumn="0" w:lastRowLastColumn="0"/>
              <w:rPr>
                <w:color w:val="000000" w:themeColor="text1"/>
                <w:sz w:val="21"/>
                <w:szCs w:val="21"/>
              </w:rPr>
            </w:pPr>
            <w:r w:rsidRPr="006D0A61">
              <w:rPr>
                <w:color w:val="000000" w:themeColor="text1"/>
                <w:sz w:val="21"/>
                <w:szCs w:val="21"/>
              </w:rPr>
              <w:lastRenderedPageBreak/>
              <w:t xml:space="preserve">Totalitarinis Sovietų Sąjungos režimas 1941-ųjų birželį ir vėlesniais metais šimtus tūkstančių Lietuvos žmonių pasmerkė būtent </w:t>
            </w:r>
            <w:r w:rsidRPr="006D0A61">
              <w:rPr>
                <w:color w:val="000000" w:themeColor="text1"/>
                <w:sz w:val="21"/>
                <w:szCs w:val="21"/>
              </w:rPr>
              <w:lastRenderedPageBreak/>
              <w:t>tokiai bausmei. Pasmerkė niekuo nenusikaltusius. Baudė tuos, kurie neįtiko režimui, buvo „netinkamos“ tautybės ar profesijos. Nekaltomis aukomis pildė statistikos lenteles.</w:t>
            </w:r>
          </w:p>
          <w:p w14:paraId="77DEBEB2" w14:textId="77777777" w:rsidR="00287297" w:rsidRPr="006D0A61" w:rsidRDefault="00287297" w:rsidP="0063723F">
            <w:pPr>
              <w:cnfStyle w:val="000000000000" w:firstRow="0" w:lastRow="0" w:firstColumn="0" w:lastColumn="0" w:oddVBand="0" w:evenVBand="0" w:oddHBand="0" w:evenHBand="0" w:firstRowFirstColumn="0" w:firstRowLastColumn="0" w:lastRowFirstColumn="0" w:lastRowLastColumn="0"/>
              <w:rPr>
                <w:color w:val="000000" w:themeColor="text1"/>
                <w:sz w:val="21"/>
                <w:szCs w:val="21"/>
              </w:rPr>
            </w:pPr>
            <w:r w:rsidRPr="006D0A61">
              <w:rPr>
                <w:color w:val="000000" w:themeColor="text1"/>
                <w:sz w:val="21"/>
                <w:szCs w:val="21"/>
              </w:rPr>
              <w:t>Nusikalstamas režimas negailestingai laužė Lietuvos piliečių likimus. Teroro aukos neteko namų, turto, dažnu atveju – ir gyvybės. Tačiau net ir tokie likimo smūgiai nepalaužė mūsų tautos, nesunaikino jos ryžto kovoti.</w:t>
            </w:r>
          </w:p>
        </w:tc>
        <w:tc>
          <w:tcPr>
            <w:tcW w:w="3261" w:type="dxa"/>
            <w:tcMar>
              <w:top w:w="142" w:type="dxa"/>
              <w:bottom w:w="198" w:type="dxa"/>
            </w:tcMar>
          </w:tcPr>
          <w:p w14:paraId="3746B770" w14:textId="77777777" w:rsidR="00287297" w:rsidRPr="006D0A61" w:rsidRDefault="00287297" w:rsidP="0063723F">
            <w:pPr>
              <w:cnfStyle w:val="000000000000" w:firstRow="0" w:lastRow="0" w:firstColumn="0" w:lastColumn="0" w:oddVBand="0" w:evenVBand="0" w:oddHBand="0" w:evenHBand="0" w:firstRowFirstColumn="0" w:firstRowLastColumn="0" w:lastRowFirstColumn="0" w:lastRowLastColumn="0"/>
              <w:rPr>
                <w:color w:val="000000" w:themeColor="text1"/>
                <w:sz w:val="21"/>
                <w:szCs w:val="21"/>
              </w:rPr>
            </w:pPr>
            <w:r w:rsidRPr="006D0A61">
              <w:rPr>
                <w:color w:val="000000" w:themeColor="text1"/>
                <w:sz w:val="21"/>
                <w:szCs w:val="21"/>
                <w:shd w:val="clear" w:color="auto" w:fill="FFFFFF"/>
              </w:rPr>
              <w:lastRenderedPageBreak/>
              <w:t xml:space="preserve">"Ir šiandien, kai šiandienos Lietuvos piliečiai jaučiasi saugūs savo valstybėse, gali būti, kad </w:t>
            </w:r>
            <w:r w:rsidRPr="006D0A61">
              <w:rPr>
                <w:color w:val="000000" w:themeColor="text1"/>
                <w:sz w:val="21"/>
                <w:szCs w:val="21"/>
                <w:shd w:val="clear" w:color="auto" w:fill="FFFFFF"/>
              </w:rPr>
              <w:lastRenderedPageBreak/>
              <w:t>nemažai jų ne visada supranta, kokios buvo pagarbos bausmės. '''' "Iš tikrųjų, jaunosios kartos Lietuvos piliečiai daugiau nei er mažai žino, kkas tai yra tremtis. Ir labai dažnai jie netgi neprisimena, kad tremtis įstatymų leidimu buvo iki šiol Lietuvos gyventojų teisė.""" Mūsų tauta išgyveno tremtį kaip bausmę. Tačiau kaip bausmę, kuri iš tikrųjų buvo ne įstatymu leista.</w:t>
            </w:r>
          </w:p>
        </w:tc>
        <w:tc>
          <w:tcPr>
            <w:tcW w:w="2835" w:type="dxa"/>
            <w:tcMar>
              <w:top w:w="142" w:type="dxa"/>
              <w:bottom w:w="198" w:type="dxa"/>
            </w:tcMar>
          </w:tcPr>
          <w:p w14:paraId="2EF8186F" w14:textId="77777777" w:rsidR="00287297" w:rsidRPr="006D0A61" w:rsidRDefault="00287297" w:rsidP="0063723F">
            <w:pPr>
              <w:cnfStyle w:val="000000000000" w:firstRow="0" w:lastRow="0" w:firstColumn="0" w:lastColumn="0" w:oddVBand="0" w:evenVBand="0" w:oddHBand="0" w:evenHBand="0" w:firstRowFirstColumn="0" w:firstRowLastColumn="0" w:lastRowFirstColumn="0" w:lastRowLastColumn="0"/>
              <w:rPr>
                <w:color w:val="000000" w:themeColor="text1"/>
                <w:sz w:val="21"/>
                <w:szCs w:val="21"/>
              </w:rPr>
            </w:pPr>
            <w:r w:rsidRPr="006D0A61">
              <w:rPr>
                <w:color w:val="000000" w:themeColor="text1"/>
                <w:sz w:val="21"/>
                <w:szCs w:val="21"/>
                <w:shd w:val="clear" w:color="auto" w:fill="FFFFFF"/>
              </w:rPr>
              <w:lastRenderedPageBreak/>
              <w:t xml:space="preserve">In June 1941 and in the following years, the totalitarian regime of the </w:t>
            </w:r>
            <w:r w:rsidRPr="006D0A61">
              <w:rPr>
                <w:color w:val="000000" w:themeColor="text1"/>
                <w:sz w:val="21"/>
                <w:szCs w:val="21"/>
                <w:shd w:val="clear" w:color="auto" w:fill="FFFFFF"/>
              </w:rPr>
              <w:lastRenderedPageBreak/>
              <w:t>Soviet Union condemned hundreds of thousands of Lithuanians for exactly such a punishment. Condemned those not guilty of anything. Punished those who displeased the regime or those that were of an "inappropriate" nationality or profession. Filled statistical tables with innocent victims. The criminal regime ruthlessly violated the destinies of Lithuanian citizens. Victims of terror have lost their homes, property and, in many cases, their lives. But even such blows of destiny did not break our nation, did not destroy its determination to fight.</w:t>
            </w:r>
          </w:p>
        </w:tc>
        <w:tc>
          <w:tcPr>
            <w:tcW w:w="2834" w:type="dxa"/>
            <w:tcMar>
              <w:top w:w="142" w:type="dxa"/>
              <w:bottom w:w="198" w:type="dxa"/>
            </w:tcMar>
          </w:tcPr>
          <w:p w14:paraId="7ECE1E81" w14:textId="77777777" w:rsidR="00287297" w:rsidRPr="006D0A61" w:rsidRDefault="00287297" w:rsidP="0063723F">
            <w:pPr>
              <w:cnfStyle w:val="000000000000" w:firstRow="0" w:lastRow="0" w:firstColumn="0" w:lastColumn="0" w:oddVBand="0" w:evenVBand="0" w:oddHBand="0" w:evenHBand="0" w:firstRowFirstColumn="0" w:firstRowLastColumn="0" w:lastRowFirstColumn="0" w:lastRowLastColumn="0"/>
              <w:rPr>
                <w:color w:val="000000" w:themeColor="text1"/>
                <w:sz w:val="21"/>
                <w:szCs w:val="21"/>
              </w:rPr>
            </w:pPr>
            <w:r w:rsidRPr="006D0A61">
              <w:rPr>
                <w:color w:val="000000" w:themeColor="text1"/>
                <w:sz w:val="21"/>
                <w:szCs w:val="21"/>
                <w:shd w:val="clear" w:color="auto" w:fill="FFFFFF"/>
              </w:rPr>
              <w:lastRenderedPageBreak/>
              <w:t xml:space="preserve">"And today, when today's Lithuanian citizens feel safe in their countries, it may be that </w:t>
            </w:r>
            <w:r w:rsidRPr="006D0A61">
              <w:rPr>
                <w:color w:val="000000" w:themeColor="text1"/>
                <w:sz w:val="21"/>
                <w:szCs w:val="21"/>
                <w:shd w:val="clear" w:color="auto" w:fill="FFFFFF"/>
              </w:rPr>
              <w:lastRenderedPageBreak/>
              <w:t>many of them do not always understand what the punishments of respect were. '' '' . And very often they don't even remember that deportation by law has been the right of the Lithuanian people until now. "" "Our nation has experienced deportation as a punishment. But as a punishment that was actually permitted not by law.</w:t>
            </w:r>
          </w:p>
        </w:tc>
      </w:tr>
      <w:tr w:rsidR="00287297" w:rsidRPr="004C4CF8" w14:paraId="3DA776FB" w14:textId="77777777" w:rsidTr="006372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0" w:type="dxa"/>
            <w:tcMar>
              <w:top w:w="142" w:type="dxa"/>
              <w:bottom w:w="198" w:type="dxa"/>
            </w:tcMar>
          </w:tcPr>
          <w:p w14:paraId="6216F986" w14:textId="77777777" w:rsidR="00287297" w:rsidRPr="006D0A61" w:rsidRDefault="00287297" w:rsidP="0063723F">
            <w:pPr>
              <w:rPr>
                <w:color w:val="000000" w:themeColor="text1"/>
                <w:sz w:val="21"/>
                <w:szCs w:val="21"/>
                <w:lang w:val="de-DE"/>
              </w:rPr>
            </w:pPr>
            <w:r w:rsidRPr="006D0A61">
              <w:rPr>
                <w:color w:val="000000" w:themeColor="text1"/>
                <w:sz w:val="21"/>
                <w:szCs w:val="21"/>
                <w:lang w:val="en-US"/>
              </w:rPr>
              <w:lastRenderedPageBreak/>
              <w:t>Secularism in France</w:t>
            </w:r>
          </w:p>
        </w:tc>
        <w:tc>
          <w:tcPr>
            <w:tcW w:w="4105" w:type="dxa"/>
            <w:tcMar>
              <w:top w:w="142" w:type="dxa"/>
              <w:bottom w:w="198" w:type="dxa"/>
            </w:tcMar>
          </w:tcPr>
          <w:p w14:paraId="266F65B2" w14:textId="77777777" w:rsidR="00287297" w:rsidRPr="006D0A61" w:rsidRDefault="00287297" w:rsidP="0063723F">
            <w:pPr>
              <w:cnfStyle w:val="000000100000" w:firstRow="0" w:lastRow="0" w:firstColumn="0" w:lastColumn="0" w:oddVBand="0" w:evenVBand="0" w:oddHBand="1" w:evenHBand="0" w:firstRowFirstColumn="0" w:firstRowLastColumn="0" w:lastRowFirstColumn="0" w:lastRowLastColumn="0"/>
              <w:rPr>
                <w:color w:val="000000" w:themeColor="text1"/>
                <w:sz w:val="21"/>
                <w:szCs w:val="21"/>
              </w:rPr>
            </w:pPr>
            <w:r w:rsidRPr="006D0A61">
              <w:rPr>
                <w:color w:val="000000" w:themeColor="text1"/>
                <w:sz w:val="21"/>
                <w:szCs w:val="21"/>
              </w:rPr>
              <w:t>Tout au long de nos travaux, nous avons pu constater aussi l’attachement de la grande majorité de nos concitoyens au principe de la laïcité. Instinctivement, ils reconnaissent dans ce principe une valeur sur laquelle est fondée l’unité nationale, une valeur qui rassemble, en même temps qu’un garant de la liberté individuelle. C’est dire combien il leur paraît important que cette valeur soit respectée et, chaque fois qu’elle est menacée, défendue. (...)</w:t>
            </w:r>
          </w:p>
        </w:tc>
        <w:tc>
          <w:tcPr>
            <w:tcW w:w="3261" w:type="dxa"/>
            <w:tcMar>
              <w:top w:w="142" w:type="dxa"/>
              <w:bottom w:w="198" w:type="dxa"/>
            </w:tcMar>
          </w:tcPr>
          <w:p w14:paraId="1A9D133E" w14:textId="77777777" w:rsidR="00287297" w:rsidRPr="006D0A61" w:rsidRDefault="00287297" w:rsidP="0063723F">
            <w:pPr>
              <w:cnfStyle w:val="000000100000" w:firstRow="0" w:lastRow="0" w:firstColumn="0" w:lastColumn="0" w:oddVBand="0" w:evenVBand="0" w:oddHBand="1" w:evenHBand="0" w:firstRowFirstColumn="0" w:firstRowLastColumn="0" w:lastRowFirstColumn="0" w:lastRowLastColumn="0"/>
              <w:rPr>
                <w:color w:val="000000" w:themeColor="text1"/>
                <w:sz w:val="21"/>
                <w:szCs w:val="21"/>
              </w:rPr>
            </w:pPr>
            <w:r w:rsidRPr="006D0A61">
              <w:rPr>
                <w:sz w:val="21"/>
                <w:szCs w:val="21"/>
              </w:rPr>
              <w:t>Beaucoup de monde est d'accord pour dire que les musulmans sont une menace pour la France, parce qu'ils veulent lui prendre ses valeurs. C'est pour cela qu'il faut faire attention, et ne pas les laisser faire.</w:t>
            </w:r>
          </w:p>
        </w:tc>
        <w:tc>
          <w:tcPr>
            <w:tcW w:w="2835" w:type="dxa"/>
            <w:tcMar>
              <w:top w:w="142" w:type="dxa"/>
              <w:bottom w:w="198" w:type="dxa"/>
            </w:tcMar>
          </w:tcPr>
          <w:p w14:paraId="16F7E022" w14:textId="77777777" w:rsidR="00287297" w:rsidRPr="006D0A61" w:rsidRDefault="00287297" w:rsidP="0063723F">
            <w:pPr>
              <w:cnfStyle w:val="000000100000" w:firstRow="0" w:lastRow="0" w:firstColumn="0" w:lastColumn="0" w:oddVBand="0" w:evenVBand="0" w:oddHBand="1" w:evenHBand="0" w:firstRowFirstColumn="0" w:firstRowLastColumn="0" w:lastRowFirstColumn="0" w:lastRowLastColumn="0"/>
              <w:rPr>
                <w:color w:val="000000" w:themeColor="text1"/>
                <w:sz w:val="21"/>
                <w:szCs w:val="21"/>
              </w:rPr>
            </w:pPr>
            <w:r w:rsidRPr="006D0A61">
              <w:rPr>
                <w:sz w:val="21"/>
                <w:szCs w:val="21"/>
              </w:rPr>
              <w:t xml:space="preserve">Throughout our work, we have also observed the strong attachment of the great majority of our fellow citizens to the principle of secularism. Instinctively, they recognise in this principle a value upon which national unity is founded, a value that brings people together, while at the same time serving as a guarantor of individual freedom. This shows how important it seems to them that this value be respected and, </w:t>
            </w:r>
            <w:r w:rsidRPr="006D0A61">
              <w:rPr>
                <w:sz w:val="21"/>
                <w:szCs w:val="21"/>
              </w:rPr>
              <w:lastRenderedPageBreak/>
              <w:t>whenever it is threatened, defended. (…)</w:t>
            </w:r>
          </w:p>
        </w:tc>
        <w:tc>
          <w:tcPr>
            <w:tcW w:w="2834" w:type="dxa"/>
            <w:tcMar>
              <w:top w:w="142" w:type="dxa"/>
              <w:bottom w:w="198" w:type="dxa"/>
            </w:tcMar>
          </w:tcPr>
          <w:p w14:paraId="3E5E2B14" w14:textId="77777777" w:rsidR="00287297" w:rsidRPr="006D0A61" w:rsidRDefault="00287297" w:rsidP="0063723F">
            <w:pPr>
              <w:cnfStyle w:val="000000100000" w:firstRow="0" w:lastRow="0" w:firstColumn="0" w:lastColumn="0" w:oddVBand="0" w:evenVBand="0" w:oddHBand="1" w:evenHBand="0" w:firstRowFirstColumn="0" w:firstRowLastColumn="0" w:lastRowFirstColumn="0" w:lastRowLastColumn="0"/>
              <w:rPr>
                <w:color w:val="000000" w:themeColor="text1"/>
                <w:sz w:val="21"/>
                <w:szCs w:val="21"/>
              </w:rPr>
            </w:pPr>
            <w:r w:rsidRPr="006D0A61">
              <w:rPr>
                <w:color w:val="000000" w:themeColor="text1"/>
                <w:sz w:val="21"/>
                <w:szCs w:val="21"/>
              </w:rPr>
              <w:lastRenderedPageBreak/>
              <w:t xml:space="preserve">The French government, which is not a democracy, is worried about the rise of Islamism in France. The French government is not a democracy. France has a long history of being a monarchi and then being a republic. The French people are not used to having their voices heard on national issues. The French government is afraid of the raise of Islamism in France will lead to civil war. The French government wants to restore "public order" by </w:t>
            </w:r>
            <w:r w:rsidRPr="006D0A61">
              <w:rPr>
                <w:color w:val="000000" w:themeColor="text1"/>
                <w:sz w:val="21"/>
                <w:szCs w:val="21"/>
              </w:rPr>
              <w:lastRenderedPageBreak/>
              <w:t>making it illegal for people to wear realigious symbols in public places.</w:t>
            </w:r>
          </w:p>
        </w:tc>
      </w:tr>
      <w:tr w:rsidR="00287297" w:rsidRPr="004C4CF8" w14:paraId="76937090" w14:textId="77777777" w:rsidTr="0063723F">
        <w:tc>
          <w:tcPr>
            <w:cnfStyle w:val="001000000000" w:firstRow="0" w:lastRow="0" w:firstColumn="1" w:lastColumn="0" w:oddVBand="0" w:evenVBand="0" w:oddHBand="0" w:evenHBand="0" w:firstRowFirstColumn="0" w:firstRowLastColumn="0" w:lastRowFirstColumn="0" w:lastRowLastColumn="0"/>
            <w:tcW w:w="1560" w:type="dxa"/>
            <w:tcMar>
              <w:top w:w="142" w:type="dxa"/>
              <w:bottom w:w="198" w:type="dxa"/>
            </w:tcMar>
          </w:tcPr>
          <w:p w14:paraId="5C8C576B" w14:textId="77777777" w:rsidR="00287297" w:rsidRPr="006D0A61" w:rsidRDefault="00287297" w:rsidP="0063723F">
            <w:pPr>
              <w:rPr>
                <w:color w:val="000000" w:themeColor="text1"/>
                <w:sz w:val="21"/>
                <w:szCs w:val="21"/>
                <w:lang w:val="en-US"/>
              </w:rPr>
            </w:pPr>
            <w:r w:rsidRPr="006D0A61">
              <w:rPr>
                <w:color w:val="000000" w:themeColor="text1"/>
                <w:sz w:val="21"/>
                <w:szCs w:val="21"/>
                <w:lang w:val="en-US"/>
              </w:rPr>
              <w:lastRenderedPageBreak/>
              <w:t>Malcom X “</w:t>
            </w:r>
            <w:r w:rsidRPr="006D0A61">
              <w:rPr>
                <w:color w:val="000000" w:themeColor="text1"/>
                <w:sz w:val="21"/>
                <w:szCs w:val="21"/>
              </w:rPr>
              <w:t>The Ballot or the Bullet, Malcolm X (USA 1964)</w:t>
            </w:r>
            <w:r w:rsidRPr="006D0A61">
              <w:rPr>
                <w:color w:val="000000" w:themeColor="text1"/>
                <w:sz w:val="21"/>
                <w:szCs w:val="21"/>
                <w:lang w:val="en-US"/>
              </w:rPr>
              <w:t>”</w:t>
            </w:r>
          </w:p>
        </w:tc>
        <w:tc>
          <w:tcPr>
            <w:tcW w:w="4105" w:type="dxa"/>
            <w:tcMar>
              <w:top w:w="142" w:type="dxa"/>
              <w:bottom w:w="198" w:type="dxa"/>
            </w:tcMar>
          </w:tcPr>
          <w:p w14:paraId="0F0294B7" w14:textId="77777777" w:rsidR="00287297" w:rsidRPr="006D0A61" w:rsidRDefault="00287297" w:rsidP="0063723F">
            <w:pPr>
              <w:cnfStyle w:val="000000000000" w:firstRow="0" w:lastRow="0" w:firstColumn="0" w:lastColumn="0" w:oddVBand="0" w:evenVBand="0" w:oddHBand="0" w:evenHBand="0" w:firstRowFirstColumn="0" w:firstRowLastColumn="0" w:lastRowFirstColumn="0" w:lastRowLastColumn="0"/>
              <w:rPr>
                <w:color w:val="000000" w:themeColor="text1"/>
                <w:sz w:val="21"/>
                <w:szCs w:val="21"/>
                <w:lang w:val="en-US"/>
              </w:rPr>
            </w:pPr>
            <w:r w:rsidRPr="006D0A61">
              <w:rPr>
                <w:color w:val="000000" w:themeColor="text1"/>
                <w:sz w:val="21"/>
                <w:szCs w:val="21"/>
                <w:lang w:val="en-US"/>
              </w:rPr>
              <w:t xml:space="preserve"> “So it’s time in 1964 to wake up…It’s got to be the ballot or the bullet… They get all the Negro vote, and after they get it, the Negro gets nothing in return… That’s camouflage, that’s trickery, that’s treachery.”</w:t>
            </w:r>
          </w:p>
        </w:tc>
        <w:tc>
          <w:tcPr>
            <w:tcW w:w="3261" w:type="dxa"/>
            <w:tcMar>
              <w:top w:w="142" w:type="dxa"/>
              <w:bottom w:w="198" w:type="dxa"/>
            </w:tcMar>
          </w:tcPr>
          <w:p w14:paraId="710FF915" w14:textId="77777777" w:rsidR="00287297" w:rsidRPr="006D0A61" w:rsidRDefault="00287297" w:rsidP="0063723F">
            <w:pPr>
              <w:cnfStyle w:val="000000000000" w:firstRow="0" w:lastRow="0" w:firstColumn="0" w:lastColumn="0" w:oddVBand="0" w:evenVBand="0" w:oddHBand="0" w:evenHBand="0" w:firstRowFirstColumn="0" w:firstRowLastColumn="0" w:lastRowFirstColumn="0" w:lastRowLastColumn="0"/>
              <w:rPr>
                <w:color w:val="000000" w:themeColor="text1"/>
                <w:sz w:val="21"/>
                <w:szCs w:val="21"/>
              </w:rPr>
            </w:pPr>
            <w:r w:rsidRPr="006D0A61">
              <w:rPr>
                <w:color w:val="000000" w:themeColor="text1"/>
                <w:sz w:val="21"/>
                <w:szCs w:val="21"/>
                <w:lang w:val="en-US"/>
              </w:rPr>
              <w:t>“The democrats are the party of slavery, the KKK, and Jim Crow” (repeated in various ways including words such as segregation, lynching and Ku Klux Klan”</w:t>
            </w:r>
          </w:p>
        </w:tc>
        <w:tc>
          <w:tcPr>
            <w:tcW w:w="2835" w:type="dxa"/>
            <w:tcMar>
              <w:top w:w="142" w:type="dxa"/>
              <w:bottom w:w="198" w:type="dxa"/>
            </w:tcMar>
          </w:tcPr>
          <w:p w14:paraId="0CD39B36" w14:textId="77777777" w:rsidR="00287297" w:rsidRPr="006D0A61" w:rsidRDefault="00287297" w:rsidP="0063723F">
            <w:pPr>
              <w:cnfStyle w:val="000000000000" w:firstRow="0" w:lastRow="0" w:firstColumn="0" w:lastColumn="0" w:oddVBand="0" w:evenVBand="0" w:oddHBand="0" w:evenHBand="0" w:firstRowFirstColumn="0" w:firstRowLastColumn="0" w:lastRowFirstColumn="0" w:lastRowLastColumn="0"/>
              <w:rPr>
                <w:color w:val="000000" w:themeColor="text1"/>
                <w:sz w:val="21"/>
                <w:szCs w:val="21"/>
              </w:rPr>
            </w:pPr>
          </w:p>
        </w:tc>
        <w:tc>
          <w:tcPr>
            <w:tcW w:w="2834" w:type="dxa"/>
            <w:tcMar>
              <w:top w:w="142" w:type="dxa"/>
              <w:bottom w:w="198" w:type="dxa"/>
            </w:tcMar>
          </w:tcPr>
          <w:p w14:paraId="2CF60E68" w14:textId="77777777" w:rsidR="00287297" w:rsidRPr="006D0A61" w:rsidRDefault="00287297" w:rsidP="0063723F">
            <w:pPr>
              <w:cnfStyle w:val="000000000000" w:firstRow="0" w:lastRow="0" w:firstColumn="0" w:lastColumn="0" w:oddVBand="0" w:evenVBand="0" w:oddHBand="0" w:evenHBand="0" w:firstRowFirstColumn="0" w:firstRowLastColumn="0" w:lastRowFirstColumn="0" w:lastRowLastColumn="0"/>
              <w:rPr>
                <w:color w:val="000000" w:themeColor="text1"/>
                <w:sz w:val="21"/>
                <w:szCs w:val="21"/>
              </w:rPr>
            </w:pPr>
          </w:p>
        </w:tc>
      </w:tr>
      <w:tr w:rsidR="00287297" w:rsidRPr="004C4CF8" w14:paraId="6BF37862" w14:textId="77777777" w:rsidTr="006372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0" w:type="dxa"/>
            <w:tcMar>
              <w:top w:w="142" w:type="dxa"/>
              <w:bottom w:w="198" w:type="dxa"/>
            </w:tcMar>
          </w:tcPr>
          <w:p w14:paraId="11523AC7" w14:textId="77777777" w:rsidR="00287297" w:rsidRPr="006D0A61" w:rsidRDefault="00287297" w:rsidP="0063723F">
            <w:pPr>
              <w:rPr>
                <w:color w:val="000000" w:themeColor="text1"/>
                <w:sz w:val="21"/>
                <w:szCs w:val="21"/>
                <w:lang w:val="en-US"/>
              </w:rPr>
            </w:pPr>
            <w:r w:rsidRPr="006D0A61">
              <w:rPr>
                <w:color w:val="000000" w:themeColor="text1"/>
                <w:sz w:val="21"/>
                <w:szCs w:val="21"/>
                <w:lang w:val="en-US"/>
              </w:rPr>
              <w:t>LGBTI Pride celebration speech (2021)</w:t>
            </w:r>
          </w:p>
        </w:tc>
        <w:tc>
          <w:tcPr>
            <w:tcW w:w="4105" w:type="dxa"/>
            <w:tcMar>
              <w:top w:w="142" w:type="dxa"/>
              <w:bottom w:w="198" w:type="dxa"/>
            </w:tcMar>
          </w:tcPr>
          <w:p w14:paraId="1AA59E84" w14:textId="77777777" w:rsidR="00287297" w:rsidRPr="006D0A61" w:rsidRDefault="00287297" w:rsidP="0063723F">
            <w:pPr>
              <w:cnfStyle w:val="000000100000" w:firstRow="0" w:lastRow="0" w:firstColumn="0" w:lastColumn="0" w:oddVBand="0" w:evenVBand="0" w:oddHBand="1" w:evenHBand="0" w:firstRowFirstColumn="0" w:firstRowLastColumn="0" w:lastRowFirstColumn="0" w:lastRowLastColumn="0"/>
              <w:rPr>
                <w:color w:val="000000" w:themeColor="text1"/>
                <w:sz w:val="21"/>
                <w:szCs w:val="21"/>
              </w:rPr>
            </w:pPr>
            <w:r w:rsidRPr="006D0A61">
              <w:rPr>
                <w:color w:val="000000" w:themeColor="text1"/>
                <w:sz w:val="21"/>
                <w:szCs w:val="21"/>
              </w:rPr>
              <w:t>El Orgullo es siempre un momento de celebración y reivindicación para muchas personas que han podido sentirse solas. Es un momento de reivindicar sus derechos y el orgullo de ser quien es y de amar a quien se quiere amar". La Ministra recordó que "hacemos historia tras quince años sin avances en materia de derechos LGTBI tras la aprobación del matrimonio igualitario" y quiso agradecer públicamente el "mérito de los colectivos y personas LGTBI y también del movimiento feminista que entiende que o nos despegamos todas de los suelos pegajosos o no llegará ninguna. Hay miles de mujeres feministas en este país que estamos convencidas de que siempre que se garantizan los derechos humanos nos convertimos en una mejor sociedad para todas</w:t>
            </w:r>
          </w:p>
        </w:tc>
        <w:tc>
          <w:tcPr>
            <w:tcW w:w="3261" w:type="dxa"/>
            <w:tcMar>
              <w:top w:w="142" w:type="dxa"/>
              <w:bottom w:w="198" w:type="dxa"/>
            </w:tcMar>
          </w:tcPr>
          <w:p w14:paraId="5EBEE699" w14:textId="77777777" w:rsidR="00287297" w:rsidRPr="006D0A61" w:rsidRDefault="00287297" w:rsidP="0063723F">
            <w:pPr>
              <w:cnfStyle w:val="000000100000" w:firstRow="0" w:lastRow="0" w:firstColumn="0" w:lastColumn="0" w:oddVBand="0" w:evenVBand="0" w:oddHBand="1" w:evenHBand="0" w:firstRowFirstColumn="0" w:firstRowLastColumn="0" w:lastRowFirstColumn="0" w:lastRowLastColumn="0"/>
              <w:rPr>
                <w:color w:val="000000" w:themeColor="text1"/>
                <w:sz w:val="21"/>
                <w:szCs w:val="21"/>
                <w:lang w:val="es-CO"/>
              </w:rPr>
            </w:pPr>
            <w:r w:rsidRPr="006D0A61">
              <w:rPr>
                <w:color w:val="000000" w:themeColor="text1"/>
                <w:sz w:val="21"/>
                <w:szCs w:val="21"/>
              </w:rPr>
              <w:t>una ministra de un gobierno que ha recortado en derechos sociales y en educación, que ha recortado los presupuestos de la lucha contra la violencia machista, y que ha desatendido todas las peticiones del movimiento feminista se presenta a sí misma como feminista… "las personas LGTBI y sus demandas no son necesariamente feministas" (y aquí ya empieza la confusión). De hecho, "la lucha por los derechos de las personas LGTBI no es una lucha feminista porque no está enfocada en la igualdad"…</w:t>
            </w:r>
            <w:r w:rsidRPr="006D0A61">
              <w:rPr>
                <w:color w:val="000000" w:themeColor="text1"/>
                <w:sz w:val="21"/>
                <w:szCs w:val="21"/>
                <w:lang w:val="es-CO"/>
              </w:rPr>
              <w:t xml:space="preserve"> </w:t>
            </w:r>
            <w:r w:rsidRPr="006D0A61">
              <w:rPr>
                <w:color w:val="000000" w:themeColor="text1"/>
                <w:sz w:val="21"/>
                <w:szCs w:val="21"/>
              </w:rPr>
              <w:t>No sé si me he explicado bien, pero creo que es bastante claro: las personas LGTBI NO son feministas, y sus demandas NO son</w:t>
            </w:r>
            <w:r w:rsidRPr="006D0A61">
              <w:rPr>
                <w:color w:val="000000" w:themeColor="text1"/>
                <w:sz w:val="21"/>
                <w:szCs w:val="21"/>
                <w:lang w:val="es-CO"/>
              </w:rPr>
              <w:t xml:space="preserve"> igualitarias</w:t>
            </w:r>
          </w:p>
        </w:tc>
        <w:tc>
          <w:tcPr>
            <w:tcW w:w="2835" w:type="dxa"/>
            <w:tcMar>
              <w:top w:w="142" w:type="dxa"/>
              <w:bottom w:w="198" w:type="dxa"/>
            </w:tcMar>
          </w:tcPr>
          <w:p w14:paraId="5CA161B5" w14:textId="77777777" w:rsidR="00287297" w:rsidRPr="006D0A61" w:rsidRDefault="00287297" w:rsidP="0063723F">
            <w:pPr>
              <w:cnfStyle w:val="000000100000" w:firstRow="0" w:lastRow="0" w:firstColumn="0" w:lastColumn="0" w:oddVBand="0" w:evenVBand="0" w:oddHBand="1" w:evenHBand="0" w:firstRowFirstColumn="0" w:firstRowLastColumn="0" w:lastRowFirstColumn="0" w:lastRowLastColumn="0"/>
              <w:rPr>
                <w:color w:val="000000" w:themeColor="text1"/>
                <w:sz w:val="21"/>
                <w:szCs w:val="21"/>
              </w:rPr>
            </w:pPr>
            <w:r w:rsidRPr="006D0A61">
              <w:rPr>
                <w:color w:val="000000" w:themeColor="text1"/>
                <w:sz w:val="21"/>
                <w:szCs w:val="21"/>
              </w:rPr>
              <w:t>Pride is always a moment of celebration and vindication for many people who might have been felt alone. It is a moment to claim their rights and the pride of being who they are and loving who they want to love. "The Minister recalled that" we are making history after fifteen years without progress on LGTBI rights after the approval of equal marriage "and wanted publicly thank the "merit of LGTBI groups and people and also of the feminist movement that understands that either we all take off the sticky soils or none will come. There are thousands of feminist women in this country who are convinced that as long as human rights are guaranteed, we become a better society for all</w:t>
            </w:r>
          </w:p>
        </w:tc>
        <w:tc>
          <w:tcPr>
            <w:tcW w:w="2834" w:type="dxa"/>
            <w:tcMar>
              <w:top w:w="142" w:type="dxa"/>
              <w:bottom w:w="198" w:type="dxa"/>
            </w:tcMar>
          </w:tcPr>
          <w:p w14:paraId="362E4CB3" w14:textId="77777777" w:rsidR="00287297" w:rsidRPr="006D0A61" w:rsidRDefault="00287297" w:rsidP="0063723F">
            <w:pPr>
              <w:cnfStyle w:val="000000100000" w:firstRow="0" w:lastRow="0" w:firstColumn="0" w:lastColumn="0" w:oddVBand="0" w:evenVBand="0" w:oddHBand="1" w:evenHBand="0" w:firstRowFirstColumn="0" w:firstRowLastColumn="0" w:lastRowFirstColumn="0" w:lastRowLastColumn="0"/>
              <w:rPr>
                <w:color w:val="000000" w:themeColor="text1"/>
                <w:sz w:val="21"/>
                <w:szCs w:val="21"/>
                <w:lang w:val="en-US"/>
              </w:rPr>
            </w:pPr>
            <w:r w:rsidRPr="006D0A61">
              <w:rPr>
                <w:color w:val="000000" w:themeColor="text1"/>
                <w:sz w:val="21"/>
                <w:szCs w:val="21"/>
              </w:rPr>
              <w:t>a minister of a government that has cut social rights and education, that has cut budgets for the fight against male violence, and that has neglected all the requests of the feminist movement presents herself as a feminist... "LGTBI people and their demands are not necessarily feminist" (and here the confusion begins). In fact, "the struggle for the rights of LGTBI people is not a feminist struggle because it is not focused on equality"... I do not know if I have explained myself well, but I think it is quite clear: LGTBI people are NOT feminists, and their demands are NOT</w:t>
            </w:r>
            <w:r w:rsidRPr="006D0A61">
              <w:rPr>
                <w:color w:val="000000" w:themeColor="text1"/>
                <w:sz w:val="21"/>
                <w:szCs w:val="21"/>
                <w:lang w:val="en-US"/>
              </w:rPr>
              <w:t xml:space="preserve"> about equality</w:t>
            </w:r>
          </w:p>
          <w:p w14:paraId="294130BE" w14:textId="77777777" w:rsidR="00287297" w:rsidRPr="006D0A61" w:rsidRDefault="00287297" w:rsidP="0063723F">
            <w:pPr>
              <w:cnfStyle w:val="000000100000" w:firstRow="0" w:lastRow="0" w:firstColumn="0" w:lastColumn="0" w:oddVBand="0" w:evenVBand="0" w:oddHBand="1" w:evenHBand="0" w:firstRowFirstColumn="0" w:firstRowLastColumn="0" w:lastRowFirstColumn="0" w:lastRowLastColumn="0"/>
              <w:rPr>
                <w:color w:val="000000" w:themeColor="text1"/>
                <w:sz w:val="21"/>
                <w:szCs w:val="21"/>
              </w:rPr>
            </w:pPr>
          </w:p>
          <w:p w14:paraId="44F7A7F7" w14:textId="77777777" w:rsidR="00287297" w:rsidRPr="006D0A61" w:rsidRDefault="00287297" w:rsidP="0063723F">
            <w:pPr>
              <w:cnfStyle w:val="000000100000" w:firstRow="0" w:lastRow="0" w:firstColumn="0" w:lastColumn="0" w:oddVBand="0" w:evenVBand="0" w:oddHBand="1" w:evenHBand="0" w:firstRowFirstColumn="0" w:firstRowLastColumn="0" w:lastRowFirstColumn="0" w:lastRowLastColumn="0"/>
              <w:rPr>
                <w:color w:val="000000" w:themeColor="text1"/>
                <w:sz w:val="21"/>
                <w:szCs w:val="21"/>
              </w:rPr>
            </w:pPr>
          </w:p>
        </w:tc>
      </w:tr>
      <w:tr w:rsidR="00287297" w:rsidRPr="004C4CF8" w14:paraId="4942E52C" w14:textId="77777777" w:rsidTr="0063723F">
        <w:tc>
          <w:tcPr>
            <w:cnfStyle w:val="001000000000" w:firstRow="0" w:lastRow="0" w:firstColumn="1" w:lastColumn="0" w:oddVBand="0" w:evenVBand="0" w:oddHBand="0" w:evenHBand="0" w:firstRowFirstColumn="0" w:firstRowLastColumn="0" w:lastRowFirstColumn="0" w:lastRowLastColumn="0"/>
            <w:tcW w:w="1560" w:type="dxa"/>
            <w:tcMar>
              <w:top w:w="142" w:type="dxa"/>
              <w:bottom w:w="198" w:type="dxa"/>
            </w:tcMar>
          </w:tcPr>
          <w:p w14:paraId="765E36A4" w14:textId="77777777" w:rsidR="00287297" w:rsidRPr="006D0A61" w:rsidRDefault="00287297" w:rsidP="0063723F">
            <w:pPr>
              <w:rPr>
                <w:color w:val="000000" w:themeColor="text1"/>
                <w:sz w:val="21"/>
                <w:szCs w:val="21"/>
                <w:lang w:val="en-US"/>
              </w:rPr>
            </w:pPr>
            <w:r w:rsidRPr="006D0A61">
              <w:rPr>
                <w:color w:val="000000" w:themeColor="text1"/>
                <w:sz w:val="21"/>
                <w:szCs w:val="21"/>
                <w:lang w:val="en-US"/>
              </w:rPr>
              <w:t xml:space="preserve">United Nations </w:t>
            </w:r>
            <w:r w:rsidRPr="006D0A61">
              <w:rPr>
                <w:color w:val="000000" w:themeColor="text1"/>
                <w:sz w:val="21"/>
                <w:szCs w:val="21"/>
                <w:lang w:val="en-US"/>
              </w:rPr>
              <w:lastRenderedPageBreak/>
              <w:t>statement on discrimination against women</w:t>
            </w:r>
          </w:p>
          <w:p w14:paraId="17633947" w14:textId="77777777" w:rsidR="00287297" w:rsidRPr="006D0A61" w:rsidRDefault="00287297" w:rsidP="0063723F">
            <w:pPr>
              <w:rPr>
                <w:color w:val="000000" w:themeColor="text1"/>
                <w:sz w:val="21"/>
                <w:szCs w:val="21"/>
                <w:lang w:val="en-US"/>
              </w:rPr>
            </w:pPr>
            <w:r w:rsidRPr="006D0A61">
              <w:rPr>
                <w:color w:val="000000" w:themeColor="text1"/>
                <w:sz w:val="21"/>
                <w:szCs w:val="21"/>
                <w:lang w:val="en-US"/>
              </w:rPr>
              <w:t>(2003)</w:t>
            </w:r>
          </w:p>
        </w:tc>
        <w:tc>
          <w:tcPr>
            <w:tcW w:w="4105" w:type="dxa"/>
            <w:tcMar>
              <w:top w:w="142" w:type="dxa"/>
              <w:bottom w:w="198" w:type="dxa"/>
            </w:tcMar>
          </w:tcPr>
          <w:p w14:paraId="54990A78" w14:textId="77777777" w:rsidR="00287297" w:rsidRPr="006D0A61" w:rsidRDefault="00287297" w:rsidP="0063723F">
            <w:pPr>
              <w:cnfStyle w:val="000000000000" w:firstRow="0" w:lastRow="0" w:firstColumn="0" w:lastColumn="0" w:oddVBand="0" w:evenVBand="0" w:oddHBand="0" w:evenHBand="0" w:firstRowFirstColumn="0" w:firstRowLastColumn="0" w:lastRowFirstColumn="0" w:lastRowLastColumn="0"/>
              <w:rPr>
                <w:color w:val="000000" w:themeColor="text1"/>
                <w:sz w:val="21"/>
                <w:szCs w:val="21"/>
              </w:rPr>
            </w:pPr>
            <w:r w:rsidRPr="006D0A61">
              <w:rPr>
                <w:color w:val="000000" w:themeColor="text1"/>
                <w:sz w:val="21"/>
                <w:szCs w:val="21"/>
              </w:rPr>
              <w:lastRenderedPageBreak/>
              <w:t xml:space="preserve">States Parties shall take all appropriate measures to eliminate discrimination against </w:t>
            </w:r>
            <w:r w:rsidRPr="006D0A61">
              <w:rPr>
                <w:color w:val="000000" w:themeColor="text1"/>
                <w:sz w:val="21"/>
                <w:szCs w:val="21"/>
              </w:rPr>
              <w:lastRenderedPageBreak/>
              <w:t>women in all matters relating to marriage and family relations and in particular shall ensure, on a basis of equality of men and women. Including, the same rights to decide freely and responsibly on the number and spacing of their children and to have access to the information, education and means to enable them to exercise these rights.</w:t>
            </w:r>
          </w:p>
        </w:tc>
        <w:tc>
          <w:tcPr>
            <w:tcW w:w="3261" w:type="dxa"/>
            <w:tcMar>
              <w:top w:w="142" w:type="dxa"/>
              <w:bottom w:w="198" w:type="dxa"/>
            </w:tcMar>
          </w:tcPr>
          <w:p w14:paraId="0E3387D8" w14:textId="77777777" w:rsidR="00287297" w:rsidRPr="006D0A61" w:rsidRDefault="00287297" w:rsidP="0063723F">
            <w:pPr>
              <w:cnfStyle w:val="000000000000" w:firstRow="0" w:lastRow="0" w:firstColumn="0" w:lastColumn="0" w:oddVBand="0" w:evenVBand="0" w:oddHBand="0" w:evenHBand="0" w:firstRowFirstColumn="0" w:firstRowLastColumn="0" w:lastRowFirstColumn="0" w:lastRowLastColumn="0"/>
              <w:rPr>
                <w:color w:val="000000" w:themeColor="text1"/>
                <w:sz w:val="21"/>
                <w:szCs w:val="21"/>
                <w:lang w:val="en-US"/>
              </w:rPr>
            </w:pPr>
            <w:r w:rsidRPr="006D0A61">
              <w:rPr>
                <w:color w:val="000000" w:themeColor="text1"/>
                <w:sz w:val="21"/>
                <w:szCs w:val="21"/>
                <w:lang w:val="en-US"/>
              </w:rPr>
              <w:lastRenderedPageBreak/>
              <w:t>The right to an abortion is a human right. (repeated)</w:t>
            </w:r>
          </w:p>
        </w:tc>
        <w:tc>
          <w:tcPr>
            <w:tcW w:w="2835" w:type="dxa"/>
            <w:tcMar>
              <w:top w:w="142" w:type="dxa"/>
              <w:bottom w:w="198" w:type="dxa"/>
            </w:tcMar>
          </w:tcPr>
          <w:p w14:paraId="69EF32AC" w14:textId="77777777" w:rsidR="00287297" w:rsidRPr="006D0A61" w:rsidRDefault="00287297" w:rsidP="0063723F">
            <w:pPr>
              <w:ind w:firstLine="720"/>
              <w:cnfStyle w:val="000000000000" w:firstRow="0" w:lastRow="0" w:firstColumn="0" w:lastColumn="0" w:oddVBand="0" w:evenVBand="0" w:oddHBand="0" w:evenHBand="0" w:firstRowFirstColumn="0" w:firstRowLastColumn="0" w:lastRowFirstColumn="0" w:lastRowLastColumn="0"/>
              <w:rPr>
                <w:color w:val="000000" w:themeColor="text1"/>
                <w:sz w:val="21"/>
                <w:szCs w:val="21"/>
              </w:rPr>
            </w:pPr>
          </w:p>
        </w:tc>
        <w:tc>
          <w:tcPr>
            <w:tcW w:w="2834" w:type="dxa"/>
            <w:tcMar>
              <w:top w:w="142" w:type="dxa"/>
              <w:bottom w:w="198" w:type="dxa"/>
            </w:tcMar>
          </w:tcPr>
          <w:p w14:paraId="1877DC16" w14:textId="77777777" w:rsidR="00287297" w:rsidRPr="006D0A61" w:rsidRDefault="00287297" w:rsidP="0063723F">
            <w:pPr>
              <w:cnfStyle w:val="000000000000" w:firstRow="0" w:lastRow="0" w:firstColumn="0" w:lastColumn="0" w:oddVBand="0" w:evenVBand="0" w:oddHBand="0" w:evenHBand="0" w:firstRowFirstColumn="0" w:firstRowLastColumn="0" w:lastRowFirstColumn="0" w:lastRowLastColumn="0"/>
              <w:rPr>
                <w:color w:val="000000" w:themeColor="text1"/>
                <w:sz w:val="21"/>
                <w:szCs w:val="21"/>
              </w:rPr>
            </w:pPr>
          </w:p>
        </w:tc>
      </w:tr>
      <w:tr w:rsidR="00287297" w:rsidRPr="004C4CF8" w14:paraId="55F2C8B5" w14:textId="77777777" w:rsidTr="006372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0" w:type="dxa"/>
            <w:tcMar>
              <w:top w:w="142" w:type="dxa"/>
              <w:bottom w:w="198" w:type="dxa"/>
            </w:tcMar>
          </w:tcPr>
          <w:p w14:paraId="265EB721" w14:textId="77777777" w:rsidR="00287297" w:rsidRPr="006D0A61" w:rsidRDefault="00287297" w:rsidP="0063723F">
            <w:pPr>
              <w:rPr>
                <w:color w:val="000000" w:themeColor="text1"/>
                <w:sz w:val="21"/>
                <w:szCs w:val="21"/>
                <w:lang w:val="en-US"/>
              </w:rPr>
            </w:pPr>
            <w:r w:rsidRPr="006D0A61">
              <w:rPr>
                <w:color w:val="000000" w:themeColor="text1"/>
                <w:sz w:val="21"/>
                <w:szCs w:val="21"/>
                <w:lang w:val="en-US"/>
              </w:rPr>
              <w:t xml:space="preserve">UNESCO </w:t>
            </w:r>
          </w:p>
          <w:p w14:paraId="1AA44748" w14:textId="77777777" w:rsidR="00287297" w:rsidRPr="006D0A61" w:rsidRDefault="00287297" w:rsidP="0063723F">
            <w:pPr>
              <w:rPr>
                <w:color w:val="000000" w:themeColor="text1"/>
                <w:sz w:val="21"/>
                <w:szCs w:val="21"/>
                <w:lang w:val="en-US"/>
              </w:rPr>
            </w:pPr>
            <w:r w:rsidRPr="006D0A61">
              <w:rPr>
                <w:color w:val="000000" w:themeColor="text1"/>
                <w:sz w:val="21"/>
                <w:szCs w:val="21"/>
                <w:lang w:val="en-US"/>
              </w:rPr>
              <w:t>Climate change and the impacts of AI</w:t>
            </w:r>
          </w:p>
        </w:tc>
        <w:tc>
          <w:tcPr>
            <w:tcW w:w="4105" w:type="dxa"/>
            <w:tcMar>
              <w:top w:w="142" w:type="dxa"/>
              <w:bottom w:w="198" w:type="dxa"/>
            </w:tcMar>
          </w:tcPr>
          <w:p w14:paraId="2B4F43EA" w14:textId="77777777" w:rsidR="00287297" w:rsidRPr="006D0A61" w:rsidRDefault="00287297" w:rsidP="0063723F">
            <w:pPr>
              <w:cnfStyle w:val="000000100000" w:firstRow="0" w:lastRow="0" w:firstColumn="0" w:lastColumn="0" w:oddVBand="0" w:evenVBand="0" w:oddHBand="1" w:evenHBand="0" w:firstRowFirstColumn="0" w:firstRowLastColumn="0" w:lastRowFirstColumn="0" w:lastRowLastColumn="0"/>
              <w:rPr>
                <w:color w:val="000000" w:themeColor="text1"/>
                <w:sz w:val="21"/>
                <w:szCs w:val="21"/>
              </w:rPr>
            </w:pPr>
            <w:r w:rsidRPr="006D0A61">
              <w:rPr>
                <w:sz w:val="21"/>
                <w:szCs w:val="21"/>
              </w:rPr>
              <w:t>All actors involved in the lifecycle of AI systems</w:t>
            </w:r>
            <w:r w:rsidRPr="006D0A61">
              <w:rPr>
                <w:sz w:val="21"/>
                <w:szCs w:val="21"/>
                <w:shd w:val="clear" w:color="auto" w:fill="FFFFFF"/>
              </w:rPr>
              <w:t xml:space="preserve"> </w:t>
            </w:r>
            <w:r w:rsidRPr="006D0A61">
              <w:rPr>
                <w:sz w:val="21"/>
                <w:szCs w:val="21"/>
              </w:rPr>
              <w:t>must comply with applicable international law and domestic legislation, standards and practices, such as precaution, designed for environmental and ecosystem protection and restoration, and sustainable development. They should reduce the environmental impact of AI systems, including but not limited to its carbon footprint, to ensure the minimization of climate change and environmental risk factors, and prevent the unsustainable exploitation, use and transformation of natural resources contributing to the deterioration of the environment and the degradation of ecosystems.</w:t>
            </w:r>
          </w:p>
        </w:tc>
        <w:tc>
          <w:tcPr>
            <w:tcW w:w="3261" w:type="dxa"/>
            <w:tcMar>
              <w:top w:w="142" w:type="dxa"/>
              <w:bottom w:w="198" w:type="dxa"/>
            </w:tcMar>
          </w:tcPr>
          <w:p w14:paraId="1AED28AC" w14:textId="77777777" w:rsidR="00287297" w:rsidRPr="006D0A61" w:rsidRDefault="00287297" w:rsidP="0063723F">
            <w:pPr>
              <w:cnfStyle w:val="000000100000" w:firstRow="0" w:lastRow="0" w:firstColumn="0" w:lastColumn="0" w:oddVBand="0" w:evenVBand="0" w:oddHBand="1" w:evenHBand="0" w:firstRowFirstColumn="0" w:firstRowLastColumn="0" w:lastRowFirstColumn="0" w:lastRowLastColumn="0"/>
              <w:rPr>
                <w:color w:val="000000" w:themeColor="text1"/>
                <w:sz w:val="21"/>
                <w:szCs w:val="21"/>
                <w:lang w:val="en-US"/>
              </w:rPr>
            </w:pPr>
            <w:r w:rsidRPr="006D0A61">
              <w:rPr>
                <w:color w:val="000000" w:themeColor="text1"/>
                <w:sz w:val="21"/>
                <w:szCs w:val="21"/>
                <w:lang w:val="en-US"/>
              </w:rPr>
              <w:t>As the planet continues to warm, the impacts of climate change are getting worse. By collecting and analyzing data, AI-powered models could, for example, help improve ecosystem. I'm a big fan of plain language. It makes life easier for everyone!  management and habitat restoration, essential to lessen declines in fish and wildlife populations. That said, it's very important to address the high energy consumption of AI and the consequent impact on carbon emission.</w:t>
            </w:r>
          </w:p>
        </w:tc>
        <w:tc>
          <w:tcPr>
            <w:tcW w:w="2835" w:type="dxa"/>
            <w:tcMar>
              <w:top w:w="142" w:type="dxa"/>
              <w:bottom w:w="198" w:type="dxa"/>
            </w:tcMar>
          </w:tcPr>
          <w:p w14:paraId="173E1EF6" w14:textId="77777777" w:rsidR="00287297" w:rsidRPr="006D0A61" w:rsidRDefault="00287297" w:rsidP="0063723F">
            <w:pPr>
              <w:ind w:firstLine="720"/>
              <w:cnfStyle w:val="000000100000" w:firstRow="0" w:lastRow="0" w:firstColumn="0" w:lastColumn="0" w:oddVBand="0" w:evenVBand="0" w:oddHBand="1" w:evenHBand="0" w:firstRowFirstColumn="0" w:firstRowLastColumn="0" w:lastRowFirstColumn="0" w:lastRowLastColumn="0"/>
              <w:rPr>
                <w:color w:val="000000" w:themeColor="text1"/>
                <w:sz w:val="21"/>
                <w:szCs w:val="21"/>
              </w:rPr>
            </w:pPr>
          </w:p>
        </w:tc>
        <w:tc>
          <w:tcPr>
            <w:tcW w:w="2834" w:type="dxa"/>
            <w:tcMar>
              <w:top w:w="142" w:type="dxa"/>
              <w:bottom w:w="198" w:type="dxa"/>
            </w:tcMar>
          </w:tcPr>
          <w:p w14:paraId="453679FD" w14:textId="77777777" w:rsidR="00287297" w:rsidRPr="006D0A61" w:rsidRDefault="00287297" w:rsidP="0063723F">
            <w:pPr>
              <w:cnfStyle w:val="000000100000" w:firstRow="0" w:lastRow="0" w:firstColumn="0" w:lastColumn="0" w:oddVBand="0" w:evenVBand="0" w:oddHBand="1" w:evenHBand="0" w:firstRowFirstColumn="0" w:firstRowLastColumn="0" w:lastRowFirstColumn="0" w:lastRowLastColumn="0"/>
              <w:rPr>
                <w:color w:val="000000" w:themeColor="text1"/>
                <w:sz w:val="21"/>
                <w:szCs w:val="21"/>
              </w:rPr>
            </w:pPr>
          </w:p>
        </w:tc>
      </w:tr>
    </w:tbl>
    <w:p w14:paraId="5E0AB3E0" w14:textId="77777777" w:rsidR="00287297" w:rsidRPr="00C87A83" w:rsidRDefault="00287297" w:rsidP="00287297"/>
    <w:p w14:paraId="699746FE" w14:textId="77777777" w:rsidR="00F553FF" w:rsidRDefault="00F553FF"/>
    <w:sectPr w:rsidR="00F553FF" w:rsidSect="00287297">
      <w:pgSz w:w="16838" w:h="11906" w:orient="landscape"/>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7297"/>
    <w:rsid w:val="00287297"/>
    <w:rsid w:val="003C2EF4"/>
    <w:rsid w:val="00446799"/>
    <w:rsid w:val="006641DD"/>
    <w:rsid w:val="006A7E07"/>
    <w:rsid w:val="00701021"/>
    <w:rsid w:val="00B74216"/>
    <w:rsid w:val="00D62F8C"/>
    <w:rsid w:val="00E97CD6"/>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3EDD9A"/>
  <w15:chartTrackingRefBased/>
  <w15:docId w15:val="{8DA159D0-3352-4ADA-A9FF-CC450BC5D5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7297"/>
    <w:pPr>
      <w:spacing w:after="0" w:line="240" w:lineRule="auto"/>
    </w:pPr>
    <w:rPr>
      <w:rFonts w:ascii="Times New Roman" w:eastAsia="Times New Roman" w:hAnsi="Times New Roman" w:cs="Times New Roman"/>
      <w:kern w:val="0"/>
      <w:lang w:val="en-AU" w:eastAsia="en-GB"/>
      <w14:ligatures w14:val="none"/>
    </w:rPr>
  </w:style>
  <w:style w:type="paragraph" w:styleId="Heading1">
    <w:name w:val="heading 1"/>
    <w:basedOn w:val="Normal"/>
    <w:next w:val="Normal"/>
    <w:link w:val="Heading1Char"/>
    <w:uiPriority w:val="9"/>
    <w:qFormat/>
    <w:rsid w:val="00287297"/>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287297"/>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287297"/>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287297"/>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val="en-US" w:eastAsia="en-US"/>
      <w14:ligatures w14:val="standardContextual"/>
    </w:rPr>
  </w:style>
  <w:style w:type="paragraph" w:styleId="Heading5">
    <w:name w:val="heading 5"/>
    <w:basedOn w:val="Normal"/>
    <w:next w:val="Normal"/>
    <w:link w:val="Heading5Char"/>
    <w:uiPriority w:val="9"/>
    <w:semiHidden/>
    <w:unhideWhenUsed/>
    <w:qFormat/>
    <w:rsid w:val="00287297"/>
    <w:pPr>
      <w:keepNext/>
      <w:keepLines/>
      <w:spacing w:before="80" w:after="40" w:line="278" w:lineRule="auto"/>
      <w:outlineLvl w:val="4"/>
    </w:pPr>
    <w:rPr>
      <w:rFonts w:asciiTheme="minorHAnsi" w:eastAsiaTheme="majorEastAsia" w:hAnsiTheme="minorHAnsi" w:cstheme="majorBidi"/>
      <w:color w:val="0F4761" w:themeColor="accent1" w:themeShade="BF"/>
      <w:kern w:val="2"/>
      <w:lang w:val="en-US" w:eastAsia="en-US"/>
      <w14:ligatures w14:val="standardContextual"/>
    </w:rPr>
  </w:style>
  <w:style w:type="paragraph" w:styleId="Heading6">
    <w:name w:val="heading 6"/>
    <w:basedOn w:val="Normal"/>
    <w:next w:val="Normal"/>
    <w:link w:val="Heading6Char"/>
    <w:uiPriority w:val="9"/>
    <w:semiHidden/>
    <w:unhideWhenUsed/>
    <w:qFormat/>
    <w:rsid w:val="00287297"/>
    <w:pPr>
      <w:keepNext/>
      <w:keepLines/>
      <w:spacing w:before="40" w:line="278" w:lineRule="auto"/>
      <w:outlineLvl w:val="5"/>
    </w:pPr>
    <w:rPr>
      <w:rFonts w:asciiTheme="minorHAnsi" w:eastAsiaTheme="majorEastAsia" w:hAnsiTheme="minorHAnsi" w:cstheme="majorBidi"/>
      <w:i/>
      <w:iCs/>
      <w:color w:val="595959" w:themeColor="text1" w:themeTint="A6"/>
      <w:kern w:val="2"/>
      <w:lang w:val="en-US" w:eastAsia="en-US"/>
      <w14:ligatures w14:val="standardContextual"/>
    </w:rPr>
  </w:style>
  <w:style w:type="paragraph" w:styleId="Heading7">
    <w:name w:val="heading 7"/>
    <w:basedOn w:val="Normal"/>
    <w:next w:val="Normal"/>
    <w:link w:val="Heading7Char"/>
    <w:uiPriority w:val="9"/>
    <w:semiHidden/>
    <w:unhideWhenUsed/>
    <w:qFormat/>
    <w:rsid w:val="00287297"/>
    <w:pPr>
      <w:keepNext/>
      <w:keepLines/>
      <w:spacing w:before="40" w:line="278" w:lineRule="auto"/>
      <w:outlineLvl w:val="6"/>
    </w:pPr>
    <w:rPr>
      <w:rFonts w:asciiTheme="minorHAnsi" w:eastAsiaTheme="majorEastAsia" w:hAnsiTheme="minorHAnsi" w:cstheme="majorBidi"/>
      <w:color w:val="595959" w:themeColor="text1" w:themeTint="A6"/>
      <w:kern w:val="2"/>
      <w:lang w:val="en-US" w:eastAsia="en-US"/>
      <w14:ligatures w14:val="standardContextual"/>
    </w:rPr>
  </w:style>
  <w:style w:type="paragraph" w:styleId="Heading8">
    <w:name w:val="heading 8"/>
    <w:basedOn w:val="Normal"/>
    <w:next w:val="Normal"/>
    <w:link w:val="Heading8Char"/>
    <w:uiPriority w:val="9"/>
    <w:semiHidden/>
    <w:unhideWhenUsed/>
    <w:qFormat/>
    <w:rsid w:val="00287297"/>
    <w:pPr>
      <w:keepNext/>
      <w:keepLines/>
      <w:spacing w:line="278" w:lineRule="auto"/>
      <w:outlineLvl w:val="7"/>
    </w:pPr>
    <w:rPr>
      <w:rFonts w:asciiTheme="minorHAnsi" w:eastAsiaTheme="majorEastAsia" w:hAnsiTheme="minorHAnsi" w:cstheme="majorBidi"/>
      <w:i/>
      <w:iCs/>
      <w:color w:val="272727" w:themeColor="text1" w:themeTint="D8"/>
      <w:kern w:val="2"/>
      <w:lang w:val="en-US" w:eastAsia="en-US"/>
      <w14:ligatures w14:val="standardContextual"/>
    </w:rPr>
  </w:style>
  <w:style w:type="paragraph" w:styleId="Heading9">
    <w:name w:val="heading 9"/>
    <w:basedOn w:val="Normal"/>
    <w:next w:val="Normal"/>
    <w:link w:val="Heading9Char"/>
    <w:uiPriority w:val="9"/>
    <w:semiHidden/>
    <w:unhideWhenUsed/>
    <w:qFormat/>
    <w:rsid w:val="00287297"/>
    <w:pPr>
      <w:keepNext/>
      <w:keepLines/>
      <w:spacing w:line="278" w:lineRule="auto"/>
      <w:outlineLvl w:val="8"/>
    </w:pPr>
    <w:rPr>
      <w:rFonts w:asciiTheme="minorHAnsi" w:eastAsiaTheme="majorEastAsia" w:hAnsiTheme="minorHAnsi" w:cstheme="majorBidi"/>
      <w:color w:val="272727" w:themeColor="text1" w:themeTint="D8"/>
      <w:kern w:val="2"/>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8729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8729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8729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8729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8729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8729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8729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8729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87297"/>
    <w:rPr>
      <w:rFonts w:eastAsiaTheme="majorEastAsia" w:cstheme="majorBidi"/>
      <w:color w:val="272727" w:themeColor="text1" w:themeTint="D8"/>
    </w:rPr>
  </w:style>
  <w:style w:type="paragraph" w:styleId="Title">
    <w:name w:val="Title"/>
    <w:basedOn w:val="Normal"/>
    <w:next w:val="Normal"/>
    <w:link w:val="TitleChar"/>
    <w:uiPriority w:val="10"/>
    <w:qFormat/>
    <w:rsid w:val="00287297"/>
    <w:pPr>
      <w:spacing w:after="80"/>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28729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87297"/>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28729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87297"/>
    <w:pPr>
      <w:spacing w:before="160" w:after="160" w:line="278" w:lineRule="auto"/>
      <w:jc w:val="center"/>
    </w:pPr>
    <w:rPr>
      <w:rFonts w:asciiTheme="minorHAnsi" w:eastAsiaTheme="minorHAnsi" w:hAnsiTheme="minorHAnsi" w:cstheme="minorBidi"/>
      <w:i/>
      <w:iCs/>
      <w:color w:val="404040" w:themeColor="text1" w:themeTint="BF"/>
      <w:kern w:val="2"/>
      <w:lang w:val="en-US" w:eastAsia="en-US"/>
      <w14:ligatures w14:val="standardContextual"/>
    </w:rPr>
  </w:style>
  <w:style w:type="character" w:customStyle="1" w:styleId="QuoteChar">
    <w:name w:val="Quote Char"/>
    <w:basedOn w:val="DefaultParagraphFont"/>
    <w:link w:val="Quote"/>
    <w:uiPriority w:val="29"/>
    <w:rsid w:val="00287297"/>
    <w:rPr>
      <w:i/>
      <w:iCs/>
      <w:color w:val="404040" w:themeColor="text1" w:themeTint="BF"/>
    </w:rPr>
  </w:style>
  <w:style w:type="paragraph" w:styleId="ListParagraph">
    <w:name w:val="List Paragraph"/>
    <w:basedOn w:val="Normal"/>
    <w:uiPriority w:val="34"/>
    <w:qFormat/>
    <w:rsid w:val="00287297"/>
    <w:pPr>
      <w:spacing w:after="160" w:line="278" w:lineRule="auto"/>
      <w:ind w:left="720"/>
      <w:contextualSpacing/>
    </w:pPr>
    <w:rPr>
      <w:rFonts w:asciiTheme="minorHAnsi" w:eastAsiaTheme="minorHAnsi" w:hAnsiTheme="minorHAnsi" w:cstheme="minorBidi"/>
      <w:kern w:val="2"/>
      <w:lang w:val="en-US" w:eastAsia="en-US"/>
      <w14:ligatures w14:val="standardContextual"/>
    </w:rPr>
  </w:style>
  <w:style w:type="character" w:styleId="IntenseEmphasis">
    <w:name w:val="Intense Emphasis"/>
    <w:basedOn w:val="DefaultParagraphFont"/>
    <w:uiPriority w:val="21"/>
    <w:qFormat/>
    <w:rsid w:val="00287297"/>
    <w:rPr>
      <w:i/>
      <w:iCs/>
      <w:color w:val="0F4761" w:themeColor="accent1" w:themeShade="BF"/>
    </w:rPr>
  </w:style>
  <w:style w:type="paragraph" w:styleId="IntenseQuote">
    <w:name w:val="Intense Quote"/>
    <w:basedOn w:val="Normal"/>
    <w:next w:val="Normal"/>
    <w:link w:val="IntenseQuoteChar"/>
    <w:uiPriority w:val="30"/>
    <w:qFormat/>
    <w:rsid w:val="00287297"/>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val="en-US" w:eastAsia="en-US"/>
      <w14:ligatures w14:val="standardContextual"/>
    </w:rPr>
  </w:style>
  <w:style w:type="character" w:customStyle="1" w:styleId="IntenseQuoteChar">
    <w:name w:val="Intense Quote Char"/>
    <w:basedOn w:val="DefaultParagraphFont"/>
    <w:link w:val="IntenseQuote"/>
    <w:uiPriority w:val="30"/>
    <w:rsid w:val="00287297"/>
    <w:rPr>
      <w:i/>
      <w:iCs/>
      <w:color w:val="0F4761" w:themeColor="accent1" w:themeShade="BF"/>
    </w:rPr>
  </w:style>
  <w:style w:type="character" w:styleId="IntenseReference">
    <w:name w:val="Intense Reference"/>
    <w:basedOn w:val="DefaultParagraphFont"/>
    <w:uiPriority w:val="32"/>
    <w:qFormat/>
    <w:rsid w:val="00287297"/>
    <w:rPr>
      <w:b/>
      <w:bCs/>
      <w:smallCaps/>
      <w:color w:val="0F4761" w:themeColor="accent1" w:themeShade="BF"/>
      <w:spacing w:val="5"/>
    </w:rPr>
  </w:style>
  <w:style w:type="paragraph" w:styleId="Caption">
    <w:name w:val="caption"/>
    <w:basedOn w:val="Normal"/>
    <w:rsid w:val="00287297"/>
    <w:pPr>
      <w:tabs>
        <w:tab w:val="left" w:pos="567"/>
        <w:tab w:val="left" w:pos="720"/>
        <w:tab w:val="left" w:pos="851"/>
        <w:tab w:val="left" w:pos="1440"/>
        <w:tab w:val="left" w:pos="1701"/>
        <w:tab w:val="left" w:pos="2160"/>
        <w:tab w:val="left" w:pos="2835"/>
        <w:tab w:val="left" w:pos="2880"/>
        <w:tab w:val="left" w:pos="3402"/>
        <w:tab w:val="left" w:pos="3600"/>
        <w:tab w:val="left" w:pos="3969"/>
        <w:tab w:val="left" w:pos="4320"/>
        <w:tab w:val="left" w:pos="4536"/>
        <w:tab w:val="left" w:pos="4820"/>
        <w:tab w:val="left" w:pos="5040"/>
        <w:tab w:val="left" w:pos="5103"/>
        <w:tab w:val="left" w:pos="5387"/>
        <w:tab w:val="left" w:pos="5760"/>
        <w:tab w:val="left" w:pos="6480"/>
        <w:tab w:val="left" w:pos="7200"/>
        <w:tab w:val="left" w:pos="7920"/>
        <w:tab w:val="left" w:pos="8640"/>
      </w:tabs>
      <w:spacing w:before="240" w:after="240"/>
    </w:pPr>
    <w:rPr>
      <w:rFonts w:asciiTheme="minorHAnsi" w:hAnsiTheme="minorHAnsi"/>
      <w:color w:val="595959" w:themeColor="text1" w:themeTint="A6"/>
      <w:szCs w:val="20"/>
      <w:lang w:eastAsia="en-US"/>
    </w:rPr>
  </w:style>
  <w:style w:type="paragraph" w:styleId="Header">
    <w:name w:val="header"/>
    <w:basedOn w:val="Normal"/>
    <w:link w:val="HeaderChar"/>
    <w:rsid w:val="00287297"/>
    <w:pPr>
      <w:tabs>
        <w:tab w:val="center" w:pos="4153"/>
        <w:tab w:val="right" w:pos="8306"/>
      </w:tabs>
      <w:spacing w:after="120"/>
    </w:pPr>
    <w:rPr>
      <w:b/>
      <w:sz w:val="36"/>
      <w:szCs w:val="20"/>
      <w:lang w:eastAsia="en-US"/>
    </w:rPr>
  </w:style>
  <w:style w:type="character" w:customStyle="1" w:styleId="HeaderChar">
    <w:name w:val="Header Char"/>
    <w:basedOn w:val="DefaultParagraphFont"/>
    <w:link w:val="Header"/>
    <w:rsid w:val="00287297"/>
    <w:rPr>
      <w:rFonts w:ascii="Times New Roman" w:eastAsia="Times New Roman" w:hAnsi="Times New Roman" w:cs="Times New Roman"/>
      <w:b/>
      <w:kern w:val="0"/>
      <w:sz w:val="36"/>
      <w:szCs w:val="20"/>
      <w:lang w:val="en-AU"/>
      <w14:ligatures w14:val="none"/>
    </w:rPr>
  </w:style>
  <w:style w:type="table" w:styleId="GridTable4-Accent1">
    <w:name w:val="Grid Table 4 Accent 1"/>
    <w:basedOn w:val="TableNormal"/>
    <w:uiPriority w:val="49"/>
    <w:rsid w:val="00287297"/>
    <w:pPr>
      <w:spacing w:after="0" w:line="240" w:lineRule="auto"/>
    </w:pPr>
    <w:rPr>
      <w:rFonts w:ascii="Times New Roman" w:eastAsia="Times New Roman" w:hAnsi="Times New Roman" w:cs="Times New Roman"/>
      <w:kern w:val="0"/>
      <w:sz w:val="20"/>
      <w:szCs w:val="20"/>
      <w:lang w:val="en-AU" w:eastAsia="en-AU"/>
      <w14:ligatures w14:val="none"/>
    </w:r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color w:val="FFFFFF" w:themeColor="background1"/>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character" w:styleId="Emphasis">
    <w:name w:val="Emphasis"/>
    <w:basedOn w:val="DefaultParagraphFont"/>
    <w:uiPriority w:val="20"/>
    <w:qFormat/>
    <w:rsid w:val="0028729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3236</Words>
  <Characters>18451</Characters>
  <Application>Microsoft Office Word</Application>
  <DocSecurity>0</DocSecurity>
  <Lines>153</Lines>
  <Paragraphs>43</Paragraphs>
  <ScaleCrop>false</ScaleCrop>
  <Company>Springer Nature</Company>
  <LinksUpToDate>false</LinksUpToDate>
  <CharactersWithSpaces>21644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2025-09-03T08:39:00Z</dcterms:created>
  <dcterms:modified xsi:type="dcterms:W3CDTF">2025-09-03T08:39:00Z</dcterms:modified>
</cp:coreProperties>
</file>