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8E5B" w14:textId="77777777" w:rsidR="00673A45" w:rsidRDefault="00673A45" w:rsidP="00673A45">
      <w:pPr>
        <w:pStyle w:val="NormalWeb"/>
        <w:spacing w:line="360" w:lineRule="auto"/>
      </w:pPr>
    </w:p>
    <w:p w14:paraId="494C31C5" w14:textId="77777777" w:rsidR="00673A45" w:rsidRDefault="00673A45" w:rsidP="00673A45">
      <w:pPr>
        <w:pStyle w:val="NormalWeb"/>
        <w:spacing w:line="360" w:lineRule="auto"/>
        <w:jc w:val="both"/>
      </w:pPr>
      <w:r>
        <w:rPr>
          <w:i/>
          <w:iCs/>
          <w:noProof/>
          <w14:ligatures w14:val="standardContextual"/>
        </w:rPr>
        <w:drawing>
          <wp:inline distT="0" distB="0" distL="0" distR="0" wp14:anchorId="20E214B6" wp14:editId="1C415A11">
            <wp:extent cx="5943600" cy="5361305"/>
            <wp:effectExtent l="0" t="0" r="0" b="0"/>
            <wp:docPr id="2137006716" name="Picture 1" descr="A flowchart of a patient's fl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06716" name="Picture 1" descr="A flowchart of a patient's flow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1E34F3" w14:textId="0D4E57EB" w:rsidR="00673A45" w:rsidRDefault="00673A45" w:rsidP="00673A45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eastAsiaTheme="majorEastAsia"/>
          <w:b w:val="0"/>
          <w:bCs w:val="0"/>
        </w:rPr>
      </w:pPr>
      <w:r w:rsidRPr="006D6C4B">
        <w:rPr>
          <w:rStyle w:val="Strong"/>
          <w:rFonts w:eastAsiaTheme="majorEastAsia"/>
        </w:rPr>
        <w:t>Supplementa</w:t>
      </w:r>
      <w:r>
        <w:rPr>
          <w:rStyle w:val="Strong"/>
          <w:rFonts w:eastAsiaTheme="majorEastAsia"/>
        </w:rPr>
        <w:t>ry</w:t>
      </w:r>
      <w:r w:rsidRPr="006D6C4B">
        <w:rPr>
          <w:rStyle w:val="Strong"/>
          <w:rFonts w:eastAsiaTheme="majorEastAsia"/>
        </w:rPr>
        <w:t xml:space="preserve"> Figure 1. </w:t>
      </w:r>
      <w:r>
        <w:t>Flowchart of patient selection with CSCR and CNV (Dec 2024–Apr 2025). After exclusions, 4 cases of acute CSCR with CNV and good imaging were retained, all showing a leaking point on PNV.</w:t>
      </w:r>
    </w:p>
    <w:p w14:paraId="35874828" w14:textId="77777777" w:rsidR="00673A45" w:rsidRDefault="00673A45">
      <w:pPr>
        <w:rPr>
          <w:rStyle w:val="Strong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</w:pPr>
      <w:r>
        <w:rPr>
          <w:rStyle w:val="Strong"/>
          <w:rFonts w:eastAsiaTheme="majorEastAsia"/>
          <w:b w:val="0"/>
          <w:bCs w:val="0"/>
        </w:rPr>
        <w:br w:type="page"/>
      </w:r>
    </w:p>
    <w:p w14:paraId="035F1BE2" w14:textId="77777777" w:rsidR="00673A45" w:rsidRDefault="00673A45" w:rsidP="00673A45">
      <w:pPr>
        <w:pStyle w:val="NormalWeb"/>
        <w:spacing w:line="360" w:lineRule="auto"/>
        <w:jc w:val="both"/>
      </w:pPr>
    </w:p>
    <w:p w14:paraId="72BD67FE" w14:textId="77777777" w:rsidR="00673A45" w:rsidRDefault="00673A45" w:rsidP="00673A45">
      <w:pPr>
        <w:pStyle w:val="NormalWeb"/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54799854" wp14:editId="57D5A26F">
            <wp:extent cx="5943600" cy="4446905"/>
            <wp:effectExtent l="0" t="0" r="0" b="0"/>
            <wp:docPr id="976105646" name="Picture 9" descr="A collage of images of the eye ve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05646" name="Picture 9" descr="A collage of images of the eye vein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B72A2" w14:textId="77777777" w:rsidR="00673A45" w:rsidRDefault="00673A45" w:rsidP="00673A45">
      <w:pPr>
        <w:pStyle w:val="NormalWeb"/>
        <w:spacing w:before="0" w:beforeAutospacing="0" w:after="0" w:afterAutospacing="0" w:line="360" w:lineRule="auto"/>
        <w:jc w:val="both"/>
      </w:pPr>
      <w:r w:rsidRPr="006D6C4B">
        <w:rPr>
          <w:rStyle w:val="Strong"/>
          <w:rFonts w:eastAsiaTheme="majorEastAsia"/>
        </w:rPr>
        <w:t>Supplementa</w:t>
      </w:r>
      <w:r>
        <w:rPr>
          <w:rStyle w:val="Strong"/>
          <w:rFonts w:eastAsiaTheme="majorEastAsia"/>
        </w:rPr>
        <w:t>ry</w:t>
      </w:r>
      <w:r w:rsidRPr="006D6C4B">
        <w:rPr>
          <w:rStyle w:val="Strong"/>
          <w:rFonts w:eastAsiaTheme="majorEastAsia"/>
        </w:rPr>
        <w:t xml:space="preserve"> Figure 2. </w:t>
      </w:r>
      <w:r w:rsidRPr="006D6C4B">
        <w:t xml:space="preserve">Multimodal imaging of the contralateral eyes. For each patient (from left to right: patients 1 to 4), the following modalities are shown: early-phase fluorescein angiography (FA, top left), early-phase indocyanine green angiography (ICGA, top right), late-phase FA (middle left), late-phase ICGA (middle right), blue autofluorescence (BAF, </w:t>
      </w:r>
      <w:proofErr w:type="spellStart"/>
      <w:r w:rsidRPr="006D6C4B">
        <w:t>center</w:t>
      </w:r>
      <w:proofErr w:type="spellEnd"/>
      <w:r w:rsidRPr="006D6C4B">
        <w:t>), and foveal optical coherence tomography (OCT, bottom). In Patient 1, a quiescent choroidal neovascularization (CNV) is visible, with optical coherence tomography angiography (OCTA) superimposed on the BAF image to better localize the lesion.</w:t>
      </w:r>
    </w:p>
    <w:p w14:paraId="4B54F484" w14:textId="77777777" w:rsidR="00673A45" w:rsidRDefault="00673A45" w:rsidP="00673A45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eastAsiaTheme="majorEastAsia"/>
          <w:b w:val="0"/>
          <w:bCs w:val="0"/>
        </w:rPr>
      </w:pPr>
    </w:p>
    <w:p w14:paraId="6E45203C" w14:textId="77777777" w:rsidR="00B67672" w:rsidRDefault="00B67672"/>
    <w:sectPr w:rsidR="00B67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0B"/>
    <w:rsid w:val="00010CE3"/>
    <w:rsid w:val="00200054"/>
    <w:rsid w:val="00474553"/>
    <w:rsid w:val="005F5AD3"/>
    <w:rsid w:val="00673A45"/>
    <w:rsid w:val="00AD653D"/>
    <w:rsid w:val="00B67672"/>
    <w:rsid w:val="00B83E0B"/>
    <w:rsid w:val="00E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729E4"/>
  <w15:chartTrackingRefBased/>
  <w15:docId w15:val="{D3642BFB-C14A-CC4A-95BE-A3D53382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2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E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3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Aliénor Vienne Jumeau</dc:creator>
  <cp:keywords/>
  <dc:description/>
  <cp:lastModifiedBy>Aliénor Vienne Jumeau</cp:lastModifiedBy>
  <cp:revision>2</cp:revision>
  <dcterms:created xsi:type="dcterms:W3CDTF">2025-09-02T06:29:00Z</dcterms:created>
  <dcterms:modified xsi:type="dcterms:W3CDTF">2025-09-02T06:32:00Z</dcterms:modified>
</cp:coreProperties>
</file>