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B44" w:rsidRPr="003B45EA" w:rsidRDefault="00000B44" w:rsidP="00000B44">
      <w:pPr>
        <w:pStyle w:val="subchapter"/>
        <w:numPr>
          <w:ilvl w:val="0"/>
          <w:numId w:val="0"/>
        </w:numPr>
        <w:ind w:left="792" w:hanging="432"/>
        <w:rPr>
          <w:lang w:val="en-GB"/>
        </w:rPr>
      </w:pPr>
      <w:r w:rsidRPr="003B45EA">
        <w:rPr>
          <w:lang w:val="en-GB"/>
        </w:rPr>
        <w:t>Supplementary Information</w:t>
      </w:r>
    </w:p>
    <w:p w:rsidR="00000B44" w:rsidRPr="003B45EA" w:rsidRDefault="00000B44" w:rsidP="00000B44">
      <w:pPr>
        <w:pStyle w:val="subsubchapter"/>
        <w:rPr>
          <w:color w:val="auto"/>
        </w:rPr>
      </w:pPr>
      <w:bookmarkStart w:id="0" w:name="_Toc199862026"/>
      <w:r w:rsidRPr="003B45EA">
        <w:rPr>
          <w:color w:val="auto"/>
        </w:rPr>
        <w:t>Effects of distinct aerosols temporal implementations</w:t>
      </w:r>
      <w:bookmarkEnd w:id="0"/>
    </w:p>
    <w:p w:rsidR="00000B44" w:rsidRPr="00DB11D8" w:rsidRDefault="00000B44" w:rsidP="00000B44">
      <w:pPr>
        <w:pStyle w:val="subsubchapter"/>
        <w:rPr>
          <w:sz w:val="16"/>
          <w:szCs w:val="16"/>
        </w:rPr>
      </w:pPr>
    </w:p>
    <w:p w:rsidR="00000B44" w:rsidRPr="00D52806" w:rsidRDefault="00000B44" w:rsidP="00000B44">
      <w:pPr>
        <w:spacing w:line="276" w:lineRule="auto"/>
        <w:jc w:val="both"/>
        <w:rPr>
          <w:rFonts w:ascii="Arial" w:hAnsi="Arial" w:cs="Arial"/>
          <w:lang w:val="en-GB"/>
        </w:rPr>
      </w:pPr>
      <w:bookmarkStart w:id="1" w:name="_Hlk187161088"/>
      <w:r w:rsidRPr="00D52806">
        <w:rPr>
          <w:rFonts w:ascii="Arial" w:hAnsi="Arial" w:cs="Arial"/>
          <w:lang w:val="en-GB"/>
        </w:rPr>
        <w:t xml:space="preserve">The different narratives explored here allow </w:t>
      </w:r>
      <w:r w:rsidR="00163222">
        <w:rPr>
          <w:rFonts w:ascii="Arial" w:hAnsi="Arial" w:cs="Arial"/>
          <w:lang w:val="en-GB"/>
        </w:rPr>
        <w:t>us to understand</w:t>
      </w:r>
      <w:r w:rsidRPr="00D52806">
        <w:rPr>
          <w:rFonts w:ascii="Arial" w:hAnsi="Arial" w:cs="Arial"/>
          <w:lang w:val="en-GB"/>
        </w:rPr>
        <w:t xml:space="preserve"> the impact different levels of </w:t>
      </w:r>
      <w:r w:rsidR="00C908A7">
        <w:rPr>
          <w:rFonts w:ascii="Arial" w:hAnsi="Arial" w:cs="Arial"/>
          <w:lang w:val="en-GB"/>
        </w:rPr>
        <w:t xml:space="preserve">spatial </w:t>
      </w:r>
      <w:r w:rsidRPr="00D52806">
        <w:rPr>
          <w:rFonts w:ascii="Arial" w:hAnsi="Arial" w:cs="Arial"/>
          <w:lang w:val="en-GB"/>
        </w:rPr>
        <w:t xml:space="preserve">detailing play in the aerosol implementation forcing. An exploratory set of experiments has focused on disentangling the effects temporal implementations of AOD </w:t>
      </w:r>
      <w:r w:rsidR="00C908A7">
        <w:rPr>
          <w:rFonts w:ascii="Arial" w:hAnsi="Arial" w:cs="Arial"/>
          <w:lang w:val="en-GB"/>
        </w:rPr>
        <w:t xml:space="preserve">have in </w:t>
      </w:r>
      <w:r w:rsidRPr="00D52806">
        <w:rPr>
          <w:rFonts w:ascii="Arial" w:hAnsi="Arial" w:cs="Arial"/>
          <w:lang w:val="en-GB"/>
        </w:rPr>
        <w:t>glob</w:t>
      </w:r>
      <w:r w:rsidR="00C908A7">
        <w:rPr>
          <w:rFonts w:ascii="Arial" w:hAnsi="Arial" w:cs="Arial"/>
          <w:lang w:val="en-GB"/>
        </w:rPr>
        <w:t>al quantities</w:t>
      </w:r>
      <w:r w:rsidRPr="00D52806">
        <w:rPr>
          <w:rFonts w:ascii="Arial" w:hAnsi="Arial" w:cs="Arial"/>
          <w:lang w:val="en-GB"/>
        </w:rPr>
        <w:t xml:space="preserve">. We report that temporal differences, i.e. aerosols implemented monthly or annually, contribute only </w:t>
      </w:r>
      <w:r w:rsidR="00C908A7">
        <w:rPr>
          <w:rFonts w:ascii="Arial" w:hAnsi="Arial" w:cs="Arial"/>
          <w:lang w:val="en-GB"/>
        </w:rPr>
        <w:t>minimally</w:t>
      </w:r>
      <w:r w:rsidRPr="00D52806">
        <w:rPr>
          <w:rFonts w:ascii="Arial" w:hAnsi="Arial" w:cs="Arial"/>
          <w:lang w:val="en-GB"/>
        </w:rPr>
        <w:t xml:space="preserve"> to the development of the surface air temperature (0.1 %), as the simulation </w:t>
      </w:r>
      <w:r w:rsidRPr="00D52806">
        <w:rPr>
          <w:rFonts w:ascii="Arial" w:hAnsi="Arial" w:cs="Arial"/>
          <w:i/>
          <w:lang w:val="en-GB"/>
        </w:rPr>
        <w:t xml:space="preserve">annual plumes </w:t>
      </w:r>
      <w:r w:rsidRPr="00D52806">
        <w:rPr>
          <w:rFonts w:ascii="Arial" w:hAnsi="Arial" w:cs="Arial"/>
          <w:lang w:val="en-GB"/>
        </w:rPr>
        <w:t xml:space="preserve">remains closely similar to the </w:t>
      </w:r>
      <w:r w:rsidRPr="00D52806">
        <w:rPr>
          <w:rFonts w:ascii="Arial" w:hAnsi="Arial" w:cs="Arial"/>
          <w:i/>
          <w:lang w:val="en-GB"/>
        </w:rPr>
        <w:t xml:space="preserve">monthly </w:t>
      </w:r>
      <w:proofErr w:type="gramStart"/>
      <w:r w:rsidRPr="00D52806">
        <w:rPr>
          <w:rFonts w:ascii="Arial" w:hAnsi="Arial" w:cs="Arial"/>
          <w:i/>
          <w:lang w:val="en-GB"/>
        </w:rPr>
        <w:t>plumes</w:t>
      </w:r>
      <w:proofErr w:type="gramEnd"/>
      <w:r w:rsidRPr="00D52806">
        <w:rPr>
          <w:rFonts w:ascii="Arial" w:hAnsi="Arial" w:cs="Arial"/>
          <w:i/>
          <w:lang w:val="en-GB"/>
        </w:rPr>
        <w:t xml:space="preserve"> </w:t>
      </w:r>
      <w:r w:rsidRPr="00D52806">
        <w:rPr>
          <w:rFonts w:ascii="Arial" w:hAnsi="Arial" w:cs="Arial"/>
          <w:lang w:val="en-GB"/>
        </w:rPr>
        <w:t>implementation over both the historical and future periods (</w:t>
      </w:r>
      <w:r>
        <w:rPr>
          <w:rFonts w:ascii="Arial" w:hAnsi="Arial" w:cs="Arial"/>
          <w:lang w:val="en-GB"/>
        </w:rPr>
        <w:t>Figure</w:t>
      </w:r>
      <w:r w:rsidRPr="00D52806">
        <w:rPr>
          <w:rFonts w:ascii="Arial" w:hAnsi="Arial" w:cs="Arial"/>
          <w:lang w:val="en-GB"/>
        </w:rPr>
        <w:t xml:space="preserve"> S1). This result could, evidently, be an artefact of the model not resolving seasonality appropriately. Nevertheless, in addition to this outcome, the fact that both land carbon and ocean heat uptake are known to show spatial dependency </w:t>
      </w:r>
      <w:r w:rsidRPr="00D52806">
        <w:rPr>
          <w:rFonts w:ascii="Arial" w:hAnsi="Arial" w:cs="Arial"/>
        </w:rPr>
        <w:fldChar w:fldCharType="begin"/>
      </w:r>
      <w:r w:rsidR="00E110A6">
        <w:rPr>
          <w:rFonts w:ascii="Arial" w:hAnsi="Arial" w:cs="Arial"/>
          <w:lang w:val="en-GB"/>
        </w:rPr>
        <w:instrText xml:space="preserve"> ADDIN ZOTERO_ITEM CSL_CITATION {"citationID":"rsEKkwGw","properties":{"formattedCitation":"[1\\uc0\\u8211{}4]","plainCitation":"[1–4]","noteIndex":0},"citationItems":[{"id":9921,"uris":["http://zotero.org/users/11419379/items/IQBURJYN"],"itemData":{"id":9921,"type":"article-journal","abstract":"Despite the ‘pause’ in surface warming, results from the global Argo programme (2006–present) show that the heat content of the oceans is increasing.","container-title":"Nature Climate Change","DOI":"10.1038/nclimate2513","ISSN":"1758-6798","issue":"3","journalAbbreviation":"Nature Climate Change","page":"240-245","title":"Unabated planetary warming and its ocean structure since 2006","volume":"5","author":[{"family":"Roemmich","given":"Dean"},{"family":"Church","given":"John"},{"family":"Gilson","given":"John"},{"family":"Monselesan","given":"Didier"},{"family":"Sutton","given":"Philip"},{"family":"Wijffels","given":"Susan"}],"issued":{"date-parts":[["2015",3,1]]}}},{"id":3140,"uris":["http://zotero.org/users/11419379/items/GRDHDVLK"],"itemData":{"id":3140,"type":"article-journal","abstract":"Human-induced atmospheric composition changes cause a radiative imbalance at the top of the atmosphere which is driving global warming. This Earth energy imbalance (EEI) is the most critical number deﬁning the prospects for continued global warming and climate change. Understanding the heat gain of the Earth system – and particularly how much and where the heat is distributed – is fundamental to understanding how this affects warming ocean, atmosphere and land; rising surface temperature; sea level; and loss of grounded and ﬂoating ice, which are fundamental concerns for society. This study is a Global Climate Observing System (GCOS) concerted international effort to update the Earth heat inventory and presents an updated assessment of ocean warming estimates as well as new and updated estimates of heat gain in the atmosphere, cryosphere and land over the period 1960–2018. The study obtains a consistent long-term Earth system heat gain over the period 1971–2018, with a total heat gain of 358 ± 37 ZJ, which is equivalent to a global heating rate of 0.47 ± 0.1 W m−2. Over the period 1971–2018 (2010–2018), the majority of heat gain is reported for the global ocean with 89 % (90 %), with 52 % for both periods in the upper 700 m depth, 28 % (30 %) for the 700–2000 m depth layer and 9 % (8 %) below 2000 m depth. Heat gain over land amounts to 6 % (5 %) over these periods, 4 % (3 %) is available for the melting of grounded and ﬂoating ice, and 1 % (2 %) is available for atmospheric warming. Our results also show that EEI is not only continuing, but also increasing: the EEI amounts to 0.87±0.12 W m−2 during 2010–2018. Stabilization of climate, the goal of the universally agreed United Nations Framework Convention on Climate Change (UNFCCC) in 1992 and the Paris Agreement in 2015, requires that EEI be reduced to approximately zero to achieve Earth’s system quasi-equilibrium. The amount of CO2 in the atmosphere would need to be reduced from 410 to 353 ppm to increase heat radiation to space by 0.87 W m−2, bringing Earth back towards energy balance. This simple number, EEI, is the most fundamental metric that the scientiﬁc community and public must be aware of as the measure of how well the world is doing in the task of bringing climate change under control, and we call for an implementation of the EEI into the global stocktake based on best available science. Continued quantiﬁcation and reduced uncertainties in the Earth heat inventory can be best achieved through the maintenance of the current global climate observing system, its extension into areas of gaps in the sampling, and the establishment of an international framework for concerted multidisciplinary research of the Earth heat inventory as presented in this study. This Earth heat inventory is published at the German Climate Computing Centre (DKRZ, https://www.dkrz.de/, last access: 7 August 2020) under the DOI https://doi.org/10.26050/WDCC/GCOS_EHI_EXP_v2 (von Schuckmann et al., 2020).","container-title":"Earth System Science Data","DOI":"10.5194/essd-12-2013-2020","ISSN":"1866-3516","issue":"3","journalAbbreviation":"Earth Syst. Sci. Data","language":"en","page":"2013-2041","source":"DOI.org (Crossref)","title":"Heat stored in the Earth system: where does the energy go?","title-short":"Heat stored in the Earth system","volume":"12","author":[{"family":"Von Schuckmann","given":"Karina"},{"family":"Cheng","given":"Lijing"},{"family":"Palmer","given":"Matthew D."},{"family":"Hansen","given":"James"},{"family":"Tassone","given":"Caterina"},{"family":"Aich","given":"Valentin"},{"family":"Adusumilli","given":"Susheel"},{"family":"Beltrami","given":"Hugo"},{"family":"Boyer","given":"Tim"},{"family":"Cuesta-Valero","given":"Francisco José"},{"family":"Desbruyères","given":"Damien"},{"family":"Domingues","given":"Catia"},{"family":"García-García","given":"Almudena"},{"family":"Gentine","given":"Pierre"},{"family":"Gilson","given":"John"},{"family":"Gorfer","given":"Maximilian"},{"family":"Haimberger","given":"Leopold"},{"family":"Ishii","given":"Masayoshi"},{"family":"Johnson","given":"Gregory C."},{"family":"Killick","given":"Rachel"},{"family":"King","given":"Brian A."},{"family":"Kirchengast","given":"Gottfried"},{"family":"Kolodziejczyk","given":"Nicolas"},{"family":"Lyman","given":"John"},{"family":"Marzeion","given":"Ben"},{"family":"Mayer","given":"Michael"},{"family":"Monier","given":"Maeva"},{"family":"Monselesan","given":"Didier Paolo"},{"family":"Purkey","given":"Sarah"},{"family":"Roemmich","given":"Dean"},{"family":"Schweiger","given":"Axel"},{"family":"Seneviratne","given":"Sonia I."},{"family":"Shepherd","given":"Andrew"},{"family":"Slater","given":"Donald A."},{"family":"Steiner","given":"Andrea K."},{"family":"Straneo","given":"Fiammetta"},{"family":"Timmermans","given":"Mary-Louise"},{"family":"Wijffels","given":"Susan E."}],"issued":{"date-parts":[["2020",9,7]]}}},{"id":9922,"uris":["http://zotero.org/users/11419379/items/QCPRMV7K"],"itemData":{"id":9922,"type":"article-journal","abstract":"Since the 1970s, the ocean has absorbed almost all of the additional energy in the Earth system due to greenhouse warming. However, sparse observations limit our knowledge of where ocean heat uptake (OHU) has occurred and where this heat is stored today. Here, we equilibrate a reanalysis-forced ocean-sea ice model, using a spin-up that improves on earlier approaches, to investigate recent OHU trends basin-by-basin and associated separately with surface wind trends, thermodynamic properties (temperature, humidity and radiation) or both. Wind and thermodynamic changes each explain ~ 50% of global OHU, while Southern Ocean forcing trends can account for almost all of the global OHU. This OHU is enabled by cool sea surface temperatures and sensible heat gain when atmospheric thermodynamic properties are held fixed, while downward longwave radiation dominates when winds are fixed. These results address long-standing limitations in multidecadal ocean-sea ice model simulations to reconcile estimates of OHU, transport and storage.","container-title":"Nature Communications","DOI":"10.1038/s41467-022-32540-5","ISSN":"2041-1723","issue":"1","journalAbbreviation":"Nature Communications","page":"4921","title":"Drivers and distribution of global ocean heat uptake over the last half century","volume":"13","author":[{"family":"Huguenin","given":"Maurice F."},{"family":"Holmes","given":"Ryan M."},{"family":"England","given":"Matthew H."}],"issued":{"date-parts":[["2022",9,7]]}}},{"id":9168,"uris":["http://zotero.org/groups/5026237/items/NM446BH4"],"itemData":{"id":9168,"type":"article-journal","abstract":"Abstract. Accurate assessment of anthropogenic carbon dioxide (CO2)\nemissions and their redistribution among the atmosphere, ocean, and\nterrestrial biosphere in a changing climate is critical to better\nunderstand the global carbon cycle, support the development of climate\npolicies, and project future climate change. Here we describe and\nsynthesize data sets and methodology to quantify the five major components\nof the global carbon budget and their uncertainties. Fossil CO2 emissions\n(EFOS) are based on energy statistics and cement production data, while\nemissions from land-use change (ELUC), mainly deforestation, are based on\nland-use and land-use change data and bookkeeping models. Atmospheric CO2\nconcentration is measured directly, and its growth rate (GATM) is computed\nfrom the annual changes in concentration. The ocean CO2 sink (SOCEAN) is\nestimated with global ocean biogeochemistry models and observation-based\nfCO2 products. The terrestrial CO2 sink (SLAND) is estimated with dynamic\nglobal vegetation models. Additional lines of evidence on land and ocean\nsinks are provided by atmospheric inversions, atmospheric oxygen\nmeasurements, and Earth system models. The resulting carbon budget\nimbalance (BIM), the difference between the estimated total emissions and\nthe estimated changes in the atmosphere, ocean, and terrestrial biosphere,\nis a measure of imperfect data and incomplete understanding of the\ncontemporary carbon cycle. All uncertainties are reported as ±1σ. For the\nyear 2022, EFOS increased by 0.9 % relative to 2021, with fossil emissions\nat 9.9±0.5 Gt C yr−1 (10.2±0.5 Gt C yr−1 when the cement carbonation sink\nis not included), and ELUC was 1.2±0.7 Gt C yr−1, for a total\nanthropogenic CO2 emission (including the cement carbonation sink) of\n11.1±0.8 Gt C yr−1 (40.7±3.2 Gt CO2 yr−1). Also, for 2022, GATM was\n4.6±0.2 Gt C yr−1 (2.18±0.1 ppm yr−1; ppm denotes parts per million),\nSOCEAN was 2.8±0.4 Gt C yr−1, and SLAND was 3.8±0.8 Gt C yr−1, with a BIM\nof −0.1 Gt C yr−1 (i.e. total estimated sources marginally too low or\nsinks marginally too high). The global atmospheric CO2 concentration\naveraged over 2022 reached 417.1±0.1 ppm. Preliminary data for 2023\nsuggest an increase in EFOS relative to 2022 of +1.1 % (0.0 % to 2.1 %)\nglobally and atmospheric CO2 concentration reaching 419.3 ppm, 51 % above\nthe pre-industrial level (around 278 ppm in 1750). Overall, the mean of\nand trend in the components of the global carbon budget are consistently\nestimated over the period 1959–2022, with a near-zero overall budget\nimbalance, although discrepancies of up to around 1 Gt C yr−1 persist for\nthe representation of annual to semi-decadal variability in CO2 fluxes.\nComparison of estimates from multiple approaches and observations shows\nthe following: (1) a persistent large uncertainty in the estimate of\nland-use changes emissions, (2) a low agreement between the different\nmethods on the magnitude of the land CO2 flux in the northern\nextra-tropics, and (3) a discrepancy between the different methods on the\nstrength of the ocean sink over the last decade. This living-data update\ndocuments changes in methods and data sets applied to this most recent\nglobal carbon budget as well as evolving community understanding of the\nglobal carbon cycle. The data presented in this work are available at\nhttps://doi.org/10.18160/GCP-2023 (Friedlingstein et al., 2023).","container-title":"Earth System Science Data","DOI":"10.5194/essd-15-5301-2023","ISSN":"1866-3508","issue":"12","note":"publisher: Copernicus GmbH","page":"5301-5369","title":"Global Carbon Budget 2023","volume":"15","author":[{"family":"Friedlingstein","given":"Pierre"},{"family":"Jones","given":"Matthew W"},{"family":"Andrew","given":"Robbie M"},{"family":"Bakker","given":"Dorothee C E"},{"family":"Hauck","given":"Judith"},{"family":"Landschützer","given":"Peter"},{"family":"Le Quéré","given":"Corinne"},{"family":"Luijkx","given":"Ingrid T"},{"family":"Peters","given":"Glen P"},{"family":"Peters","given":"Wouter"},{"family":"Pongratz","given":"Julia"},{"family":"Schwingshackl","given":"Clemens"},{"family":"Sitch","given":"Stephen"},{"family":"Canadell","given":"Josep G"},{"family":"Ciais","given":"Philippe"},{"family":"Jackson","given":"Robert B"},{"family":"Alin","given":"Simone R"},{"family":"Anthoni","given":"Peter"},{"family":"Barbero","given":"Leticia"},{"family":"Bates","given":"Nicholas R"},{"family":"Becker","given":"Meike"},{"family":"Bellouin","given":"Nicolas"},{"family":"Decharme","given":"Bertrand"},{"family":"Bopp","given":"Laurent"},{"family":"Brasika","given":"Ida Bagus Mandhara"},{"family":"Cadule","given":"Patricia"},{"family":"Chamberlain","given":"Matthew A"},{"family":"Chandra","given":"Naveen"},{"family":"Chau","given":"Thi-Tuyet-Trang"},{"family":"Chevallier","given":"Frédéric"},{"family":"Chini","given":"Louise P"},{"family":"Cronin","given":"Margot"},{"family":"Dou","given":"Xinyu"},{"family":"Enyo","given":"Kazutaka"},{"family":"Evans","given":"Wiley"},{"family":"Falk","given":"Stefanie"},{"family":"Feely","given":"Richard A"},{"family":"Feng","given":"Liang"},{"family":"Ford","given":"Daniel J"},{"family":"Gasser","given":"Thomas"},{"family":"Ghattas","given":"Josefine"},{"family":"Gkritzalis","given":"Thanos"},{"family":"Grassi","given":"Giacomo"},{"family":"Gregor","given":"Luke"},{"family":"Gruber","given":"Nicolas"},{"family":"Gürses","given":"Özgür"},{"family":"Harris","given":"Ian"},{"family":"Hefner","given":"Matthew"},{"family":"Heinke","given":"Jens"},{"family":"Houghton","given":"Richard A"},{"family":"Hurtt","given":"George C"},{"family":"Iida","given":"Yosuke"},{"family":"Ilyina","given":"Tatiana"},{"family":"Jacobson","given":"Andrew R"},{"family":"Jain","given":"Atul"},{"family":"Jarníková","given":"Tereza"},{"family":"Jersild","given":"Annika"},{"family":"Jiang","given":"Fei"},{"family":"Jin","given":"Zhe"},{"family":"Joos","given":"Fortunat"},{"family":"Kato","given":"Etsushi"},{"family":"Keeling","given":"Ralph F"},{"family":"Kennedy","given":"Daniel"},{"family":"Klein Goldewijk","given":"Kees"},{"family":"Knauer","given":"Jürgen"},{"family":"Korsbakken","given":"Jan Ivar"},{"family":"Körtzinger","given":"Arne"},{"family":"Lan","given":"Xin"},{"family":"Lefèvre","given":"Nathalie"},{"family":"Li","given":"Hongmei"},{"family":"Liu","given":"Junjie"},{"family":"Liu","given":"Zhiqiang"},{"family":"Ma","given":"Lei"},{"family":"Marland","given":"Greg"},{"family":"Mayot","given":"Nicolas"},{"family":"McGuire","given":"Patrick C"},{"family":"McKinley","given":"Galen A"},{"family":"Meyer","given":"Gesa"},{"family":"Morgan","given":"Eric J"},{"family":"Munro","given":"David R"},{"family":"Nakaoka","given":"Shin-Ichiro"},{"family":"Niwa","given":"Yosuke"},{"family":"Olsen","given":"Are"},{"family":"Omar","given":"Abdirahman M"},{"family":"Ono","given":"Tsuneo"},{"family":"Paulsen","given":"Melf"},{"family":"Pierrot","given":"Denis"},{"family":"Pocock","given":"Katie"},{"family":"Poulter","given":"Benjamin"},{"family":"Powis","given":"Carter M"},{"family":"Rehder","given":"Gregor"},{"family":"Resplandy","given":"Laure"},{"family":"Robertson","given":"Eddy"},{"family":"Rödenbeck","given":"Christian"},{"family":"Rosan","given":"Thais M"},{"family":"Schwinger","given":"Jörg"},{"family":"Séférian","given":"Roland"},{"family":"Smallman","given":"T Luke"},{"family":"Smith","given":"Stephen M"},{"family":"Sospedra-Alfonso","given":"Reinel"},{"family":"Sun","given":"Qing"},{"family":"Sutton","given":"Adrienne J"},{"family":"Sweeney","given":"Colm"},{"family":"Takao","given":"Shintaro"},{"family":"Tans","given":"Pieter P"},{"family":"Tian","given":"Hanqin"},{"family":"Tilbrook","given":"Bronte"},{"family":"Tsujino","given":"Hiroyuki"},{"family":"Tubiello","given":"Francesco"},{"family":"Werf","given":"Guido R","non-dropping-particle":"van der"},{"family":"Ooijen","given":"Erik","non-dropping-particle":"van"},{"family":"Wanninkhof","given":"Rik"},{"family":"Watanabe","given":"Michio"},{"family":"Wimart-Rousseau","given":"Cathy"},{"family":"Yang","given":"Dongxu"},{"family":"Yang","given":"Xiaojuan"},{"family":"Yuan","given":"Wenping"},{"family":"Yue","given":"Xu"},{"family":"Zaehle","given":"Sönke"},{"family":"Zeng","given":"Jiye"},{"family":"Zheng","given":"Bo"}],"issued":{"date-parts":[["2023",12,5]]}}}],"schema":"https://github.com/citation-style-language/schema/raw/master/csl-citation.json"} </w:instrText>
      </w:r>
      <w:r w:rsidRPr="00D52806">
        <w:rPr>
          <w:rFonts w:ascii="Arial" w:hAnsi="Arial" w:cs="Arial"/>
        </w:rPr>
        <w:fldChar w:fldCharType="separate"/>
      </w:r>
      <w:r w:rsidR="00E110A6" w:rsidRPr="00E110A6">
        <w:rPr>
          <w:rFonts w:ascii="Arial" w:hAnsi="Arial" w:cs="Arial"/>
          <w:szCs w:val="24"/>
        </w:rPr>
        <w:t>[1–4]</w:t>
      </w:r>
      <w:r w:rsidRPr="00D52806">
        <w:rPr>
          <w:rFonts w:ascii="Arial" w:hAnsi="Arial" w:cs="Arial"/>
        </w:rPr>
        <w:fldChar w:fldCharType="end"/>
      </w:r>
      <w:r w:rsidRPr="00D52806">
        <w:rPr>
          <w:rFonts w:ascii="Arial" w:hAnsi="Arial" w:cs="Arial"/>
          <w:lang w:val="en-GB"/>
        </w:rPr>
        <w:t xml:space="preserve"> corroborates our decision to have the discussions in the main text centred on different </w:t>
      </w:r>
      <w:r w:rsidRPr="00D52806">
        <w:rPr>
          <w:rFonts w:ascii="Arial" w:hAnsi="Arial" w:cs="Arial"/>
          <w:i/>
          <w:lang w:val="en-GB"/>
        </w:rPr>
        <w:t>annual</w:t>
      </w:r>
      <w:r w:rsidRPr="00D52806">
        <w:rPr>
          <w:rFonts w:ascii="Arial" w:hAnsi="Arial" w:cs="Arial"/>
          <w:lang w:val="en-GB"/>
        </w:rPr>
        <w:t xml:space="preserve"> implementations of aerosols. This decision makes it possible to simplify the interpretation of results, focusing on the largest source of uncertainty. </w:t>
      </w:r>
      <w:bookmarkEnd w:id="1"/>
    </w:p>
    <w:p w:rsidR="00000B44" w:rsidRPr="00D52806" w:rsidRDefault="00000B44" w:rsidP="00000B44">
      <w:pPr>
        <w:spacing w:line="276" w:lineRule="auto"/>
        <w:jc w:val="both"/>
        <w:rPr>
          <w:rFonts w:ascii="Arial" w:hAnsi="Arial" w:cs="Arial"/>
          <w:lang w:val="en-GB"/>
        </w:rPr>
      </w:pPr>
    </w:p>
    <w:p w:rsidR="00000B44" w:rsidRPr="00D52806" w:rsidRDefault="00000B44" w:rsidP="00000B44">
      <w:pPr>
        <w:spacing w:line="276" w:lineRule="auto"/>
        <w:jc w:val="both"/>
        <w:rPr>
          <w:rFonts w:ascii="Arial" w:hAnsi="Arial" w:cs="Arial"/>
          <w:lang w:val="en-GB"/>
        </w:rPr>
      </w:pPr>
      <w:r w:rsidRPr="00D52806">
        <w:rPr>
          <w:rFonts w:ascii="Arial" w:hAnsi="Arial" w:cs="Arial"/>
          <w:noProof/>
          <w:lang w:val="en-GB"/>
        </w:rPr>
        <w:drawing>
          <wp:inline distT="0" distB="0" distL="0" distR="0" wp14:anchorId="5F1D4E5D" wp14:editId="02543A9A">
            <wp:extent cx="5634352" cy="4907177"/>
            <wp:effectExtent l="0" t="0" r="508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stretch>
                      <a:fillRect/>
                    </a:stretch>
                  </pic:blipFill>
                  <pic:spPr bwMode="auto">
                    <a:xfrm>
                      <a:off x="0" y="0"/>
                      <a:ext cx="5634352" cy="4907177"/>
                    </a:xfrm>
                    <a:prstGeom prst="rect">
                      <a:avLst/>
                    </a:prstGeom>
                    <a:noFill/>
                    <a:ln>
                      <a:noFill/>
                    </a:ln>
                  </pic:spPr>
                </pic:pic>
              </a:graphicData>
            </a:graphic>
          </wp:inline>
        </w:drawing>
      </w:r>
    </w:p>
    <w:p w:rsidR="00000B44" w:rsidRPr="00DA10C2" w:rsidRDefault="00000B44" w:rsidP="00000B44">
      <w:pPr>
        <w:spacing w:line="276" w:lineRule="auto"/>
        <w:jc w:val="both"/>
        <w:rPr>
          <w:rFonts w:ascii="Arial" w:hAnsi="Arial" w:cs="Arial"/>
          <w:b/>
          <w:i/>
          <w:iCs/>
          <w:lang w:val="en-GB"/>
        </w:rPr>
      </w:pPr>
      <w:r w:rsidRPr="00DA10C2">
        <w:rPr>
          <w:rFonts w:ascii="Arial" w:hAnsi="Arial" w:cs="Arial"/>
          <w:i/>
          <w:iCs/>
          <w:lang w:val="en-GB"/>
        </w:rPr>
        <w:lastRenderedPageBreak/>
        <w:t xml:space="preserve">Figure S1. </w:t>
      </w:r>
      <w:r w:rsidR="00C908A7">
        <w:rPr>
          <w:rFonts w:ascii="Arial" w:hAnsi="Arial" w:cs="Arial"/>
          <w:i/>
          <w:iCs/>
          <w:lang w:val="en-GB"/>
        </w:rPr>
        <w:t xml:space="preserve">Comparison between the annual plumes and the monthly plumes experiment in terms of </w:t>
      </w:r>
      <w:r w:rsidRPr="00DA10C2">
        <w:rPr>
          <w:rFonts w:ascii="Arial" w:hAnsi="Arial" w:cs="Arial"/>
          <w:bCs/>
          <w:i/>
          <w:iCs/>
          <w:lang w:val="en-GB"/>
        </w:rPr>
        <w:t>(a)</w:t>
      </w:r>
      <w:r w:rsidRPr="00DA10C2">
        <w:rPr>
          <w:rFonts w:ascii="Arial" w:hAnsi="Arial" w:cs="Arial"/>
          <w:b/>
          <w:i/>
          <w:iCs/>
          <w:lang w:val="en-GB"/>
        </w:rPr>
        <w:t xml:space="preserve"> </w:t>
      </w:r>
      <w:proofErr w:type="spellStart"/>
      <w:r w:rsidRPr="00DA10C2">
        <w:rPr>
          <w:rFonts w:ascii="Arial" w:hAnsi="Arial" w:cs="Arial"/>
          <w:i/>
          <w:iCs/>
          <w:lang w:val="en-GB"/>
        </w:rPr>
        <w:t>Hovmöller</w:t>
      </w:r>
      <w:proofErr w:type="spellEnd"/>
      <w:r w:rsidRPr="00DA10C2">
        <w:rPr>
          <w:rFonts w:ascii="Arial" w:hAnsi="Arial" w:cs="Arial"/>
          <w:i/>
          <w:iCs/>
          <w:lang w:val="en-GB"/>
        </w:rPr>
        <w:t xml:space="preserve"> diagram of the difference </w:t>
      </w:r>
      <w:r>
        <w:rPr>
          <w:rFonts w:ascii="Arial" w:hAnsi="Arial" w:cs="Arial"/>
          <w:i/>
          <w:iCs/>
          <w:lang w:val="en-GB"/>
        </w:rPr>
        <w:t>aerosol</w:t>
      </w:r>
      <w:r w:rsidRPr="00DA10C2">
        <w:rPr>
          <w:rFonts w:ascii="Arial" w:hAnsi="Arial" w:cs="Arial"/>
          <w:i/>
          <w:iCs/>
          <w:lang w:val="en-GB"/>
        </w:rPr>
        <w:t xml:space="preserve"> optical depth (AOD) input to </w:t>
      </w:r>
      <w:r>
        <w:rPr>
          <w:rFonts w:ascii="Arial" w:hAnsi="Arial" w:cs="Arial"/>
          <w:i/>
          <w:iCs/>
          <w:lang w:val="en-GB"/>
        </w:rPr>
        <w:br/>
        <w:t xml:space="preserve">UVic </w:t>
      </w:r>
      <w:r w:rsidRPr="00DA10C2">
        <w:rPr>
          <w:rFonts w:ascii="Arial" w:hAnsi="Arial" w:cs="Arial"/>
          <w:i/>
          <w:iCs/>
          <w:lang w:val="en-GB"/>
        </w:rPr>
        <w:t xml:space="preserve">ESCM version 2.10 </w:t>
      </w:r>
      <w:r w:rsidRPr="00DA10C2">
        <w:rPr>
          <w:rFonts w:ascii="Arial" w:hAnsi="Arial" w:cs="Arial"/>
          <w:bCs/>
          <w:i/>
          <w:iCs/>
          <w:lang w:val="en-GB"/>
        </w:rPr>
        <w:t>(b)</w:t>
      </w:r>
      <w:r w:rsidRPr="00DA10C2">
        <w:rPr>
          <w:rFonts w:ascii="Arial" w:hAnsi="Arial" w:cs="Arial"/>
          <w:b/>
          <w:i/>
          <w:iCs/>
          <w:lang w:val="en-GB"/>
        </w:rPr>
        <w:t xml:space="preserve"> </w:t>
      </w:r>
      <w:r w:rsidRPr="00DA10C2">
        <w:rPr>
          <w:rFonts w:ascii="Arial" w:hAnsi="Arial" w:cs="Arial"/>
          <w:i/>
          <w:iCs/>
          <w:lang w:val="en-GB"/>
        </w:rPr>
        <w:t>simulated annual global aerosols radiative forcing (W</w:t>
      </w:r>
      <w:r>
        <w:rPr>
          <w:rFonts w:ascii="Arial" w:hAnsi="Arial" w:cs="Arial"/>
          <w:i/>
          <w:iCs/>
          <w:lang w:val="en-GB"/>
        </w:rPr>
        <w:t xml:space="preserve"> </w:t>
      </w:r>
      <w:r w:rsidRPr="00DA10C2">
        <w:rPr>
          <w:rFonts w:ascii="Arial" w:hAnsi="Arial" w:cs="Arial"/>
          <w:i/>
          <w:iCs/>
          <w:lang w:val="en-GB"/>
        </w:rPr>
        <w:t>m</w:t>
      </w:r>
      <w:r w:rsidRPr="00DA10C2">
        <w:rPr>
          <w:rFonts w:ascii="Arial" w:hAnsi="Arial" w:cs="Arial"/>
          <w:i/>
          <w:iCs/>
          <w:vertAlign w:val="superscript"/>
          <w:lang w:val="en-GB"/>
        </w:rPr>
        <w:t>-2</w:t>
      </w:r>
      <w:r w:rsidRPr="00DA10C2">
        <w:rPr>
          <w:rFonts w:ascii="Arial" w:hAnsi="Arial" w:cs="Arial"/>
          <w:i/>
          <w:iCs/>
          <w:lang w:val="en-GB"/>
        </w:rPr>
        <w:t xml:space="preserve">) and </w:t>
      </w:r>
      <w:r w:rsidRPr="00DA10C2">
        <w:rPr>
          <w:rFonts w:ascii="Arial" w:hAnsi="Arial" w:cs="Arial"/>
          <w:bCs/>
          <w:i/>
          <w:iCs/>
          <w:lang w:val="en-GB"/>
        </w:rPr>
        <w:t>(c)</w:t>
      </w:r>
      <w:r w:rsidRPr="00DA10C2">
        <w:rPr>
          <w:rFonts w:ascii="Arial" w:hAnsi="Arial" w:cs="Arial"/>
          <w:b/>
          <w:i/>
          <w:iCs/>
          <w:lang w:val="en-GB"/>
        </w:rPr>
        <w:t xml:space="preserve"> </w:t>
      </w:r>
      <w:r w:rsidRPr="00DA10C2">
        <w:rPr>
          <w:rFonts w:ascii="Arial" w:hAnsi="Arial" w:cs="Arial"/>
          <w:i/>
          <w:iCs/>
          <w:lang w:val="en-GB"/>
        </w:rPr>
        <w:t>simulated atmospheric carbon burden (ppm)</w:t>
      </w:r>
      <w:r w:rsidR="00C908A7">
        <w:rPr>
          <w:rFonts w:ascii="Arial" w:hAnsi="Arial" w:cs="Arial"/>
          <w:i/>
          <w:iCs/>
          <w:lang w:val="en-GB"/>
        </w:rPr>
        <w:t>,</w:t>
      </w:r>
      <w:r w:rsidRPr="00DA10C2">
        <w:rPr>
          <w:rFonts w:ascii="Arial" w:hAnsi="Arial" w:cs="Arial"/>
          <w:i/>
          <w:iCs/>
          <w:lang w:val="en-GB"/>
        </w:rPr>
        <w:t xml:space="preserve"> for the </w:t>
      </w:r>
      <w:proofErr w:type="gramStart"/>
      <w:r w:rsidRPr="00DA10C2">
        <w:rPr>
          <w:rFonts w:ascii="Arial" w:hAnsi="Arial" w:cs="Arial"/>
          <w:i/>
          <w:iCs/>
          <w:lang w:val="en-GB"/>
        </w:rPr>
        <w:t>simulations</w:t>
      </w:r>
      <w:proofErr w:type="gramEnd"/>
      <w:r w:rsidRPr="00DA10C2">
        <w:rPr>
          <w:rFonts w:ascii="Arial" w:hAnsi="Arial" w:cs="Arial"/>
          <w:i/>
          <w:iCs/>
          <w:lang w:val="en-GB"/>
        </w:rPr>
        <w:t xml:space="preserve"> monthly plumes (brown line) and annual plumes (blue line). </w:t>
      </w:r>
      <w:r w:rsidRPr="00DA10C2">
        <w:rPr>
          <w:rFonts w:ascii="Arial" w:hAnsi="Arial" w:cs="Arial"/>
          <w:bCs/>
          <w:i/>
          <w:iCs/>
          <w:lang w:val="en-GB"/>
        </w:rPr>
        <w:t>(d)</w:t>
      </w:r>
      <w:r w:rsidRPr="00DA10C2">
        <w:rPr>
          <w:rFonts w:ascii="Arial" w:hAnsi="Arial" w:cs="Arial"/>
          <w:b/>
          <w:i/>
          <w:iCs/>
          <w:lang w:val="en-GB"/>
        </w:rPr>
        <w:t xml:space="preserve"> </w:t>
      </w:r>
      <w:r w:rsidRPr="00DA10C2">
        <w:rPr>
          <w:rFonts w:ascii="Arial" w:hAnsi="Arial" w:cs="Arial"/>
          <w:i/>
          <w:iCs/>
          <w:lang w:val="en-GB"/>
        </w:rPr>
        <w:t xml:space="preserve">Stacked contributions to difference in atmospheric radiative burden (ARB) from all contributors (coloured bars—see legend) between monthly plumes and annual plumes </w:t>
      </w:r>
      <w:r w:rsidRPr="00D52806">
        <w:rPr>
          <w:rFonts w:ascii="Arial" w:hAnsi="Arial" w:cs="Arial"/>
          <w:i/>
          <w:iCs/>
          <w:lang w:val="en-GB"/>
        </w:rPr>
        <w:t xml:space="preserve">from </w:t>
      </w:r>
      <w:r>
        <w:rPr>
          <w:rFonts w:ascii="Arial" w:hAnsi="Arial" w:cs="Arial"/>
          <w:i/>
          <w:iCs/>
          <w:lang w:val="en-GB"/>
        </w:rPr>
        <w:t xml:space="preserve">the start of the </w:t>
      </w:r>
      <w:r w:rsidRPr="00D52806">
        <w:rPr>
          <w:rFonts w:ascii="Arial" w:hAnsi="Arial" w:cs="Arial"/>
          <w:i/>
          <w:iCs/>
          <w:lang w:val="en-GB"/>
        </w:rPr>
        <w:t xml:space="preserve">pre-industrial </w:t>
      </w:r>
      <w:r>
        <w:rPr>
          <w:rFonts w:ascii="Arial" w:hAnsi="Arial" w:cs="Arial"/>
          <w:i/>
          <w:iCs/>
          <w:lang w:val="en-GB"/>
        </w:rPr>
        <w:t>period in</w:t>
      </w:r>
      <w:r w:rsidRPr="00D52806">
        <w:rPr>
          <w:rFonts w:ascii="Arial" w:hAnsi="Arial" w:cs="Arial"/>
          <w:i/>
          <w:iCs/>
          <w:lang w:val="en-GB"/>
        </w:rPr>
        <w:t xml:space="preserve"> 1850</w:t>
      </w:r>
      <w:r w:rsidRPr="00DA10C2">
        <w:rPr>
          <w:rFonts w:ascii="Arial" w:hAnsi="Arial" w:cs="Arial"/>
          <w:i/>
          <w:iCs/>
          <w:lang w:val="en-GB"/>
        </w:rPr>
        <w:t xml:space="preserve"> until the end of the </w:t>
      </w:r>
      <w:r>
        <w:rPr>
          <w:rFonts w:ascii="Arial" w:hAnsi="Arial" w:cs="Arial"/>
          <w:i/>
          <w:iCs/>
          <w:lang w:val="en-GB"/>
        </w:rPr>
        <w:t>21</w:t>
      </w:r>
      <w:r w:rsidRPr="00CE1A1E">
        <w:rPr>
          <w:rFonts w:ascii="Arial" w:hAnsi="Arial" w:cs="Arial"/>
          <w:i/>
          <w:iCs/>
          <w:vertAlign w:val="superscript"/>
          <w:lang w:val="en-GB"/>
        </w:rPr>
        <w:t>st</w:t>
      </w:r>
      <w:r>
        <w:rPr>
          <w:rFonts w:ascii="Arial" w:hAnsi="Arial" w:cs="Arial"/>
          <w:i/>
          <w:iCs/>
          <w:lang w:val="en-GB"/>
        </w:rPr>
        <w:t xml:space="preserve"> </w:t>
      </w:r>
      <w:r w:rsidRPr="00DA10C2">
        <w:rPr>
          <w:rFonts w:ascii="Arial" w:hAnsi="Arial" w:cs="Arial"/>
          <w:i/>
          <w:iCs/>
          <w:lang w:val="en-GB"/>
        </w:rPr>
        <w:t xml:space="preserve">century. The black hatched bars in </w:t>
      </w:r>
      <w:r w:rsidRPr="00DA10C2">
        <w:rPr>
          <w:rFonts w:ascii="Arial" w:hAnsi="Arial" w:cs="Arial"/>
          <w:bCs/>
          <w:i/>
          <w:iCs/>
          <w:lang w:val="en-GB"/>
        </w:rPr>
        <w:t>(d)</w:t>
      </w:r>
      <w:r w:rsidRPr="00DA10C2">
        <w:rPr>
          <w:rFonts w:ascii="Arial" w:hAnsi="Arial" w:cs="Arial"/>
          <w:i/>
          <w:iCs/>
          <w:lang w:val="en-GB"/>
        </w:rPr>
        <w:t xml:space="preserve"> indicate the net burden from the sum of the contributors considered (referring to left y axis), while the purple line represents the temperature variability (referring to right y axis).</w:t>
      </w:r>
    </w:p>
    <w:p w:rsidR="00000B44" w:rsidRPr="00D52806" w:rsidRDefault="00000B44" w:rsidP="00000B44">
      <w:pPr>
        <w:spacing w:line="276" w:lineRule="auto"/>
        <w:jc w:val="both"/>
        <w:rPr>
          <w:rFonts w:ascii="Arial" w:hAnsi="Arial" w:cs="Arial"/>
          <w:b/>
          <w:lang w:val="en-GB"/>
        </w:rPr>
      </w:pPr>
    </w:p>
    <w:p w:rsidR="00000B44" w:rsidRPr="003B45EA" w:rsidRDefault="00000B44" w:rsidP="00000B44">
      <w:pPr>
        <w:pStyle w:val="subsubchapter"/>
        <w:rPr>
          <w:color w:val="auto"/>
        </w:rPr>
      </w:pPr>
      <w:bookmarkStart w:id="2" w:name="_Toc199862027"/>
      <w:r w:rsidRPr="003B45EA">
        <w:rPr>
          <w:color w:val="auto"/>
        </w:rPr>
        <w:t>Further experiments</w:t>
      </w:r>
      <w:bookmarkEnd w:id="2"/>
    </w:p>
    <w:p w:rsidR="00000B44" w:rsidRPr="00DB11D8" w:rsidRDefault="00000B44" w:rsidP="00000B44">
      <w:pPr>
        <w:pStyle w:val="subsubchapter"/>
        <w:rPr>
          <w:sz w:val="16"/>
          <w:szCs w:val="16"/>
        </w:rPr>
      </w:pPr>
    </w:p>
    <w:p w:rsidR="00000B44" w:rsidRDefault="00000B44" w:rsidP="00000B44">
      <w:pPr>
        <w:spacing w:line="276" w:lineRule="auto"/>
        <w:jc w:val="both"/>
        <w:rPr>
          <w:rFonts w:ascii="Arial" w:hAnsi="Arial" w:cs="Arial"/>
          <w:bCs/>
          <w:lang w:val="en-GB"/>
        </w:rPr>
      </w:pPr>
      <w:r w:rsidRPr="00D52806">
        <w:rPr>
          <w:rFonts w:ascii="Arial" w:hAnsi="Arial" w:cs="Arial"/>
          <w:bCs/>
          <w:lang w:val="en-GB"/>
        </w:rPr>
        <w:t xml:space="preserve">The analysis presented here has focused on the comparable contribution of all forcing and responses to the remaining atmospheric burden controlling climate development. The changes in the individual contributors at each experiment and leading to the simulated difference in air temperature </w:t>
      </w:r>
      <w:r w:rsidR="00C908A7">
        <w:rPr>
          <w:rFonts w:ascii="Arial" w:hAnsi="Arial" w:cs="Arial"/>
          <w:bCs/>
          <w:lang w:val="en-GB"/>
        </w:rPr>
        <w:t>are</w:t>
      </w:r>
      <w:r w:rsidRPr="00D52806">
        <w:rPr>
          <w:rFonts w:ascii="Arial" w:hAnsi="Arial" w:cs="Arial"/>
          <w:bCs/>
          <w:lang w:val="en-GB"/>
        </w:rPr>
        <w:t xml:space="preserve"> detailed in </w:t>
      </w:r>
      <w:r>
        <w:rPr>
          <w:rFonts w:ascii="Arial" w:hAnsi="Arial" w:cs="Arial"/>
          <w:bCs/>
          <w:lang w:val="en-GB"/>
        </w:rPr>
        <w:t>T</w:t>
      </w:r>
      <w:r w:rsidRPr="00D52806">
        <w:rPr>
          <w:rFonts w:ascii="Arial" w:hAnsi="Arial" w:cs="Arial"/>
          <w:bCs/>
          <w:lang w:val="en-GB"/>
        </w:rPr>
        <w:t xml:space="preserve">able S1. All experiments were aimed at reaching a 1.5°C surface air temperature anomaly to pre-industrial conditions. Through the distinct aerosol implementations, final stabilising temperatures were both higher and lower than that obtained in the </w:t>
      </w:r>
      <w:r w:rsidRPr="00D52806">
        <w:rPr>
          <w:rFonts w:ascii="Arial" w:hAnsi="Arial" w:cs="Arial"/>
          <w:bCs/>
          <w:i/>
          <w:iCs/>
          <w:lang w:val="en-GB"/>
        </w:rPr>
        <w:t>default</w:t>
      </w:r>
      <w:r w:rsidRPr="00D52806">
        <w:rPr>
          <w:rFonts w:ascii="Arial" w:hAnsi="Arial" w:cs="Arial"/>
          <w:bCs/>
          <w:lang w:val="en-GB"/>
        </w:rPr>
        <w:t xml:space="preserve"> experiment. Similarly, land carbon uptake, ocean carbon uptake and ocean heat uptake, were simulated to be both higher and lower than in </w:t>
      </w:r>
      <w:r w:rsidRPr="00D52806">
        <w:rPr>
          <w:rFonts w:ascii="Arial" w:hAnsi="Arial" w:cs="Arial"/>
          <w:bCs/>
          <w:i/>
          <w:iCs/>
          <w:lang w:val="en-GB"/>
        </w:rPr>
        <w:t xml:space="preserve">default </w:t>
      </w:r>
      <w:r w:rsidRPr="00D52806">
        <w:rPr>
          <w:rFonts w:ascii="Arial" w:hAnsi="Arial" w:cs="Arial"/>
          <w:bCs/>
          <w:lang w:val="en-GB"/>
        </w:rPr>
        <w:t>depending on the aerosols</w:t>
      </w:r>
      <w:r>
        <w:rPr>
          <w:rFonts w:ascii="Arial" w:hAnsi="Arial" w:cs="Arial"/>
          <w:bCs/>
          <w:lang w:val="en-GB"/>
        </w:rPr>
        <w:t>’</w:t>
      </w:r>
      <w:r w:rsidRPr="00D52806">
        <w:rPr>
          <w:rFonts w:ascii="Arial" w:hAnsi="Arial" w:cs="Arial"/>
          <w:bCs/>
          <w:lang w:val="en-GB"/>
        </w:rPr>
        <w:t xml:space="preserve"> implementation and associated carbon climate responses, in terms of their maximum anomaly, as well as </w:t>
      </w:r>
      <w:r w:rsidR="00C908A7">
        <w:rPr>
          <w:rFonts w:ascii="Arial" w:hAnsi="Arial" w:cs="Arial"/>
          <w:bCs/>
          <w:lang w:val="en-GB"/>
        </w:rPr>
        <w:t>the</w:t>
      </w:r>
      <w:r w:rsidRPr="00D52806">
        <w:rPr>
          <w:rFonts w:ascii="Arial" w:hAnsi="Arial" w:cs="Arial"/>
          <w:bCs/>
          <w:lang w:val="en-GB"/>
        </w:rPr>
        <w:t xml:space="preserve"> end of the century development. </w:t>
      </w:r>
    </w:p>
    <w:p w:rsidR="00000B44" w:rsidRDefault="00000B44" w:rsidP="00000B44">
      <w:pPr>
        <w:spacing w:line="276" w:lineRule="auto"/>
        <w:jc w:val="both"/>
        <w:rPr>
          <w:rFonts w:ascii="Arial" w:hAnsi="Arial" w:cs="Arial"/>
          <w:i/>
          <w:iCs/>
          <w:noProof/>
          <w:lang w:val="en-GB"/>
        </w:rPr>
      </w:pPr>
    </w:p>
    <w:p w:rsidR="00000B44" w:rsidRPr="00D52806" w:rsidRDefault="00000B44" w:rsidP="00000B44">
      <w:pPr>
        <w:spacing w:line="276" w:lineRule="auto"/>
        <w:jc w:val="both"/>
        <w:rPr>
          <w:rFonts w:ascii="Arial" w:hAnsi="Arial" w:cs="Arial"/>
          <w:b/>
          <w:lang w:val="en-GB"/>
        </w:rPr>
      </w:pPr>
      <w:r w:rsidRPr="007210D1">
        <w:rPr>
          <w:rFonts w:ascii="Arial" w:hAnsi="Arial" w:cs="Arial"/>
          <w:i/>
          <w:iCs/>
          <w:noProof/>
          <w:lang w:val="en-GB"/>
        </w:rPr>
        <w:t xml:space="preserve">Table S1. The first two lines show peak surface air temperature, land carbon uptake (LCU), ocean carbon uptake (OCU) and ocean heat uptake (OHU) relative to 1850-1900 for the default and no plumes experiments, as well as differences in values simulated between 2100 and 2020 for these experiments. Remaning lines show the same variables for the difference between all experiments analysed here and their respective baseline simulation (see the labels in the first column). </w:t>
      </w:r>
    </w:p>
    <w:tbl>
      <w:tblPr>
        <w:tblStyle w:val="TableGrid"/>
        <w:tblW w:w="0" w:type="auto"/>
        <w:tblCellMar>
          <w:left w:w="57" w:type="dxa"/>
          <w:right w:w="57" w:type="dxa"/>
        </w:tblCellMar>
        <w:tblLook w:val="04A0" w:firstRow="1" w:lastRow="0" w:firstColumn="1" w:lastColumn="0" w:noHBand="0" w:noVBand="1"/>
      </w:tblPr>
      <w:tblGrid>
        <w:gridCol w:w="1153"/>
        <w:gridCol w:w="1071"/>
        <w:gridCol w:w="1032"/>
        <w:gridCol w:w="1086"/>
        <w:gridCol w:w="1032"/>
        <w:gridCol w:w="1014"/>
        <w:gridCol w:w="1022"/>
        <w:gridCol w:w="967"/>
        <w:gridCol w:w="973"/>
      </w:tblGrid>
      <w:tr w:rsidR="00000B44" w:rsidTr="00C77637">
        <w:tc>
          <w:tcPr>
            <w:tcW w:w="1153"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rPr>
                <w:b/>
                <w:i/>
                <w:color w:val="000000" w:themeColor="text1"/>
                <w:sz w:val="18"/>
                <w:szCs w:val="18"/>
                <w:lang w:val="en-GB"/>
              </w:rPr>
            </w:pPr>
            <w:r>
              <w:rPr>
                <w:b/>
                <w:i/>
                <w:color w:val="000000" w:themeColor="text1"/>
                <w:sz w:val="18"/>
                <w:szCs w:val="18"/>
                <w:lang w:val="en-GB"/>
              </w:rPr>
              <w:t>Experiments:</w:t>
            </w:r>
          </w:p>
        </w:tc>
        <w:tc>
          <w:tcPr>
            <w:tcW w:w="1071"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rPr>
                <w:b/>
                <w:color w:val="000000" w:themeColor="text1"/>
                <w:sz w:val="18"/>
                <w:szCs w:val="18"/>
                <w:lang w:val="en-GB"/>
              </w:rPr>
            </w:pPr>
            <w:r>
              <w:rPr>
                <w:b/>
                <w:color w:val="000000" w:themeColor="text1"/>
                <w:sz w:val="18"/>
                <w:szCs w:val="18"/>
                <w:lang w:val="en-GB"/>
              </w:rPr>
              <w:t>Max. global mean surface air temperature (GMSAT) relative to 1850-1900 (°C)</w:t>
            </w:r>
          </w:p>
        </w:tc>
        <w:tc>
          <w:tcPr>
            <w:tcW w:w="1032"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rPr>
                <w:b/>
                <w:color w:val="000000" w:themeColor="text1"/>
                <w:sz w:val="18"/>
                <w:szCs w:val="18"/>
                <w:lang w:val="en-GB"/>
              </w:rPr>
            </w:pPr>
            <w:r>
              <w:rPr>
                <w:b/>
                <w:color w:val="000000" w:themeColor="text1"/>
                <w:sz w:val="18"/>
                <w:szCs w:val="18"/>
                <w:lang w:val="en-GB"/>
              </w:rPr>
              <w:t>GMSAT difference between 2020 and 2100 (°C)</w:t>
            </w:r>
          </w:p>
        </w:tc>
        <w:tc>
          <w:tcPr>
            <w:tcW w:w="1086"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rPr>
                <w:b/>
                <w:color w:val="000000" w:themeColor="text1"/>
                <w:sz w:val="18"/>
                <w:szCs w:val="18"/>
                <w:lang w:val="en-GB"/>
              </w:rPr>
            </w:pPr>
            <w:r>
              <w:rPr>
                <w:b/>
                <w:color w:val="000000" w:themeColor="text1"/>
                <w:sz w:val="18"/>
                <w:szCs w:val="18"/>
                <w:lang w:val="en-GB"/>
              </w:rPr>
              <w:t>Max. land carbon uptake (LCU) anomaly relative to 1850-1900 (PgC yr</w:t>
            </w:r>
            <w:r w:rsidRPr="00FA1752">
              <w:rPr>
                <w:b/>
                <w:color w:val="000000" w:themeColor="text1"/>
                <w:sz w:val="18"/>
                <w:szCs w:val="18"/>
                <w:vertAlign w:val="superscript"/>
                <w:lang w:val="en-GB"/>
              </w:rPr>
              <w:t>-1</w:t>
            </w:r>
            <w:r>
              <w:rPr>
                <w:b/>
                <w:color w:val="000000" w:themeColor="text1"/>
                <w:sz w:val="18"/>
                <w:szCs w:val="18"/>
                <w:lang w:val="en-GB"/>
              </w:rPr>
              <w:t>)</w:t>
            </w:r>
          </w:p>
        </w:tc>
        <w:tc>
          <w:tcPr>
            <w:tcW w:w="1032"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rPr>
                <w:b/>
                <w:color w:val="000000" w:themeColor="text1"/>
                <w:sz w:val="18"/>
                <w:szCs w:val="18"/>
                <w:lang w:val="en-GB"/>
              </w:rPr>
            </w:pPr>
            <w:r>
              <w:rPr>
                <w:b/>
                <w:color w:val="000000" w:themeColor="text1"/>
                <w:sz w:val="18"/>
                <w:szCs w:val="18"/>
                <w:lang w:val="en-GB"/>
              </w:rPr>
              <w:t>LCU difference between 2020 and 2100 (PgC yr</w:t>
            </w:r>
            <w:r w:rsidRPr="00FA1752">
              <w:rPr>
                <w:b/>
                <w:color w:val="000000" w:themeColor="text1"/>
                <w:sz w:val="18"/>
                <w:szCs w:val="18"/>
                <w:vertAlign w:val="superscript"/>
                <w:lang w:val="en-GB"/>
              </w:rPr>
              <w:t>-1</w:t>
            </w:r>
            <w:r>
              <w:rPr>
                <w:b/>
                <w:color w:val="000000" w:themeColor="text1"/>
                <w:sz w:val="18"/>
                <w:szCs w:val="18"/>
                <w:lang w:val="en-GB"/>
              </w:rPr>
              <w:t>)</w:t>
            </w:r>
          </w:p>
        </w:tc>
        <w:tc>
          <w:tcPr>
            <w:tcW w:w="1014"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rPr>
                <w:b/>
                <w:color w:val="000000" w:themeColor="text1"/>
                <w:sz w:val="18"/>
                <w:szCs w:val="18"/>
                <w:lang w:val="en-GB"/>
              </w:rPr>
            </w:pPr>
            <w:r>
              <w:rPr>
                <w:b/>
                <w:color w:val="000000" w:themeColor="text1"/>
                <w:sz w:val="18"/>
                <w:szCs w:val="18"/>
                <w:lang w:val="en-GB"/>
              </w:rPr>
              <w:t>Max. ocean carbon uptake (OCU) anomaly relative to 1850-1900 (PgC yr</w:t>
            </w:r>
            <w:r w:rsidRPr="00FA1752">
              <w:rPr>
                <w:b/>
                <w:color w:val="000000" w:themeColor="text1"/>
                <w:sz w:val="18"/>
                <w:szCs w:val="18"/>
                <w:vertAlign w:val="superscript"/>
                <w:lang w:val="en-GB"/>
              </w:rPr>
              <w:t>-1</w:t>
            </w:r>
            <w:r>
              <w:rPr>
                <w:b/>
                <w:color w:val="000000" w:themeColor="text1"/>
                <w:sz w:val="18"/>
                <w:szCs w:val="18"/>
                <w:lang w:val="en-GB"/>
              </w:rPr>
              <w:t>)</w:t>
            </w:r>
          </w:p>
        </w:tc>
        <w:tc>
          <w:tcPr>
            <w:tcW w:w="1022"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rPr>
                <w:b/>
                <w:color w:val="000000" w:themeColor="text1"/>
                <w:sz w:val="18"/>
                <w:szCs w:val="18"/>
                <w:lang w:val="en-GB"/>
              </w:rPr>
            </w:pPr>
            <w:r>
              <w:rPr>
                <w:b/>
                <w:color w:val="000000" w:themeColor="text1"/>
                <w:sz w:val="18"/>
                <w:szCs w:val="18"/>
                <w:lang w:val="en-GB"/>
              </w:rPr>
              <w:t xml:space="preserve">OCU difference between 2020 and 2100 </w:t>
            </w:r>
            <w:r>
              <w:rPr>
                <w:b/>
                <w:color w:val="000000" w:themeColor="text1"/>
                <w:sz w:val="18"/>
                <w:szCs w:val="18"/>
                <w:lang w:val="en-GB"/>
              </w:rPr>
              <w:br/>
              <w:t>(PgC yr</w:t>
            </w:r>
            <w:r w:rsidRPr="00FA1752">
              <w:rPr>
                <w:b/>
                <w:color w:val="000000" w:themeColor="text1"/>
                <w:sz w:val="18"/>
                <w:szCs w:val="18"/>
                <w:vertAlign w:val="superscript"/>
                <w:lang w:val="en-GB"/>
              </w:rPr>
              <w:t>-1</w:t>
            </w:r>
            <w:r>
              <w:rPr>
                <w:b/>
                <w:color w:val="000000" w:themeColor="text1"/>
                <w:sz w:val="18"/>
                <w:szCs w:val="18"/>
                <w:lang w:val="en-GB"/>
              </w:rPr>
              <w:t>)</w:t>
            </w:r>
          </w:p>
        </w:tc>
        <w:tc>
          <w:tcPr>
            <w:tcW w:w="967"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rPr>
                <w:b/>
                <w:color w:val="000000" w:themeColor="text1"/>
                <w:sz w:val="18"/>
                <w:szCs w:val="18"/>
                <w:lang w:val="en-GB"/>
              </w:rPr>
            </w:pPr>
            <w:r>
              <w:rPr>
                <w:b/>
                <w:color w:val="000000" w:themeColor="text1"/>
                <w:sz w:val="18"/>
                <w:szCs w:val="18"/>
                <w:lang w:val="en-GB"/>
              </w:rPr>
              <w:t>Max. ocean heat uptake (OHU) anomaly relative to 1850-1900 (W m</w:t>
            </w:r>
            <w:r w:rsidRPr="00FA1752">
              <w:rPr>
                <w:b/>
                <w:color w:val="000000" w:themeColor="text1"/>
                <w:sz w:val="18"/>
                <w:szCs w:val="18"/>
                <w:vertAlign w:val="superscript"/>
                <w:lang w:val="en-GB"/>
              </w:rPr>
              <w:t>-2</w:t>
            </w:r>
            <w:r>
              <w:rPr>
                <w:b/>
                <w:color w:val="000000" w:themeColor="text1"/>
                <w:sz w:val="18"/>
                <w:szCs w:val="18"/>
                <w:lang w:val="en-GB"/>
              </w:rPr>
              <w:t>)</w:t>
            </w:r>
          </w:p>
        </w:tc>
        <w:tc>
          <w:tcPr>
            <w:tcW w:w="973"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rPr>
                <w:b/>
                <w:color w:val="000000" w:themeColor="text1"/>
                <w:sz w:val="18"/>
                <w:szCs w:val="18"/>
                <w:lang w:val="en-GB"/>
              </w:rPr>
            </w:pPr>
            <w:r>
              <w:rPr>
                <w:b/>
                <w:color w:val="000000" w:themeColor="text1"/>
                <w:sz w:val="18"/>
                <w:szCs w:val="18"/>
                <w:lang w:val="en-GB"/>
              </w:rPr>
              <w:t xml:space="preserve">OHU difference between 2020 and 2100 </w:t>
            </w:r>
            <w:r>
              <w:rPr>
                <w:b/>
                <w:color w:val="000000" w:themeColor="text1"/>
                <w:sz w:val="18"/>
                <w:szCs w:val="18"/>
                <w:lang w:val="en-GB"/>
              </w:rPr>
              <w:br/>
              <w:t>(W m</w:t>
            </w:r>
            <w:r w:rsidRPr="00FA1752">
              <w:rPr>
                <w:b/>
                <w:color w:val="000000" w:themeColor="text1"/>
                <w:sz w:val="18"/>
                <w:szCs w:val="18"/>
                <w:vertAlign w:val="superscript"/>
                <w:lang w:val="en-GB"/>
              </w:rPr>
              <w:t>-2</w:t>
            </w:r>
            <w:r>
              <w:rPr>
                <w:b/>
                <w:color w:val="000000" w:themeColor="text1"/>
                <w:sz w:val="18"/>
                <w:szCs w:val="18"/>
                <w:lang w:val="en-GB"/>
              </w:rPr>
              <w:t>)</w:t>
            </w:r>
          </w:p>
        </w:tc>
      </w:tr>
      <w:tr w:rsidR="00000B44" w:rsidTr="00C77637">
        <w:tc>
          <w:tcPr>
            <w:tcW w:w="1153"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rPr>
                <w:b/>
                <w:i/>
                <w:color w:val="000000" w:themeColor="text1"/>
                <w:sz w:val="18"/>
                <w:szCs w:val="18"/>
                <w:lang w:val="en-GB"/>
              </w:rPr>
            </w:pPr>
            <w:r>
              <w:rPr>
                <w:rFonts w:ascii="Calibri" w:hAnsi="Calibri" w:cs="Calibri"/>
                <w:b/>
                <w:bCs/>
                <w:i/>
                <w:iCs/>
                <w:color w:val="000000"/>
                <w:sz w:val="18"/>
                <w:szCs w:val="18"/>
              </w:rPr>
              <w:t>Default</w:t>
            </w:r>
          </w:p>
        </w:tc>
        <w:tc>
          <w:tcPr>
            <w:tcW w:w="1071"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1.6223</w:t>
            </w:r>
          </w:p>
        </w:tc>
        <w:tc>
          <w:tcPr>
            <w:tcW w:w="1032"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0.3495</w:t>
            </w:r>
          </w:p>
        </w:tc>
        <w:tc>
          <w:tcPr>
            <w:tcW w:w="1086"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347.5527</w:t>
            </w:r>
          </w:p>
        </w:tc>
        <w:tc>
          <w:tcPr>
            <w:tcW w:w="1032"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148.172</w:t>
            </w:r>
          </w:p>
        </w:tc>
        <w:tc>
          <w:tcPr>
            <w:tcW w:w="1014"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314.1616</w:t>
            </w:r>
          </w:p>
        </w:tc>
        <w:tc>
          <w:tcPr>
            <w:tcW w:w="1022"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160.2031</w:t>
            </w:r>
          </w:p>
        </w:tc>
        <w:tc>
          <w:tcPr>
            <w:tcW w:w="967"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2.1099</w:t>
            </w:r>
          </w:p>
        </w:tc>
        <w:tc>
          <w:tcPr>
            <w:tcW w:w="973"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-0.5489</w:t>
            </w:r>
          </w:p>
        </w:tc>
      </w:tr>
      <w:tr w:rsidR="00000B44" w:rsidTr="00C77637">
        <w:tc>
          <w:tcPr>
            <w:tcW w:w="1153"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rPr>
                <w:b/>
                <w:i/>
                <w:color w:val="000000" w:themeColor="text1"/>
                <w:sz w:val="18"/>
                <w:szCs w:val="18"/>
                <w:lang w:val="en-GB"/>
              </w:rPr>
            </w:pPr>
            <w:r>
              <w:rPr>
                <w:rFonts w:ascii="Calibri" w:hAnsi="Calibri" w:cs="Calibri"/>
                <w:b/>
                <w:bCs/>
                <w:i/>
                <w:iCs/>
                <w:color w:val="000000"/>
                <w:sz w:val="18"/>
                <w:szCs w:val="18"/>
              </w:rPr>
              <w:t>No plumes</w:t>
            </w:r>
          </w:p>
        </w:tc>
        <w:tc>
          <w:tcPr>
            <w:tcW w:w="1071"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1.5500</w:t>
            </w:r>
          </w:p>
        </w:tc>
        <w:tc>
          <w:tcPr>
            <w:tcW w:w="1032"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0.2829</w:t>
            </w:r>
          </w:p>
        </w:tc>
        <w:tc>
          <w:tcPr>
            <w:tcW w:w="1086"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330.7935</w:t>
            </w:r>
          </w:p>
        </w:tc>
        <w:tc>
          <w:tcPr>
            <w:tcW w:w="1032"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148.9791</w:t>
            </w:r>
          </w:p>
        </w:tc>
        <w:tc>
          <w:tcPr>
            <w:tcW w:w="1014"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321.9731</w:t>
            </w:r>
          </w:p>
        </w:tc>
        <w:tc>
          <w:tcPr>
            <w:tcW w:w="1022"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161.814</w:t>
            </w:r>
          </w:p>
        </w:tc>
        <w:tc>
          <w:tcPr>
            <w:tcW w:w="967"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2.0735</w:t>
            </w:r>
          </w:p>
        </w:tc>
        <w:tc>
          <w:tcPr>
            <w:tcW w:w="973"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-0.4804</w:t>
            </w:r>
          </w:p>
        </w:tc>
      </w:tr>
      <w:tr w:rsidR="00000B44" w:rsidTr="00C77637">
        <w:tc>
          <w:tcPr>
            <w:tcW w:w="1153"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rPr>
                <w:b/>
                <w:i/>
                <w:color w:val="000000" w:themeColor="text1"/>
                <w:sz w:val="18"/>
                <w:szCs w:val="18"/>
                <w:lang w:val="en-GB"/>
              </w:rPr>
            </w:pPr>
            <w:r>
              <w:rPr>
                <w:rFonts w:ascii="Calibri" w:hAnsi="Calibri" w:cs="Calibri"/>
                <w:b/>
                <w:bCs/>
                <w:i/>
                <w:iCs/>
                <w:color w:val="000000"/>
                <w:sz w:val="18"/>
                <w:szCs w:val="18"/>
              </w:rPr>
              <w:t> </w:t>
            </w:r>
          </w:p>
        </w:tc>
        <w:tc>
          <w:tcPr>
            <w:tcW w:w="1071"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 </w:t>
            </w:r>
          </w:p>
        </w:tc>
        <w:tc>
          <w:tcPr>
            <w:tcW w:w="1032"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 </w:t>
            </w:r>
          </w:p>
        </w:tc>
        <w:tc>
          <w:tcPr>
            <w:tcW w:w="1086"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 </w:t>
            </w:r>
          </w:p>
        </w:tc>
        <w:tc>
          <w:tcPr>
            <w:tcW w:w="1032"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 </w:t>
            </w:r>
          </w:p>
        </w:tc>
        <w:tc>
          <w:tcPr>
            <w:tcW w:w="1014"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 </w:t>
            </w:r>
          </w:p>
        </w:tc>
        <w:tc>
          <w:tcPr>
            <w:tcW w:w="1022"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 </w:t>
            </w:r>
          </w:p>
        </w:tc>
        <w:tc>
          <w:tcPr>
            <w:tcW w:w="967"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 </w:t>
            </w:r>
          </w:p>
        </w:tc>
        <w:tc>
          <w:tcPr>
            <w:tcW w:w="973"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 </w:t>
            </w:r>
          </w:p>
        </w:tc>
      </w:tr>
      <w:tr w:rsidR="00000B44" w:rsidTr="00C77637">
        <w:tc>
          <w:tcPr>
            <w:tcW w:w="1153"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rPr>
                <w:rFonts w:ascii="Calibri" w:hAnsi="Calibri" w:cs="Calibri"/>
                <w:b/>
                <w:bCs/>
                <w:i/>
                <w:iCs/>
                <w:color w:val="000000"/>
                <w:sz w:val="18"/>
                <w:szCs w:val="18"/>
              </w:rPr>
            </w:pPr>
            <w:r>
              <w:rPr>
                <w:rFonts w:ascii="Calibri" w:hAnsi="Calibri" w:cs="Calibri"/>
                <w:b/>
                <w:bCs/>
                <w:i/>
                <w:iCs/>
                <w:color w:val="000000"/>
                <w:sz w:val="18"/>
                <w:szCs w:val="18"/>
              </w:rPr>
              <w:t>No plumes - default</w:t>
            </w:r>
          </w:p>
        </w:tc>
        <w:tc>
          <w:tcPr>
            <w:tcW w:w="1071"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rFonts w:ascii="Calibri" w:hAnsi="Calibri" w:cs="Calibri"/>
                <w:color w:val="000000"/>
                <w:sz w:val="18"/>
                <w:szCs w:val="18"/>
              </w:rPr>
            </w:pPr>
            <w:r>
              <w:rPr>
                <w:rFonts w:ascii="Calibri" w:hAnsi="Calibri" w:cs="Calibri"/>
                <w:color w:val="000000"/>
                <w:sz w:val="18"/>
                <w:szCs w:val="18"/>
              </w:rPr>
              <w:t>0.09623</w:t>
            </w:r>
          </w:p>
        </w:tc>
        <w:tc>
          <w:tcPr>
            <w:tcW w:w="1032"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rFonts w:ascii="Calibri" w:hAnsi="Calibri" w:cs="Calibri"/>
                <w:color w:val="000000"/>
                <w:sz w:val="18"/>
                <w:szCs w:val="18"/>
              </w:rPr>
            </w:pPr>
            <w:r>
              <w:rPr>
                <w:rFonts w:ascii="Calibri" w:hAnsi="Calibri" w:cs="Calibri"/>
                <w:color w:val="000000"/>
                <w:sz w:val="18"/>
                <w:szCs w:val="18"/>
              </w:rPr>
              <w:t>-0.0537</w:t>
            </w:r>
          </w:p>
        </w:tc>
        <w:tc>
          <w:tcPr>
            <w:tcW w:w="1086"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rFonts w:ascii="Calibri" w:hAnsi="Calibri" w:cs="Calibri"/>
                <w:color w:val="000000"/>
                <w:sz w:val="18"/>
                <w:szCs w:val="18"/>
              </w:rPr>
            </w:pPr>
            <w:r>
              <w:rPr>
                <w:rFonts w:ascii="Calibri" w:hAnsi="Calibri" w:cs="Calibri"/>
                <w:color w:val="000000"/>
                <w:sz w:val="18"/>
                <w:szCs w:val="18"/>
              </w:rPr>
              <w:t>-18.5990</w:t>
            </w:r>
          </w:p>
        </w:tc>
        <w:tc>
          <w:tcPr>
            <w:tcW w:w="1032"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rFonts w:ascii="Calibri" w:hAnsi="Calibri" w:cs="Calibri"/>
                <w:color w:val="000000"/>
                <w:sz w:val="18"/>
                <w:szCs w:val="18"/>
              </w:rPr>
            </w:pPr>
            <w:r>
              <w:rPr>
                <w:rFonts w:ascii="Calibri" w:hAnsi="Calibri" w:cs="Calibri"/>
                <w:color w:val="000000"/>
                <w:sz w:val="18"/>
                <w:szCs w:val="18"/>
              </w:rPr>
              <w:t>-0.2943</w:t>
            </w:r>
          </w:p>
        </w:tc>
        <w:tc>
          <w:tcPr>
            <w:tcW w:w="1014"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rFonts w:ascii="Calibri" w:hAnsi="Calibri" w:cs="Calibri"/>
                <w:color w:val="000000"/>
                <w:sz w:val="18"/>
                <w:szCs w:val="18"/>
              </w:rPr>
            </w:pPr>
            <w:r>
              <w:rPr>
                <w:rFonts w:ascii="Calibri" w:hAnsi="Calibri" w:cs="Calibri"/>
                <w:color w:val="000000"/>
                <w:sz w:val="18"/>
                <w:szCs w:val="18"/>
              </w:rPr>
              <w:t>7.8925</w:t>
            </w:r>
          </w:p>
        </w:tc>
        <w:tc>
          <w:tcPr>
            <w:tcW w:w="1022"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rFonts w:ascii="Calibri" w:hAnsi="Calibri" w:cs="Calibri"/>
                <w:color w:val="000000"/>
                <w:sz w:val="18"/>
                <w:szCs w:val="18"/>
              </w:rPr>
            </w:pPr>
            <w:r>
              <w:rPr>
                <w:rFonts w:ascii="Calibri" w:hAnsi="Calibri" w:cs="Calibri"/>
                <w:color w:val="000000"/>
                <w:sz w:val="18"/>
                <w:szCs w:val="18"/>
              </w:rPr>
              <w:t>1.9715</w:t>
            </w:r>
          </w:p>
        </w:tc>
        <w:tc>
          <w:tcPr>
            <w:tcW w:w="967"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rFonts w:ascii="Calibri" w:hAnsi="Calibri" w:cs="Calibri"/>
                <w:color w:val="000000"/>
                <w:sz w:val="18"/>
                <w:szCs w:val="18"/>
              </w:rPr>
            </w:pPr>
            <w:r>
              <w:rPr>
                <w:rFonts w:ascii="Calibri" w:hAnsi="Calibri" w:cs="Calibri"/>
                <w:color w:val="000000"/>
                <w:sz w:val="18"/>
                <w:szCs w:val="18"/>
              </w:rPr>
              <w:t>0.0267</w:t>
            </w:r>
          </w:p>
        </w:tc>
        <w:tc>
          <w:tcPr>
            <w:tcW w:w="973"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rFonts w:ascii="Calibri" w:hAnsi="Calibri" w:cs="Calibri"/>
                <w:color w:val="000000"/>
                <w:sz w:val="18"/>
                <w:szCs w:val="18"/>
              </w:rPr>
            </w:pPr>
            <w:r>
              <w:rPr>
                <w:rFonts w:ascii="Calibri" w:hAnsi="Calibri" w:cs="Calibri"/>
                <w:color w:val="000000"/>
                <w:sz w:val="18"/>
                <w:szCs w:val="18"/>
              </w:rPr>
              <w:t>0.0952</w:t>
            </w:r>
          </w:p>
        </w:tc>
      </w:tr>
      <w:tr w:rsidR="00000B44" w:rsidTr="00C77637">
        <w:tc>
          <w:tcPr>
            <w:tcW w:w="1153"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rPr>
                <w:b/>
                <w:i/>
                <w:color w:val="000000" w:themeColor="text1"/>
                <w:sz w:val="18"/>
                <w:szCs w:val="18"/>
                <w:lang w:val="en-GB"/>
              </w:rPr>
            </w:pPr>
            <w:r>
              <w:rPr>
                <w:rFonts w:ascii="Calibri" w:hAnsi="Calibri" w:cs="Calibri"/>
                <w:b/>
                <w:bCs/>
                <w:i/>
                <w:iCs/>
                <w:color w:val="000000"/>
                <w:sz w:val="18"/>
                <w:szCs w:val="18"/>
              </w:rPr>
              <w:t>only land - no plumes</w:t>
            </w:r>
          </w:p>
        </w:tc>
        <w:tc>
          <w:tcPr>
            <w:tcW w:w="1071"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-0.0915</w:t>
            </w:r>
          </w:p>
        </w:tc>
        <w:tc>
          <w:tcPr>
            <w:tcW w:w="1032"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0.023</w:t>
            </w:r>
          </w:p>
        </w:tc>
        <w:tc>
          <w:tcPr>
            <w:tcW w:w="1086"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32.3389</w:t>
            </w:r>
          </w:p>
        </w:tc>
        <w:tc>
          <w:tcPr>
            <w:tcW w:w="1032"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-1.8367</w:t>
            </w:r>
          </w:p>
        </w:tc>
        <w:tc>
          <w:tcPr>
            <w:tcW w:w="1014"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-12.8548</w:t>
            </w:r>
          </w:p>
        </w:tc>
        <w:tc>
          <w:tcPr>
            <w:tcW w:w="1022"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-2.8962</w:t>
            </w:r>
          </w:p>
        </w:tc>
        <w:tc>
          <w:tcPr>
            <w:tcW w:w="967"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0.0488</w:t>
            </w:r>
          </w:p>
        </w:tc>
        <w:tc>
          <w:tcPr>
            <w:tcW w:w="973"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-0.0354</w:t>
            </w:r>
          </w:p>
        </w:tc>
      </w:tr>
      <w:tr w:rsidR="00000B44" w:rsidTr="00C77637">
        <w:tc>
          <w:tcPr>
            <w:tcW w:w="1153"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rPr>
                <w:b/>
                <w:i/>
                <w:color w:val="000000" w:themeColor="text1"/>
                <w:sz w:val="18"/>
                <w:szCs w:val="18"/>
                <w:lang w:val="en-GB"/>
              </w:rPr>
            </w:pPr>
            <w:r>
              <w:rPr>
                <w:rFonts w:ascii="Calibri" w:hAnsi="Calibri" w:cs="Calibri"/>
                <w:b/>
                <w:bCs/>
                <w:i/>
                <w:iCs/>
                <w:color w:val="000000"/>
                <w:sz w:val="18"/>
                <w:szCs w:val="18"/>
              </w:rPr>
              <w:lastRenderedPageBreak/>
              <w:t>only ocean- no plumes</w:t>
            </w:r>
          </w:p>
        </w:tc>
        <w:tc>
          <w:tcPr>
            <w:tcW w:w="1071"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0.053</w:t>
            </w:r>
          </w:p>
        </w:tc>
        <w:tc>
          <w:tcPr>
            <w:tcW w:w="1032"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-0.0192</w:t>
            </w:r>
          </w:p>
        </w:tc>
        <w:tc>
          <w:tcPr>
            <w:tcW w:w="1086"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-9.5737</w:t>
            </w:r>
          </w:p>
        </w:tc>
        <w:tc>
          <w:tcPr>
            <w:tcW w:w="1032"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1.6284</w:t>
            </w:r>
          </w:p>
        </w:tc>
        <w:tc>
          <w:tcPr>
            <w:tcW w:w="1014"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3.8774</w:t>
            </w:r>
          </w:p>
        </w:tc>
        <w:tc>
          <w:tcPr>
            <w:tcW w:w="1022"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0.5085</w:t>
            </w:r>
          </w:p>
        </w:tc>
        <w:tc>
          <w:tcPr>
            <w:tcW w:w="967"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-0.0499</w:t>
            </w:r>
          </w:p>
        </w:tc>
        <w:tc>
          <w:tcPr>
            <w:tcW w:w="973"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0.0226</w:t>
            </w:r>
          </w:p>
        </w:tc>
      </w:tr>
      <w:tr w:rsidR="00000B44" w:rsidTr="00C77637">
        <w:tc>
          <w:tcPr>
            <w:tcW w:w="1153"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rPr>
                <w:b/>
                <w:i/>
                <w:color w:val="000000" w:themeColor="text1"/>
                <w:sz w:val="18"/>
                <w:szCs w:val="18"/>
                <w:lang w:val="en-GB"/>
              </w:rPr>
            </w:pPr>
            <w:r>
              <w:rPr>
                <w:rFonts w:ascii="Calibri" w:hAnsi="Calibri" w:cs="Calibri"/>
                <w:b/>
                <w:bCs/>
                <w:i/>
                <w:iCs/>
                <w:color w:val="000000"/>
                <w:sz w:val="18"/>
                <w:szCs w:val="18"/>
              </w:rPr>
              <w:t>NH - no plumes</w:t>
            </w:r>
          </w:p>
        </w:tc>
        <w:tc>
          <w:tcPr>
            <w:tcW w:w="1071"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-0.0471</w:t>
            </w:r>
          </w:p>
        </w:tc>
        <w:tc>
          <w:tcPr>
            <w:tcW w:w="1032"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-0.011</w:t>
            </w:r>
          </w:p>
        </w:tc>
        <w:tc>
          <w:tcPr>
            <w:tcW w:w="1086"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9.1959</w:t>
            </w:r>
          </w:p>
        </w:tc>
        <w:tc>
          <w:tcPr>
            <w:tcW w:w="1032"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1.6921</w:t>
            </w:r>
          </w:p>
        </w:tc>
        <w:tc>
          <w:tcPr>
            <w:tcW w:w="1014"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-2.7997</w:t>
            </w:r>
          </w:p>
        </w:tc>
        <w:tc>
          <w:tcPr>
            <w:tcW w:w="1022"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-1.22</w:t>
            </w:r>
          </w:p>
        </w:tc>
        <w:tc>
          <w:tcPr>
            <w:tcW w:w="967"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-0.0404</w:t>
            </w:r>
          </w:p>
        </w:tc>
        <w:tc>
          <w:tcPr>
            <w:tcW w:w="973"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color w:val="000000" w:themeColor="text1"/>
                <w:sz w:val="18"/>
                <w:szCs w:val="18"/>
                <w:lang w:val="en-GB"/>
              </w:rPr>
            </w:pPr>
            <w:r>
              <w:rPr>
                <w:rFonts w:ascii="Calibri" w:hAnsi="Calibri" w:cs="Calibri"/>
                <w:color w:val="000000"/>
                <w:sz w:val="18"/>
                <w:szCs w:val="18"/>
              </w:rPr>
              <w:t>-0.0184</w:t>
            </w:r>
          </w:p>
        </w:tc>
      </w:tr>
      <w:tr w:rsidR="00000B44" w:rsidTr="00C77637">
        <w:tc>
          <w:tcPr>
            <w:tcW w:w="1153"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rPr>
                <w:rFonts w:ascii="Calibri" w:hAnsi="Calibri" w:cs="Calibri"/>
                <w:b/>
                <w:bCs/>
                <w:i/>
                <w:iCs/>
                <w:color w:val="000000"/>
                <w:sz w:val="18"/>
                <w:szCs w:val="18"/>
              </w:rPr>
            </w:pPr>
            <w:r>
              <w:rPr>
                <w:rFonts w:ascii="Calibri" w:hAnsi="Calibri" w:cs="Calibri"/>
                <w:b/>
                <w:bCs/>
                <w:i/>
                <w:iCs/>
                <w:color w:val="000000"/>
                <w:sz w:val="18"/>
                <w:szCs w:val="18"/>
              </w:rPr>
              <w:t>SH - no plumes</w:t>
            </w:r>
          </w:p>
        </w:tc>
        <w:tc>
          <w:tcPr>
            <w:tcW w:w="1071"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rFonts w:ascii="Calibri" w:hAnsi="Calibri" w:cs="Calibri"/>
                <w:color w:val="000000"/>
                <w:sz w:val="18"/>
                <w:szCs w:val="18"/>
              </w:rPr>
            </w:pPr>
            <w:r>
              <w:rPr>
                <w:rFonts w:ascii="Calibri" w:hAnsi="Calibri" w:cs="Calibri"/>
                <w:color w:val="000000"/>
                <w:sz w:val="18"/>
                <w:szCs w:val="18"/>
              </w:rPr>
              <w:t>0.0722</w:t>
            </w:r>
          </w:p>
        </w:tc>
        <w:tc>
          <w:tcPr>
            <w:tcW w:w="1032"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rFonts w:ascii="Calibri" w:hAnsi="Calibri" w:cs="Calibri"/>
                <w:color w:val="000000"/>
                <w:sz w:val="18"/>
                <w:szCs w:val="18"/>
              </w:rPr>
            </w:pPr>
            <w:r>
              <w:rPr>
                <w:rFonts w:ascii="Calibri" w:hAnsi="Calibri" w:cs="Calibri"/>
                <w:color w:val="000000"/>
                <w:sz w:val="18"/>
                <w:szCs w:val="18"/>
              </w:rPr>
              <w:t>-0.0317</w:t>
            </w:r>
          </w:p>
        </w:tc>
        <w:tc>
          <w:tcPr>
            <w:tcW w:w="1086"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rFonts w:ascii="Calibri" w:hAnsi="Calibri" w:cs="Calibri"/>
                <w:color w:val="000000"/>
                <w:sz w:val="18"/>
                <w:szCs w:val="18"/>
              </w:rPr>
            </w:pPr>
            <w:r>
              <w:rPr>
                <w:rFonts w:ascii="Calibri" w:hAnsi="Calibri" w:cs="Calibri"/>
                <w:color w:val="000000"/>
                <w:sz w:val="18"/>
                <w:szCs w:val="18"/>
              </w:rPr>
              <w:t>-9.7945</w:t>
            </w:r>
          </w:p>
        </w:tc>
        <w:tc>
          <w:tcPr>
            <w:tcW w:w="1032"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rFonts w:ascii="Calibri" w:hAnsi="Calibri" w:cs="Calibri"/>
                <w:color w:val="000000"/>
                <w:sz w:val="18"/>
                <w:szCs w:val="18"/>
              </w:rPr>
            </w:pPr>
            <w:r>
              <w:rPr>
                <w:rFonts w:ascii="Calibri" w:hAnsi="Calibri" w:cs="Calibri"/>
                <w:color w:val="000000"/>
                <w:sz w:val="18"/>
                <w:szCs w:val="18"/>
              </w:rPr>
              <w:t>1.2599</w:t>
            </w:r>
          </w:p>
        </w:tc>
        <w:tc>
          <w:tcPr>
            <w:tcW w:w="1014"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rFonts w:ascii="Calibri" w:hAnsi="Calibri" w:cs="Calibri"/>
                <w:color w:val="000000"/>
                <w:sz w:val="18"/>
                <w:szCs w:val="18"/>
              </w:rPr>
            </w:pPr>
            <w:r>
              <w:rPr>
                <w:rFonts w:ascii="Calibri" w:hAnsi="Calibri" w:cs="Calibri"/>
                <w:color w:val="000000"/>
                <w:sz w:val="18"/>
                <w:szCs w:val="18"/>
              </w:rPr>
              <w:t>3.4279</w:t>
            </w:r>
          </w:p>
        </w:tc>
        <w:tc>
          <w:tcPr>
            <w:tcW w:w="1022"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rFonts w:ascii="Calibri" w:hAnsi="Calibri" w:cs="Calibri"/>
                <w:color w:val="000000"/>
                <w:sz w:val="18"/>
                <w:szCs w:val="18"/>
              </w:rPr>
            </w:pPr>
            <w:r>
              <w:rPr>
                <w:rFonts w:ascii="Calibri" w:hAnsi="Calibri" w:cs="Calibri"/>
                <w:color w:val="000000"/>
                <w:sz w:val="18"/>
                <w:szCs w:val="18"/>
              </w:rPr>
              <w:t>0.7069</w:t>
            </w:r>
          </w:p>
        </w:tc>
        <w:tc>
          <w:tcPr>
            <w:tcW w:w="967"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rFonts w:ascii="Calibri" w:hAnsi="Calibri" w:cs="Calibri"/>
                <w:color w:val="000000"/>
                <w:sz w:val="18"/>
                <w:szCs w:val="18"/>
              </w:rPr>
            </w:pPr>
            <w:r>
              <w:rPr>
                <w:rFonts w:ascii="Calibri" w:hAnsi="Calibri" w:cs="Calibri"/>
                <w:color w:val="000000"/>
                <w:sz w:val="18"/>
                <w:szCs w:val="18"/>
              </w:rPr>
              <w:t>-0.0592</w:t>
            </w:r>
          </w:p>
        </w:tc>
        <w:tc>
          <w:tcPr>
            <w:tcW w:w="973" w:type="dxa"/>
            <w:tcBorders>
              <w:top w:val="single" w:sz="4" w:space="0" w:color="auto"/>
              <w:left w:val="single" w:sz="4" w:space="0" w:color="auto"/>
              <w:bottom w:val="single" w:sz="4" w:space="0" w:color="auto"/>
              <w:right w:val="single" w:sz="4" w:space="0" w:color="auto"/>
            </w:tcBorders>
            <w:vAlign w:val="center"/>
            <w:hideMark/>
          </w:tcPr>
          <w:p w:rsidR="00000B44" w:rsidRDefault="00000B44" w:rsidP="00C77637">
            <w:pPr>
              <w:jc w:val="center"/>
              <w:rPr>
                <w:rFonts w:ascii="Calibri" w:hAnsi="Calibri" w:cs="Calibri"/>
                <w:color w:val="000000"/>
                <w:sz w:val="18"/>
                <w:szCs w:val="18"/>
              </w:rPr>
            </w:pPr>
            <w:r>
              <w:rPr>
                <w:rFonts w:ascii="Calibri" w:hAnsi="Calibri" w:cs="Calibri"/>
                <w:color w:val="000000"/>
                <w:sz w:val="18"/>
                <w:szCs w:val="18"/>
              </w:rPr>
              <w:t>0.0243</w:t>
            </w:r>
          </w:p>
        </w:tc>
      </w:tr>
    </w:tbl>
    <w:p w:rsidR="00000B44" w:rsidRDefault="00000B44" w:rsidP="00000B44">
      <w:pPr>
        <w:pStyle w:val="subsubsub"/>
        <w:ind w:left="0" w:firstLine="720"/>
        <w:rPr>
          <w:i/>
          <w:iCs w:val="0"/>
          <w:color w:val="auto"/>
        </w:rPr>
      </w:pPr>
    </w:p>
    <w:p w:rsidR="00000B44" w:rsidRPr="003B45EA" w:rsidRDefault="00000B44" w:rsidP="00000B44">
      <w:pPr>
        <w:pStyle w:val="subsubsub"/>
        <w:ind w:left="0" w:firstLine="720"/>
        <w:rPr>
          <w:color w:val="auto"/>
        </w:rPr>
      </w:pPr>
      <w:r w:rsidRPr="003B45EA">
        <w:rPr>
          <w:i/>
          <w:iCs w:val="0"/>
          <w:color w:val="auto"/>
        </w:rPr>
        <w:t>No plumes</w:t>
      </w:r>
      <w:r w:rsidRPr="003B45EA">
        <w:rPr>
          <w:color w:val="auto"/>
        </w:rPr>
        <w:t xml:space="preserve"> vs. </w:t>
      </w:r>
      <w:r>
        <w:rPr>
          <w:i/>
          <w:iCs w:val="0"/>
          <w:color w:val="auto"/>
        </w:rPr>
        <w:t>default</w:t>
      </w:r>
    </w:p>
    <w:p w:rsidR="00000B44" w:rsidRDefault="00000B44" w:rsidP="00000B44">
      <w:pPr>
        <w:pStyle w:val="subsubsub"/>
        <w:ind w:left="0"/>
        <w:outlineLvl w:val="9"/>
        <w:rPr>
          <w:sz w:val="16"/>
          <w:szCs w:val="16"/>
        </w:rPr>
      </w:pPr>
    </w:p>
    <w:p w:rsidR="00000B44" w:rsidRPr="003B45EA" w:rsidRDefault="00000B44" w:rsidP="00000B44">
      <w:pPr>
        <w:pStyle w:val="subsubsub"/>
        <w:ind w:left="0"/>
        <w:jc w:val="both"/>
        <w:rPr>
          <w:color w:val="auto"/>
          <w:sz w:val="16"/>
          <w:szCs w:val="16"/>
        </w:rPr>
      </w:pPr>
      <w:r w:rsidRPr="003B45EA">
        <w:rPr>
          <w:color w:val="auto"/>
          <w:sz w:val="22"/>
          <w:lang w:val="en-US"/>
        </w:rPr>
        <w:t xml:space="preserve">The highest surface air temperature differences between aerosol implementations were simulated in the years when aerosols’ radiative forcing was the strongest, an expected result as an overall larger aerosol burden in the atmosphere has a higher impact in the energy budget of the planet. For the specific case of the </w:t>
      </w:r>
      <w:r w:rsidRPr="003B45EA">
        <w:rPr>
          <w:i/>
          <w:iCs w:val="0"/>
          <w:color w:val="auto"/>
          <w:sz w:val="22"/>
          <w:lang w:val="en-US"/>
        </w:rPr>
        <w:t xml:space="preserve">no plumes </w:t>
      </w:r>
      <w:r w:rsidRPr="003B45EA">
        <w:rPr>
          <w:color w:val="auto"/>
          <w:sz w:val="22"/>
          <w:lang w:val="en-US"/>
        </w:rPr>
        <w:t>experiment, the correlation between the global radiative forcing of aerosols (</w:t>
      </w:r>
      <m:oMath>
        <m:r>
          <w:rPr>
            <w:rFonts w:ascii="Cambria Math" w:hAnsi="Cambria Math"/>
            <w:color w:val="auto"/>
            <w:sz w:val="22"/>
          </w:rPr>
          <m:t>RF</m:t>
        </m:r>
      </m:oMath>
      <w:r w:rsidRPr="003B45EA">
        <w:rPr>
          <w:color w:val="auto"/>
          <w:sz w:val="22"/>
          <w:lang w:val="en-US"/>
        </w:rPr>
        <w:t xml:space="preserve">) and the difference in simulated surface air temperature to the experiment </w:t>
      </w:r>
      <w:r w:rsidR="00C908A7">
        <w:rPr>
          <w:i/>
          <w:iCs w:val="0"/>
          <w:color w:val="auto"/>
          <w:sz w:val="22"/>
          <w:lang w:val="en-US"/>
        </w:rPr>
        <w:t>default</w:t>
      </w:r>
      <w:r w:rsidRPr="003B45EA">
        <w:rPr>
          <w:i/>
          <w:iCs w:val="0"/>
          <w:color w:val="auto"/>
          <w:sz w:val="22"/>
          <w:lang w:val="en-US"/>
        </w:rPr>
        <w:t xml:space="preserve"> </w:t>
      </w:r>
      <w:r w:rsidRPr="003B45EA">
        <w:rPr>
          <w:color w:val="auto"/>
          <w:sz w:val="22"/>
          <w:lang w:val="en-US"/>
        </w:rPr>
        <w:t>(</w:t>
      </w:r>
      <m:oMath>
        <m:r>
          <w:rPr>
            <w:rFonts w:ascii="Cambria Math" w:hAnsi="Cambria Math"/>
            <w:color w:val="auto"/>
            <w:sz w:val="22"/>
          </w:rPr>
          <m:t>∆T</m:t>
        </m:r>
      </m:oMath>
      <w:r w:rsidRPr="003B45EA">
        <w:rPr>
          <w:color w:val="auto"/>
          <w:sz w:val="22"/>
          <w:lang w:val="en-US"/>
        </w:rPr>
        <w:t>)</w:t>
      </w:r>
      <w:r w:rsidRPr="003B45EA">
        <w:rPr>
          <w:i/>
          <w:iCs w:val="0"/>
          <w:color w:val="auto"/>
          <w:sz w:val="22"/>
          <w:lang w:val="en-US"/>
        </w:rPr>
        <w:t xml:space="preserve"> </w:t>
      </w:r>
      <w:r w:rsidRPr="003B45EA">
        <w:rPr>
          <w:color w:val="auto"/>
          <w:sz w:val="22"/>
          <w:lang w:val="en-US"/>
        </w:rPr>
        <w:t xml:space="preserve">can be obtained through </w:t>
      </w:r>
      <m:oMath>
        <m:r>
          <w:rPr>
            <w:rFonts w:ascii="Cambria Math" w:hAnsi="Cambria Math"/>
            <w:color w:val="auto"/>
            <w:sz w:val="22"/>
          </w:rPr>
          <m:t>∆T= -0.0024- 0.0921*RF</m:t>
        </m:r>
      </m:oMath>
      <w:r w:rsidRPr="003B45EA">
        <w:rPr>
          <w:color w:val="auto"/>
          <w:sz w:val="22"/>
        </w:rPr>
        <w:t xml:space="preserve"> (Figure S2)</w:t>
      </w:r>
      <w:r w:rsidRPr="003B45EA">
        <w:rPr>
          <w:color w:val="auto"/>
          <w:sz w:val="16"/>
          <w:szCs w:val="16"/>
        </w:rPr>
        <w:t xml:space="preserve">. </w:t>
      </w:r>
      <w:r w:rsidRPr="003B45EA">
        <w:rPr>
          <w:color w:val="auto"/>
          <w:sz w:val="22"/>
        </w:rPr>
        <w:t xml:space="preserve">The regression equation is expected to be distinct for the different spatial implementation experiments, but this finding could already prove useful for further informing and supporting, for example, the climate modelling community. As per design, these simulated differences in temperature are present even as aerosols radiative forcing is the same across experiments, and derive simply from the Earth system responses, strongest for stronger aerosols radiative forcing. </w:t>
      </w:r>
    </w:p>
    <w:p w:rsidR="00000B44" w:rsidRDefault="00000B44" w:rsidP="00000B44">
      <w:pPr>
        <w:pStyle w:val="subsubsub"/>
        <w:ind w:left="0"/>
        <w:rPr>
          <w:sz w:val="16"/>
          <w:szCs w:val="16"/>
        </w:rPr>
      </w:pPr>
    </w:p>
    <w:p w:rsidR="00000B44" w:rsidRDefault="00000B44" w:rsidP="00000B44">
      <w:pPr>
        <w:pStyle w:val="subsubsub"/>
        <w:ind w:left="0"/>
        <w:rPr>
          <w:sz w:val="16"/>
          <w:szCs w:val="16"/>
        </w:rPr>
      </w:pPr>
      <w:r>
        <w:rPr>
          <w:noProof/>
        </w:rPr>
        <w:drawing>
          <wp:inline distT="0" distB="0" distL="0" distR="0" wp14:anchorId="7458E03D" wp14:editId="109F6A25">
            <wp:extent cx="3277619" cy="221745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77619" cy="2217451"/>
                    </a:xfrm>
                    <a:prstGeom prst="rect">
                      <a:avLst/>
                    </a:prstGeom>
                  </pic:spPr>
                </pic:pic>
              </a:graphicData>
            </a:graphic>
          </wp:inline>
        </w:drawing>
      </w:r>
    </w:p>
    <w:p w:rsidR="00000B44" w:rsidRDefault="00000B44" w:rsidP="00000B44">
      <w:pPr>
        <w:spacing w:line="276" w:lineRule="auto"/>
        <w:jc w:val="both"/>
        <w:rPr>
          <w:sz w:val="16"/>
          <w:szCs w:val="16"/>
        </w:rPr>
      </w:pPr>
      <w:r w:rsidRPr="007210D1">
        <w:rPr>
          <w:rFonts w:ascii="Arial" w:hAnsi="Arial" w:cs="Arial"/>
          <w:i/>
          <w:iCs/>
          <w:lang w:val="en-GB"/>
        </w:rPr>
        <w:t>Figure S</w:t>
      </w:r>
      <w:r>
        <w:rPr>
          <w:rFonts w:ascii="Arial" w:hAnsi="Arial" w:cs="Arial"/>
          <w:i/>
          <w:iCs/>
          <w:lang w:val="en-GB"/>
        </w:rPr>
        <w:t>2</w:t>
      </w:r>
      <w:r w:rsidRPr="007210D1">
        <w:rPr>
          <w:rFonts w:ascii="Arial" w:hAnsi="Arial" w:cs="Arial"/>
          <w:i/>
          <w:iCs/>
          <w:lang w:val="en-GB"/>
        </w:rPr>
        <w:t xml:space="preserve">. </w:t>
      </w:r>
      <w:r>
        <w:rPr>
          <w:rFonts w:ascii="Arial" w:hAnsi="Arial" w:cs="Arial"/>
          <w:i/>
          <w:iCs/>
          <w:lang w:val="en-GB"/>
        </w:rPr>
        <w:t>Linear regression (red line) between aerosols global radiative forcing (W m</w:t>
      </w:r>
      <w:r w:rsidRPr="008C5FE1">
        <w:rPr>
          <w:rFonts w:ascii="Arial" w:hAnsi="Arial" w:cs="Arial"/>
          <w:i/>
          <w:iCs/>
          <w:vertAlign w:val="superscript"/>
          <w:lang w:val="en-GB"/>
        </w:rPr>
        <w:t>-2</w:t>
      </w:r>
      <w:r>
        <w:rPr>
          <w:rFonts w:ascii="Arial" w:hAnsi="Arial" w:cs="Arial"/>
          <w:i/>
          <w:iCs/>
          <w:lang w:val="en-GB"/>
        </w:rPr>
        <w:t xml:space="preserve">) and the temperature anomaly to pre-industrial conditions difference between the experiments </w:t>
      </w:r>
      <w:r>
        <w:rPr>
          <w:rFonts w:ascii="Arial" w:hAnsi="Arial" w:cs="Arial"/>
          <w:lang w:val="en-GB"/>
        </w:rPr>
        <w:t xml:space="preserve">no plumes </w:t>
      </w:r>
      <w:r>
        <w:rPr>
          <w:rFonts w:ascii="Arial" w:hAnsi="Arial" w:cs="Arial"/>
          <w:i/>
          <w:iCs/>
          <w:lang w:val="en-GB"/>
        </w:rPr>
        <w:t xml:space="preserve">and </w:t>
      </w:r>
      <w:r>
        <w:rPr>
          <w:rFonts w:ascii="Arial" w:hAnsi="Arial" w:cs="Arial"/>
          <w:lang w:val="en-GB"/>
        </w:rPr>
        <w:t>default</w:t>
      </w:r>
      <w:r>
        <w:rPr>
          <w:rFonts w:ascii="Arial" w:hAnsi="Arial" w:cs="Arial"/>
          <w:i/>
          <w:iCs/>
          <w:lang w:val="en-GB"/>
        </w:rPr>
        <w:t xml:space="preserve"> (</w:t>
      </w:r>
      <w:r w:rsidRPr="008C5FE1">
        <w:rPr>
          <w:rFonts w:ascii="Arial" w:hAnsi="Arial" w:cs="Arial"/>
          <w:i/>
          <w:iCs/>
        </w:rPr>
        <w:t>°</w:t>
      </w:r>
      <w:r>
        <w:rPr>
          <w:rFonts w:ascii="Arial" w:hAnsi="Arial" w:cs="Arial"/>
          <w:i/>
          <w:iCs/>
          <w:lang w:val="en-GB"/>
        </w:rPr>
        <w:t xml:space="preserve">C) (grey dots). The coefficient of determination (R-square) is also shown on the upper right corner.  </w:t>
      </w:r>
    </w:p>
    <w:p w:rsidR="00000B44" w:rsidRPr="00DB11D8" w:rsidRDefault="00000B44" w:rsidP="00000B44">
      <w:pPr>
        <w:pStyle w:val="subsubsub"/>
        <w:ind w:left="0"/>
        <w:outlineLvl w:val="9"/>
        <w:rPr>
          <w:sz w:val="16"/>
          <w:szCs w:val="16"/>
        </w:rPr>
      </w:pPr>
    </w:p>
    <w:p w:rsidR="00000B44" w:rsidRPr="00D52806" w:rsidRDefault="00000B44" w:rsidP="00000B44">
      <w:pPr>
        <w:spacing w:line="276" w:lineRule="auto"/>
        <w:jc w:val="both"/>
        <w:rPr>
          <w:rFonts w:ascii="Arial" w:hAnsi="Arial" w:cs="Arial"/>
          <w:lang w:val="en-GB"/>
        </w:rPr>
      </w:pPr>
      <w:r w:rsidRPr="00D52806">
        <w:rPr>
          <w:rFonts w:ascii="Arial" w:hAnsi="Arial" w:cs="Arial"/>
          <w:lang w:val="en-GB"/>
        </w:rPr>
        <w:t xml:space="preserve">As discussed in the main text, the </w:t>
      </w:r>
      <w:r w:rsidRPr="00D52806">
        <w:rPr>
          <w:rFonts w:ascii="Arial" w:hAnsi="Arial" w:cs="Arial"/>
          <w:i/>
          <w:lang w:val="en-GB"/>
        </w:rPr>
        <w:t xml:space="preserve">no plumes </w:t>
      </w:r>
      <w:r w:rsidRPr="00D52806">
        <w:rPr>
          <w:rFonts w:ascii="Arial" w:hAnsi="Arial" w:cs="Arial"/>
          <w:lang w:val="en-GB"/>
        </w:rPr>
        <w:t xml:space="preserve">experiment shows a lower land carbon uptake throughout most of the </w:t>
      </w:r>
      <w:r w:rsidR="00C908A7">
        <w:rPr>
          <w:rFonts w:ascii="Arial" w:hAnsi="Arial" w:cs="Arial"/>
          <w:lang w:val="en-GB"/>
        </w:rPr>
        <w:t>simulation</w:t>
      </w:r>
      <w:r w:rsidRPr="00D52806">
        <w:rPr>
          <w:rFonts w:ascii="Arial" w:hAnsi="Arial" w:cs="Arial"/>
          <w:lang w:val="en-GB"/>
        </w:rPr>
        <w:t xml:space="preserve"> in comparison to </w:t>
      </w:r>
      <w:r>
        <w:rPr>
          <w:rFonts w:ascii="Arial" w:hAnsi="Arial" w:cs="Arial"/>
          <w:i/>
          <w:lang w:val="en-GB"/>
        </w:rPr>
        <w:t>default</w:t>
      </w:r>
      <w:r w:rsidRPr="00D52806">
        <w:rPr>
          <w:rFonts w:ascii="Arial" w:hAnsi="Arial" w:cs="Arial"/>
          <w:lang w:val="en-GB"/>
        </w:rPr>
        <w:t xml:space="preserve">. </w:t>
      </w:r>
      <w:r w:rsidR="00C908A7">
        <w:rPr>
          <w:rFonts w:ascii="Arial" w:hAnsi="Arial" w:cs="Arial"/>
          <w:lang w:val="en-GB"/>
        </w:rPr>
        <w:t>H</w:t>
      </w:r>
      <w:r w:rsidRPr="00D52806">
        <w:rPr>
          <w:rFonts w:ascii="Arial" w:hAnsi="Arial" w:cs="Arial"/>
          <w:lang w:val="en-GB"/>
        </w:rPr>
        <w:t xml:space="preserve">igher temperatures in </w:t>
      </w:r>
      <w:r w:rsidRPr="00D52806">
        <w:rPr>
          <w:rFonts w:ascii="Arial" w:hAnsi="Arial" w:cs="Arial"/>
          <w:i/>
          <w:lang w:val="en-GB"/>
        </w:rPr>
        <w:t xml:space="preserve">no plumes </w:t>
      </w:r>
      <w:r w:rsidRPr="00D52806">
        <w:rPr>
          <w:rFonts w:ascii="Arial" w:hAnsi="Arial" w:cs="Arial"/>
          <w:lang w:val="en-GB"/>
        </w:rPr>
        <w:t>lead to higher soil respiration during the historical period and first decades of the 21</w:t>
      </w:r>
      <w:r w:rsidRPr="00D52806">
        <w:rPr>
          <w:rFonts w:ascii="Arial" w:hAnsi="Arial" w:cs="Arial"/>
          <w:vertAlign w:val="superscript"/>
          <w:lang w:val="en-GB"/>
        </w:rPr>
        <w:t>st</w:t>
      </w:r>
      <w:r w:rsidRPr="00D52806">
        <w:rPr>
          <w:rFonts w:ascii="Arial" w:hAnsi="Arial" w:cs="Arial"/>
          <w:lang w:val="en-GB"/>
        </w:rPr>
        <w:t xml:space="preserve"> century (</w:t>
      </w:r>
      <w:r>
        <w:rPr>
          <w:rFonts w:ascii="Arial" w:hAnsi="Arial" w:cs="Arial"/>
          <w:lang w:val="en-GB"/>
        </w:rPr>
        <w:t xml:space="preserve">Figure </w:t>
      </w:r>
      <w:r w:rsidRPr="00D52806">
        <w:rPr>
          <w:rFonts w:ascii="Arial" w:hAnsi="Arial" w:cs="Arial"/>
          <w:lang w:val="en-GB"/>
        </w:rPr>
        <w:t>S</w:t>
      </w:r>
      <w:r>
        <w:rPr>
          <w:rFonts w:ascii="Arial" w:hAnsi="Arial" w:cs="Arial"/>
          <w:lang w:val="en-GB"/>
        </w:rPr>
        <w:t>3</w:t>
      </w:r>
      <w:r w:rsidR="00D75E1C">
        <w:rPr>
          <w:rFonts w:ascii="Arial" w:hAnsi="Arial" w:cs="Arial"/>
          <w:lang w:val="en-GB"/>
        </w:rPr>
        <w:t xml:space="preserve"> (a)</w:t>
      </w:r>
      <w:r w:rsidRPr="00D52806">
        <w:rPr>
          <w:rFonts w:ascii="Arial" w:hAnsi="Arial" w:cs="Arial"/>
          <w:lang w:val="en-GB"/>
        </w:rPr>
        <w:t>). Due to warmer land temperatures over natural vegetation regions (</w:t>
      </w:r>
      <w:bookmarkStart w:id="3" w:name="_GoBack"/>
      <w:r>
        <w:rPr>
          <w:rFonts w:ascii="Arial" w:hAnsi="Arial" w:cs="Arial"/>
          <w:lang w:val="en-GB"/>
        </w:rPr>
        <w:t>F</w:t>
      </w:r>
      <w:r w:rsidRPr="00D52806">
        <w:rPr>
          <w:rFonts w:ascii="Arial" w:hAnsi="Arial" w:cs="Arial"/>
          <w:lang w:val="en-GB"/>
        </w:rPr>
        <w:t>igure</w:t>
      </w:r>
      <w:bookmarkEnd w:id="3"/>
      <w:r w:rsidRPr="00D52806">
        <w:rPr>
          <w:rFonts w:ascii="Arial" w:hAnsi="Arial" w:cs="Arial"/>
          <w:lang w:val="en-GB"/>
        </w:rPr>
        <w:t xml:space="preserve"> S</w:t>
      </w:r>
      <w:r>
        <w:rPr>
          <w:rFonts w:ascii="Arial" w:hAnsi="Arial" w:cs="Arial"/>
          <w:lang w:val="en-GB"/>
        </w:rPr>
        <w:t>4 (</w:t>
      </w:r>
      <w:r w:rsidRPr="00D52806">
        <w:rPr>
          <w:rFonts w:ascii="Arial" w:hAnsi="Arial" w:cs="Arial"/>
          <w:lang w:val="en-GB"/>
        </w:rPr>
        <w:t>a</w:t>
      </w:r>
      <w:r>
        <w:rPr>
          <w:rFonts w:ascii="Arial" w:hAnsi="Arial" w:cs="Arial"/>
          <w:lang w:val="en-GB"/>
        </w:rPr>
        <w:t>)</w:t>
      </w:r>
      <w:r w:rsidRPr="00D52806">
        <w:rPr>
          <w:rFonts w:ascii="Arial" w:hAnsi="Arial" w:cs="Arial"/>
          <w:lang w:val="en-GB"/>
        </w:rPr>
        <w:t>), as well as higher CO</w:t>
      </w:r>
      <w:r w:rsidRPr="007210D1">
        <w:rPr>
          <w:rFonts w:ascii="Arial" w:hAnsi="Arial" w:cs="Arial"/>
          <w:vertAlign w:val="subscript"/>
          <w:lang w:val="en-GB"/>
        </w:rPr>
        <w:t>2</w:t>
      </w:r>
      <w:r w:rsidRPr="00D52806">
        <w:rPr>
          <w:rFonts w:ascii="Arial" w:hAnsi="Arial" w:cs="Arial"/>
          <w:lang w:val="en-GB"/>
        </w:rPr>
        <w:t xml:space="preserve"> burden in the atmosphere, there is also an increase in net primary production in comparison to the </w:t>
      </w:r>
      <w:r w:rsidR="00C908A7">
        <w:rPr>
          <w:rFonts w:ascii="Arial" w:hAnsi="Arial" w:cs="Arial"/>
          <w:i/>
          <w:iCs/>
          <w:lang w:val="en-GB"/>
        </w:rPr>
        <w:t xml:space="preserve">default </w:t>
      </w:r>
      <w:r w:rsidRPr="00D52806">
        <w:rPr>
          <w:rFonts w:ascii="Arial" w:hAnsi="Arial" w:cs="Arial"/>
          <w:lang w:val="en-GB"/>
        </w:rPr>
        <w:t xml:space="preserve">experiment. Nevertheless, this effect is smaller than the </w:t>
      </w:r>
      <w:r w:rsidRPr="00D52806">
        <w:rPr>
          <w:rFonts w:ascii="Arial" w:hAnsi="Arial" w:cs="Arial"/>
          <w:lang w:val="en-GB"/>
        </w:rPr>
        <w:lastRenderedPageBreak/>
        <w:t>response in soil respiration, which dominates over the primary production effect, causing a smaller land carbon uptake in this simulation. Most changes in vegetation carbon (</w:t>
      </w:r>
      <w:r>
        <w:rPr>
          <w:rFonts w:ascii="Arial" w:hAnsi="Arial" w:cs="Arial"/>
          <w:lang w:val="en-GB"/>
        </w:rPr>
        <w:t>F</w:t>
      </w:r>
      <w:r w:rsidRPr="00D52806">
        <w:rPr>
          <w:rFonts w:ascii="Arial" w:hAnsi="Arial" w:cs="Arial"/>
          <w:lang w:val="en-GB"/>
        </w:rPr>
        <w:t>igure S</w:t>
      </w:r>
      <w:r>
        <w:rPr>
          <w:rFonts w:ascii="Arial" w:hAnsi="Arial" w:cs="Arial"/>
          <w:lang w:val="en-GB"/>
        </w:rPr>
        <w:t>4 (</w:t>
      </w:r>
      <w:r w:rsidRPr="00D52806">
        <w:rPr>
          <w:rFonts w:ascii="Arial" w:hAnsi="Arial" w:cs="Arial"/>
          <w:lang w:val="en-GB"/>
        </w:rPr>
        <w:t>b</w:t>
      </w:r>
      <w:r>
        <w:rPr>
          <w:rFonts w:ascii="Arial" w:hAnsi="Arial" w:cs="Arial"/>
          <w:lang w:val="en-GB"/>
        </w:rPr>
        <w:t>)</w:t>
      </w:r>
      <w:r w:rsidRPr="00D52806">
        <w:rPr>
          <w:rFonts w:ascii="Arial" w:hAnsi="Arial" w:cs="Arial"/>
          <w:lang w:val="en-GB"/>
        </w:rPr>
        <w:t xml:space="preserve">) are simulated in the high latitudes of the </w:t>
      </w:r>
      <w:r>
        <w:rPr>
          <w:rFonts w:ascii="Arial" w:hAnsi="Arial" w:cs="Arial"/>
          <w:lang w:val="en-GB"/>
        </w:rPr>
        <w:t>N</w:t>
      </w:r>
      <w:r w:rsidRPr="00D52806">
        <w:rPr>
          <w:rFonts w:ascii="Arial" w:hAnsi="Arial" w:cs="Arial"/>
          <w:lang w:val="en-GB"/>
        </w:rPr>
        <w:t xml:space="preserve">orthern </w:t>
      </w:r>
      <w:r>
        <w:rPr>
          <w:rFonts w:ascii="Arial" w:hAnsi="Arial" w:cs="Arial"/>
          <w:lang w:val="en-GB"/>
        </w:rPr>
        <w:t>H</w:t>
      </w:r>
      <w:r w:rsidRPr="00D52806">
        <w:rPr>
          <w:rFonts w:ascii="Arial" w:hAnsi="Arial" w:cs="Arial"/>
          <w:lang w:val="en-GB"/>
        </w:rPr>
        <w:t>emisphere, with a weak signal in the tropic</w:t>
      </w:r>
      <w:r w:rsidR="00E00952">
        <w:rPr>
          <w:rFonts w:ascii="Arial" w:hAnsi="Arial" w:cs="Arial"/>
          <w:lang w:val="en-GB"/>
        </w:rPr>
        <w:t>s</w:t>
      </w:r>
      <w:r w:rsidRPr="00D52806">
        <w:rPr>
          <w:rFonts w:ascii="Arial" w:hAnsi="Arial" w:cs="Arial"/>
          <w:lang w:val="en-GB"/>
        </w:rPr>
        <w:t xml:space="preserve"> (where important aerosol plumes are located and strengthening into the future), while the rest of the </w:t>
      </w:r>
      <w:r w:rsidR="00E00952">
        <w:rPr>
          <w:rFonts w:ascii="Arial" w:hAnsi="Arial" w:cs="Arial"/>
          <w:lang w:val="en-GB"/>
        </w:rPr>
        <w:t>globe</w:t>
      </w:r>
      <w:r w:rsidRPr="00D52806">
        <w:rPr>
          <w:rFonts w:ascii="Arial" w:hAnsi="Arial" w:cs="Arial"/>
          <w:lang w:val="en-GB"/>
        </w:rPr>
        <w:t xml:space="preserve"> sees a decrease in carbon vegetation. </w:t>
      </w:r>
    </w:p>
    <w:p w:rsidR="00000B44" w:rsidRPr="00D52806" w:rsidRDefault="00000B44" w:rsidP="00000B44">
      <w:pPr>
        <w:spacing w:line="276" w:lineRule="auto"/>
        <w:jc w:val="both"/>
        <w:rPr>
          <w:rFonts w:ascii="Arial" w:hAnsi="Arial" w:cs="Arial"/>
          <w:lang w:val="en-GB"/>
        </w:rPr>
      </w:pPr>
      <w:r w:rsidRPr="00D52806">
        <w:rPr>
          <w:rFonts w:ascii="Arial" w:hAnsi="Arial" w:cs="Arial"/>
          <w:noProof/>
          <w:lang w:val="en-GB"/>
        </w:rPr>
        <w:drawing>
          <wp:inline distT="0" distB="0" distL="0" distR="0" wp14:anchorId="4EB7B9B9" wp14:editId="795CD574">
            <wp:extent cx="5943599" cy="2397533"/>
            <wp:effectExtent l="0" t="0" r="635"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tretch>
                      <a:fillRect/>
                    </a:stretch>
                  </pic:blipFill>
                  <pic:spPr bwMode="auto">
                    <a:xfrm>
                      <a:off x="0" y="0"/>
                      <a:ext cx="5943599" cy="2397533"/>
                    </a:xfrm>
                    <a:prstGeom prst="rect">
                      <a:avLst/>
                    </a:prstGeom>
                    <a:noFill/>
                    <a:ln>
                      <a:noFill/>
                    </a:ln>
                  </pic:spPr>
                </pic:pic>
              </a:graphicData>
            </a:graphic>
          </wp:inline>
        </w:drawing>
      </w:r>
    </w:p>
    <w:p w:rsidR="00000B44" w:rsidRPr="007210D1" w:rsidRDefault="00000B44" w:rsidP="00000B44">
      <w:pPr>
        <w:spacing w:line="276" w:lineRule="auto"/>
        <w:jc w:val="both"/>
        <w:rPr>
          <w:rFonts w:ascii="Arial" w:hAnsi="Arial" w:cs="Arial"/>
          <w:i/>
          <w:iCs/>
          <w:lang w:val="en-GB"/>
        </w:rPr>
      </w:pPr>
      <w:r w:rsidRPr="007210D1">
        <w:rPr>
          <w:rFonts w:ascii="Arial" w:hAnsi="Arial" w:cs="Arial"/>
          <w:i/>
          <w:iCs/>
          <w:lang w:val="en-GB"/>
        </w:rPr>
        <w:t>Figure S</w:t>
      </w:r>
      <w:r>
        <w:rPr>
          <w:rFonts w:ascii="Arial" w:hAnsi="Arial" w:cs="Arial"/>
          <w:i/>
          <w:iCs/>
          <w:lang w:val="en-GB"/>
        </w:rPr>
        <w:t>3</w:t>
      </w:r>
      <w:r w:rsidRPr="007210D1">
        <w:rPr>
          <w:rFonts w:ascii="Arial" w:hAnsi="Arial" w:cs="Arial"/>
          <w:i/>
          <w:iCs/>
          <w:lang w:val="en-GB"/>
        </w:rPr>
        <w:t>. Land carbon uptake (W</w:t>
      </w:r>
      <w:r>
        <w:rPr>
          <w:rFonts w:ascii="Arial" w:hAnsi="Arial" w:cs="Arial"/>
          <w:i/>
          <w:iCs/>
          <w:lang w:val="en-GB"/>
        </w:rPr>
        <w:t xml:space="preserve"> </w:t>
      </w:r>
      <w:r w:rsidRPr="007210D1">
        <w:rPr>
          <w:rFonts w:ascii="Arial" w:hAnsi="Arial" w:cs="Arial"/>
          <w:i/>
          <w:iCs/>
          <w:lang w:val="en-GB"/>
        </w:rPr>
        <w:t>m</w:t>
      </w:r>
      <w:r w:rsidRPr="007210D1">
        <w:rPr>
          <w:rFonts w:ascii="Arial" w:hAnsi="Arial" w:cs="Arial"/>
          <w:i/>
          <w:iCs/>
          <w:vertAlign w:val="superscript"/>
          <w:lang w:val="en-GB"/>
        </w:rPr>
        <w:t>-2</w:t>
      </w:r>
      <w:r w:rsidRPr="007210D1">
        <w:rPr>
          <w:rFonts w:ascii="Arial" w:hAnsi="Arial" w:cs="Arial"/>
          <w:i/>
          <w:iCs/>
          <w:lang w:val="en-GB"/>
        </w:rPr>
        <w:t xml:space="preserve">) for the simulations no plumes (brown) and plumes (blue) in dashed lines referring to the left y axis. </w:t>
      </w:r>
      <w:r w:rsidRPr="007210D1">
        <w:rPr>
          <w:rFonts w:ascii="Arial" w:hAnsi="Arial" w:cs="Arial"/>
          <w:bCs/>
          <w:i/>
          <w:iCs/>
          <w:lang w:val="en-GB"/>
        </w:rPr>
        <w:t>(a)</w:t>
      </w:r>
      <w:r w:rsidRPr="007210D1">
        <w:rPr>
          <w:rFonts w:ascii="Arial" w:hAnsi="Arial" w:cs="Arial"/>
          <w:b/>
          <w:i/>
          <w:iCs/>
          <w:lang w:val="en-GB"/>
        </w:rPr>
        <w:t xml:space="preserve"> </w:t>
      </w:r>
      <w:r w:rsidRPr="007210D1">
        <w:rPr>
          <w:rFonts w:ascii="Arial" w:hAnsi="Arial" w:cs="Arial"/>
          <w:i/>
          <w:iCs/>
          <w:lang w:val="en-GB"/>
        </w:rPr>
        <w:t xml:space="preserve">Soil respiration and </w:t>
      </w:r>
      <w:r w:rsidRPr="007210D1">
        <w:rPr>
          <w:rFonts w:ascii="Arial" w:hAnsi="Arial" w:cs="Arial"/>
          <w:bCs/>
          <w:i/>
          <w:iCs/>
          <w:lang w:val="en-GB"/>
        </w:rPr>
        <w:t>(b)</w:t>
      </w:r>
      <w:r w:rsidRPr="007210D1">
        <w:rPr>
          <w:rFonts w:ascii="Arial" w:hAnsi="Arial" w:cs="Arial"/>
          <w:b/>
          <w:i/>
          <w:iCs/>
          <w:lang w:val="en-GB"/>
        </w:rPr>
        <w:t xml:space="preserve"> </w:t>
      </w:r>
      <w:r w:rsidRPr="007210D1">
        <w:rPr>
          <w:rFonts w:ascii="Arial" w:hAnsi="Arial" w:cs="Arial"/>
          <w:i/>
          <w:iCs/>
          <w:lang w:val="en-GB"/>
        </w:rPr>
        <w:t xml:space="preserve">net primary production in solid lines referring to the right y axis (PgC), </w:t>
      </w:r>
      <w:r w:rsidRPr="00D52806">
        <w:rPr>
          <w:rFonts w:ascii="Arial" w:hAnsi="Arial" w:cs="Arial"/>
          <w:i/>
          <w:iCs/>
          <w:lang w:val="en-GB"/>
        </w:rPr>
        <w:t xml:space="preserve">from </w:t>
      </w:r>
      <w:r>
        <w:rPr>
          <w:rFonts w:ascii="Arial" w:hAnsi="Arial" w:cs="Arial"/>
          <w:i/>
          <w:iCs/>
          <w:lang w:val="en-GB"/>
        </w:rPr>
        <w:t xml:space="preserve">the start of the </w:t>
      </w:r>
      <w:r w:rsidRPr="00D52806">
        <w:rPr>
          <w:rFonts w:ascii="Arial" w:hAnsi="Arial" w:cs="Arial"/>
          <w:i/>
          <w:iCs/>
          <w:lang w:val="en-GB"/>
        </w:rPr>
        <w:t xml:space="preserve">pre-industrial </w:t>
      </w:r>
      <w:r>
        <w:rPr>
          <w:rFonts w:ascii="Arial" w:hAnsi="Arial" w:cs="Arial"/>
          <w:i/>
          <w:iCs/>
          <w:lang w:val="en-GB"/>
        </w:rPr>
        <w:t>period in</w:t>
      </w:r>
      <w:r w:rsidRPr="00D52806">
        <w:rPr>
          <w:rFonts w:ascii="Arial" w:hAnsi="Arial" w:cs="Arial"/>
          <w:i/>
          <w:iCs/>
          <w:lang w:val="en-GB"/>
        </w:rPr>
        <w:t xml:space="preserve"> 1850 </w:t>
      </w:r>
      <w:r w:rsidRPr="007210D1">
        <w:rPr>
          <w:rFonts w:ascii="Arial" w:hAnsi="Arial" w:cs="Arial"/>
          <w:i/>
          <w:iCs/>
          <w:lang w:val="en-GB"/>
        </w:rPr>
        <w:t>until the end of the 21</w:t>
      </w:r>
      <w:r w:rsidRPr="007210D1">
        <w:rPr>
          <w:rFonts w:ascii="Arial" w:hAnsi="Arial" w:cs="Arial"/>
          <w:i/>
          <w:iCs/>
          <w:vertAlign w:val="superscript"/>
          <w:lang w:val="en-GB"/>
        </w:rPr>
        <w:t>st</w:t>
      </w:r>
      <w:r w:rsidRPr="007210D1">
        <w:rPr>
          <w:rFonts w:ascii="Arial" w:hAnsi="Arial" w:cs="Arial"/>
          <w:i/>
          <w:iCs/>
          <w:lang w:val="en-GB"/>
        </w:rPr>
        <w:t xml:space="preserve"> century. </w:t>
      </w:r>
      <w:r>
        <w:rPr>
          <w:rFonts w:ascii="Arial" w:hAnsi="Arial" w:cs="Arial"/>
          <w:i/>
          <w:iCs/>
          <w:lang w:val="en-GB"/>
        </w:rPr>
        <w:t xml:space="preserve">Please notice </w:t>
      </w:r>
      <w:r w:rsidR="00E00952">
        <w:rPr>
          <w:rFonts w:ascii="Arial" w:hAnsi="Arial" w:cs="Arial"/>
          <w:i/>
          <w:iCs/>
          <w:lang w:val="en-GB"/>
        </w:rPr>
        <w:t xml:space="preserve">that </w:t>
      </w:r>
      <w:r>
        <w:rPr>
          <w:rFonts w:ascii="Arial" w:hAnsi="Arial" w:cs="Arial"/>
          <w:i/>
          <w:iCs/>
          <w:lang w:val="en-GB"/>
        </w:rPr>
        <w:t xml:space="preserve">the </w:t>
      </w:r>
      <w:r w:rsidR="00E00952">
        <w:rPr>
          <w:rFonts w:ascii="Arial" w:hAnsi="Arial" w:cs="Arial"/>
          <w:i/>
          <w:iCs/>
          <w:lang w:val="en-GB"/>
        </w:rPr>
        <w:t>left</w:t>
      </w:r>
      <w:r>
        <w:rPr>
          <w:rFonts w:ascii="Arial" w:hAnsi="Arial" w:cs="Arial"/>
          <w:i/>
          <w:iCs/>
          <w:lang w:val="en-GB"/>
        </w:rPr>
        <w:t xml:space="preserve"> y axis is inverted. </w:t>
      </w:r>
    </w:p>
    <w:p w:rsidR="00000B44" w:rsidRPr="00D52806" w:rsidRDefault="00000B44" w:rsidP="00000B44">
      <w:pPr>
        <w:spacing w:line="276" w:lineRule="auto"/>
        <w:jc w:val="both"/>
        <w:rPr>
          <w:rFonts w:ascii="Arial" w:hAnsi="Arial" w:cs="Arial"/>
          <w:lang w:val="en-GB"/>
        </w:rPr>
      </w:pPr>
    </w:p>
    <w:p w:rsidR="00000B44" w:rsidRPr="00D52806" w:rsidRDefault="00000B44" w:rsidP="00000B44">
      <w:pPr>
        <w:spacing w:line="276" w:lineRule="auto"/>
        <w:jc w:val="both"/>
        <w:rPr>
          <w:rFonts w:ascii="Arial" w:hAnsi="Arial" w:cs="Arial"/>
          <w:lang w:val="en-GB"/>
        </w:rPr>
      </w:pPr>
      <w:r w:rsidRPr="00D52806">
        <w:rPr>
          <w:rFonts w:ascii="Arial" w:hAnsi="Arial" w:cs="Arial"/>
          <w:noProof/>
        </w:rPr>
        <w:drawing>
          <wp:inline distT="0" distB="0" distL="0" distR="0" wp14:anchorId="7975CEE1" wp14:editId="378E84CD">
            <wp:extent cx="5529918" cy="2891154"/>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tretch>
                      <a:fillRect/>
                    </a:stretch>
                  </pic:blipFill>
                  <pic:spPr bwMode="auto">
                    <a:xfrm>
                      <a:off x="0" y="0"/>
                      <a:ext cx="5529918" cy="2891154"/>
                    </a:xfrm>
                    <a:prstGeom prst="rect">
                      <a:avLst/>
                    </a:prstGeom>
                    <a:noFill/>
                    <a:ln>
                      <a:noFill/>
                    </a:ln>
                  </pic:spPr>
                </pic:pic>
              </a:graphicData>
            </a:graphic>
          </wp:inline>
        </w:drawing>
      </w:r>
    </w:p>
    <w:p w:rsidR="00000B44" w:rsidRDefault="00000B44" w:rsidP="00000B44">
      <w:pPr>
        <w:spacing w:line="276" w:lineRule="auto"/>
        <w:jc w:val="both"/>
        <w:rPr>
          <w:rFonts w:ascii="Arial" w:hAnsi="Arial" w:cs="Arial"/>
          <w:i/>
          <w:iCs/>
          <w:lang w:val="en-GB"/>
        </w:rPr>
      </w:pPr>
      <w:r w:rsidRPr="007210D1">
        <w:rPr>
          <w:rFonts w:ascii="Arial" w:hAnsi="Arial" w:cs="Arial"/>
          <w:i/>
          <w:iCs/>
          <w:lang w:val="en-GB"/>
        </w:rPr>
        <w:t>Figure S</w:t>
      </w:r>
      <w:r>
        <w:rPr>
          <w:rFonts w:ascii="Arial" w:hAnsi="Arial" w:cs="Arial"/>
          <w:i/>
          <w:iCs/>
          <w:lang w:val="en-GB"/>
        </w:rPr>
        <w:t>4</w:t>
      </w:r>
      <w:r w:rsidRPr="007210D1">
        <w:rPr>
          <w:rFonts w:ascii="Arial" w:hAnsi="Arial" w:cs="Arial"/>
          <w:i/>
          <w:iCs/>
          <w:lang w:val="en-GB"/>
        </w:rPr>
        <w:t xml:space="preserve">. </w:t>
      </w:r>
      <w:r w:rsidR="00E00952">
        <w:rPr>
          <w:rFonts w:ascii="Arial" w:hAnsi="Arial" w:cs="Arial"/>
          <w:i/>
          <w:iCs/>
          <w:lang w:val="en-GB"/>
        </w:rPr>
        <w:t xml:space="preserve">Time-latitude </w:t>
      </w:r>
      <w:proofErr w:type="spellStart"/>
      <w:r w:rsidR="00E00952">
        <w:rPr>
          <w:rFonts w:ascii="Arial" w:hAnsi="Arial" w:cs="Arial"/>
          <w:i/>
          <w:iCs/>
          <w:lang w:val="en-GB"/>
        </w:rPr>
        <w:t>H</w:t>
      </w:r>
      <w:r w:rsidRPr="007210D1">
        <w:rPr>
          <w:rFonts w:ascii="Arial" w:hAnsi="Arial" w:cs="Arial"/>
          <w:i/>
          <w:iCs/>
          <w:lang w:val="en-GB"/>
        </w:rPr>
        <w:t>ovmöller</w:t>
      </w:r>
      <w:proofErr w:type="spellEnd"/>
      <w:r w:rsidRPr="007210D1">
        <w:rPr>
          <w:rFonts w:ascii="Arial" w:hAnsi="Arial" w:cs="Arial"/>
          <w:i/>
          <w:iCs/>
          <w:lang w:val="en-GB"/>
        </w:rPr>
        <w:t xml:space="preserve"> diagram of the difference in </w:t>
      </w:r>
      <w:r w:rsidRPr="007210D1">
        <w:rPr>
          <w:rFonts w:ascii="Arial" w:hAnsi="Arial" w:cs="Arial"/>
          <w:bCs/>
          <w:i/>
          <w:iCs/>
          <w:lang w:val="en-GB"/>
        </w:rPr>
        <w:t>(a)</w:t>
      </w:r>
      <w:r w:rsidRPr="007210D1">
        <w:rPr>
          <w:rFonts w:ascii="Arial" w:hAnsi="Arial" w:cs="Arial"/>
          <w:i/>
          <w:iCs/>
          <w:lang w:val="en-GB"/>
        </w:rPr>
        <w:t xml:space="preserve"> land surface temperature (°C) and </w:t>
      </w:r>
      <w:r w:rsidRPr="007210D1">
        <w:rPr>
          <w:rFonts w:ascii="Arial" w:hAnsi="Arial" w:cs="Arial"/>
          <w:bCs/>
          <w:i/>
          <w:iCs/>
          <w:lang w:val="en-GB"/>
        </w:rPr>
        <w:t>(b)</w:t>
      </w:r>
      <w:r w:rsidRPr="007210D1">
        <w:rPr>
          <w:rFonts w:ascii="Arial" w:hAnsi="Arial" w:cs="Arial"/>
          <w:b/>
          <w:i/>
          <w:iCs/>
          <w:lang w:val="en-GB"/>
        </w:rPr>
        <w:t xml:space="preserve"> </w:t>
      </w:r>
      <w:r w:rsidRPr="007210D1">
        <w:rPr>
          <w:rFonts w:ascii="Arial" w:hAnsi="Arial" w:cs="Arial"/>
          <w:i/>
          <w:iCs/>
          <w:lang w:val="en-GB"/>
        </w:rPr>
        <w:t xml:space="preserve">vegetation carbon (kgC) between experiments no plumes and default </w:t>
      </w:r>
      <w:r w:rsidRPr="00D52806">
        <w:rPr>
          <w:rFonts w:ascii="Arial" w:hAnsi="Arial" w:cs="Arial"/>
          <w:i/>
          <w:iCs/>
          <w:lang w:val="en-GB"/>
        </w:rPr>
        <w:t xml:space="preserve">from </w:t>
      </w:r>
      <w:r>
        <w:rPr>
          <w:rFonts w:ascii="Arial" w:hAnsi="Arial" w:cs="Arial"/>
          <w:i/>
          <w:iCs/>
          <w:lang w:val="en-GB"/>
        </w:rPr>
        <w:t xml:space="preserve">the start of the </w:t>
      </w:r>
      <w:r w:rsidRPr="00D52806">
        <w:rPr>
          <w:rFonts w:ascii="Arial" w:hAnsi="Arial" w:cs="Arial"/>
          <w:i/>
          <w:iCs/>
          <w:lang w:val="en-GB"/>
        </w:rPr>
        <w:lastRenderedPageBreak/>
        <w:t xml:space="preserve">pre-industrial </w:t>
      </w:r>
      <w:r>
        <w:rPr>
          <w:rFonts w:ascii="Arial" w:hAnsi="Arial" w:cs="Arial"/>
          <w:i/>
          <w:iCs/>
          <w:lang w:val="en-GB"/>
        </w:rPr>
        <w:t>period in</w:t>
      </w:r>
      <w:r w:rsidRPr="00D52806">
        <w:rPr>
          <w:rFonts w:ascii="Arial" w:hAnsi="Arial" w:cs="Arial"/>
          <w:i/>
          <w:iCs/>
          <w:lang w:val="en-GB"/>
        </w:rPr>
        <w:t xml:space="preserve"> 1850 </w:t>
      </w:r>
      <w:r w:rsidRPr="007210D1">
        <w:rPr>
          <w:rFonts w:ascii="Arial" w:hAnsi="Arial" w:cs="Arial"/>
          <w:i/>
          <w:iCs/>
          <w:lang w:val="en-GB"/>
        </w:rPr>
        <w:t xml:space="preserve">until the end of the 21st century. Values are given for a rolling latitude mean and positive values indicate </w:t>
      </w:r>
      <w:r>
        <w:rPr>
          <w:rFonts w:ascii="Arial" w:hAnsi="Arial" w:cs="Arial"/>
          <w:i/>
          <w:iCs/>
          <w:lang w:val="en-GB"/>
        </w:rPr>
        <w:t>higher</w:t>
      </w:r>
      <w:r w:rsidRPr="007210D1">
        <w:rPr>
          <w:rFonts w:ascii="Arial" w:hAnsi="Arial" w:cs="Arial"/>
          <w:i/>
          <w:iCs/>
          <w:lang w:val="en-GB"/>
        </w:rPr>
        <w:t xml:space="preserve"> fluxes on the no plumes experiment, while negative indicate </w:t>
      </w:r>
      <w:r>
        <w:rPr>
          <w:rFonts w:ascii="Arial" w:hAnsi="Arial" w:cs="Arial"/>
          <w:i/>
          <w:iCs/>
          <w:lang w:val="en-GB"/>
        </w:rPr>
        <w:t>lower</w:t>
      </w:r>
      <w:r w:rsidRPr="007210D1">
        <w:rPr>
          <w:rFonts w:ascii="Arial" w:hAnsi="Arial" w:cs="Arial"/>
          <w:i/>
          <w:iCs/>
          <w:lang w:val="en-GB"/>
        </w:rPr>
        <w:t xml:space="preserve"> fluxes.  </w:t>
      </w:r>
    </w:p>
    <w:p w:rsidR="00000B44" w:rsidRPr="007210D1" w:rsidRDefault="00000B44" w:rsidP="00000B44">
      <w:pPr>
        <w:spacing w:line="276" w:lineRule="auto"/>
        <w:jc w:val="both"/>
        <w:rPr>
          <w:rFonts w:ascii="Arial" w:hAnsi="Arial" w:cs="Arial"/>
          <w:i/>
          <w:iCs/>
          <w:lang w:val="en-GB"/>
        </w:rPr>
      </w:pPr>
    </w:p>
    <w:p w:rsidR="00000B44" w:rsidRPr="00D52806" w:rsidRDefault="00000B44" w:rsidP="00000B44">
      <w:pPr>
        <w:spacing w:line="276" w:lineRule="auto"/>
        <w:jc w:val="both"/>
        <w:rPr>
          <w:rFonts w:ascii="Arial" w:hAnsi="Arial" w:cs="Arial"/>
          <w:lang w:val="en-GB"/>
        </w:rPr>
      </w:pPr>
      <w:r w:rsidRPr="00D52806">
        <w:rPr>
          <w:rFonts w:ascii="Arial" w:hAnsi="Arial" w:cs="Arial"/>
          <w:lang w:val="en-GB"/>
        </w:rPr>
        <w:t>Finally, ocean carbon uptake is simulated to overall increase throughout the experiment (</w:t>
      </w:r>
      <w:r>
        <w:rPr>
          <w:rFonts w:ascii="Arial" w:hAnsi="Arial" w:cs="Arial"/>
          <w:lang w:val="en-GB"/>
        </w:rPr>
        <w:t>F</w:t>
      </w:r>
      <w:r w:rsidRPr="00D52806">
        <w:rPr>
          <w:rFonts w:ascii="Arial" w:hAnsi="Arial" w:cs="Arial"/>
          <w:lang w:val="en-GB"/>
        </w:rPr>
        <w:t>igure S</w:t>
      </w:r>
      <w:r>
        <w:rPr>
          <w:rFonts w:ascii="Arial" w:hAnsi="Arial" w:cs="Arial"/>
          <w:lang w:val="en-GB"/>
        </w:rPr>
        <w:t>5</w:t>
      </w:r>
      <w:r w:rsidRPr="00D52806">
        <w:rPr>
          <w:rFonts w:ascii="Arial" w:hAnsi="Arial" w:cs="Arial"/>
          <w:lang w:val="en-GB"/>
        </w:rPr>
        <w:t>). This signal, nevertheless, is a mixture of increase in uptake over usual uptake areas, decrease of release in simulated release regions, and a change of release areas into uptakes areas. The final effect of these complicated signals is that of an overall increase in dissolved inorganic carbon in the ocean</w:t>
      </w:r>
      <w:r w:rsidR="00E00952">
        <w:rPr>
          <w:rFonts w:ascii="Arial" w:hAnsi="Arial" w:cs="Arial"/>
          <w:lang w:val="en-GB"/>
        </w:rPr>
        <w:t>, mostly</w:t>
      </w:r>
      <w:r w:rsidRPr="00D52806">
        <w:rPr>
          <w:rFonts w:ascii="Arial" w:hAnsi="Arial" w:cs="Arial"/>
          <w:lang w:val="en-GB"/>
        </w:rPr>
        <w:t xml:space="preserve"> in Sub Antarctic regions, especially towards the end of the century. </w:t>
      </w:r>
    </w:p>
    <w:p w:rsidR="00000B44" w:rsidRPr="00D52806" w:rsidRDefault="00000B44" w:rsidP="00000B44">
      <w:pPr>
        <w:spacing w:line="276" w:lineRule="auto"/>
        <w:jc w:val="both"/>
        <w:rPr>
          <w:rFonts w:ascii="Arial" w:hAnsi="Arial" w:cs="Arial"/>
          <w:lang w:val="en-GB"/>
        </w:rPr>
      </w:pPr>
      <w:r w:rsidRPr="00D52806">
        <w:rPr>
          <w:rFonts w:ascii="Arial" w:hAnsi="Arial" w:cs="Arial"/>
          <w:noProof/>
        </w:rPr>
        <w:drawing>
          <wp:anchor distT="0" distB="0" distL="114300" distR="114300" simplePos="0" relativeHeight="251659264" behindDoc="0" locked="0" layoutInCell="1" allowOverlap="1" wp14:anchorId="71897813" wp14:editId="41D0554E">
            <wp:simplePos x="0" y="0"/>
            <wp:positionH relativeFrom="column">
              <wp:posOffset>127000</wp:posOffset>
            </wp:positionH>
            <wp:positionV relativeFrom="paragraph">
              <wp:posOffset>4445</wp:posOffset>
            </wp:positionV>
            <wp:extent cx="3453130" cy="244729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tretch>
                      <a:fillRect/>
                    </a:stretch>
                  </pic:blipFill>
                  <pic:spPr bwMode="auto">
                    <a:xfrm>
                      <a:off x="0" y="0"/>
                      <a:ext cx="3453130" cy="2447290"/>
                    </a:xfrm>
                    <a:prstGeom prst="rect">
                      <a:avLst/>
                    </a:prstGeom>
                    <a:noFill/>
                    <a:ln>
                      <a:noFill/>
                    </a:ln>
                  </pic:spPr>
                </pic:pic>
              </a:graphicData>
            </a:graphic>
            <wp14:sizeRelH relativeFrom="margin">
              <wp14:pctWidth>0</wp14:pctWidth>
            </wp14:sizeRelH>
          </wp:anchor>
        </w:drawing>
      </w:r>
      <w:r>
        <w:rPr>
          <w:rFonts w:ascii="Arial" w:hAnsi="Arial" w:cs="Arial"/>
          <w:lang w:val="en-GB"/>
        </w:rPr>
        <w:br w:type="textWrapping" w:clear="all"/>
      </w:r>
    </w:p>
    <w:p w:rsidR="00000B44" w:rsidRPr="007210D1" w:rsidRDefault="00000B44" w:rsidP="00000B44">
      <w:pPr>
        <w:spacing w:line="276" w:lineRule="auto"/>
        <w:jc w:val="both"/>
        <w:rPr>
          <w:rFonts w:ascii="Arial" w:hAnsi="Arial" w:cs="Arial"/>
          <w:i/>
          <w:iCs/>
          <w:lang w:val="en-GB"/>
        </w:rPr>
      </w:pPr>
      <w:r w:rsidRPr="007210D1">
        <w:rPr>
          <w:rFonts w:ascii="Arial" w:hAnsi="Arial" w:cs="Arial"/>
          <w:i/>
          <w:iCs/>
          <w:lang w:val="en-GB"/>
        </w:rPr>
        <w:t>Figure S</w:t>
      </w:r>
      <w:r>
        <w:rPr>
          <w:rFonts w:ascii="Arial" w:hAnsi="Arial" w:cs="Arial"/>
          <w:i/>
          <w:iCs/>
          <w:lang w:val="en-GB"/>
        </w:rPr>
        <w:t>5</w:t>
      </w:r>
      <w:r w:rsidRPr="007210D1">
        <w:rPr>
          <w:rFonts w:ascii="Arial" w:hAnsi="Arial" w:cs="Arial"/>
          <w:i/>
          <w:iCs/>
          <w:lang w:val="en-GB"/>
        </w:rPr>
        <w:t xml:space="preserve">. </w:t>
      </w:r>
      <w:r w:rsidR="00E00952">
        <w:rPr>
          <w:rFonts w:ascii="Arial" w:hAnsi="Arial" w:cs="Arial"/>
          <w:i/>
          <w:iCs/>
          <w:lang w:val="en-GB"/>
        </w:rPr>
        <w:t xml:space="preserve">Time-latitude </w:t>
      </w:r>
      <w:proofErr w:type="spellStart"/>
      <w:r w:rsidRPr="007210D1">
        <w:rPr>
          <w:rFonts w:ascii="Arial" w:hAnsi="Arial" w:cs="Arial"/>
          <w:i/>
          <w:iCs/>
          <w:lang w:val="en-GB"/>
        </w:rPr>
        <w:t>Hovmöller</w:t>
      </w:r>
      <w:proofErr w:type="spellEnd"/>
      <w:r w:rsidRPr="007210D1">
        <w:rPr>
          <w:rFonts w:ascii="Arial" w:hAnsi="Arial" w:cs="Arial"/>
          <w:i/>
          <w:iCs/>
          <w:lang w:val="en-GB"/>
        </w:rPr>
        <w:t xml:space="preserve"> diagram of the difference in </w:t>
      </w:r>
      <w:r w:rsidRPr="007210D1">
        <w:rPr>
          <w:rFonts w:ascii="Arial" w:hAnsi="Arial" w:cs="Arial"/>
          <w:bCs/>
          <w:i/>
          <w:iCs/>
          <w:lang w:val="en-GB"/>
        </w:rPr>
        <w:t>oce</w:t>
      </w:r>
      <w:r>
        <w:rPr>
          <w:rFonts w:ascii="Arial" w:hAnsi="Arial" w:cs="Arial"/>
          <w:bCs/>
          <w:i/>
          <w:iCs/>
          <w:lang w:val="en-GB"/>
        </w:rPr>
        <w:t xml:space="preserve">an surface downward </w:t>
      </w:r>
      <w:r w:rsidRPr="007210D1">
        <w:rPr>
          <w:rFonts w:ascii="Arial" w:hAnsi="Arial" w:cs="Arial"/>
          <w:i/>
          <w:iCs/>
          <w:lang w:val="en-GB"/>
        </w:rPr>
        <w:t>carbon flux (PgC</w:t>
      </w:r>
      <w:r>
        <w:rPr>
          <w:rFonts w:ascii="Arial" w:hAnsi="Arial" w:cs="Arial"/>
          <w:i/>
          <w:iCs/>
          <w:lang w:val="en-GB"/>
        </w:rPr>
        <w:t xml:space="preserve"> yr</w:t>
      </w:r>
      <w:r w:rsidRPr="002A2835">
        <w:rPr>
          <w:rFonts w:ascii="Arial" w:hAnsi="Arial" w:cs="Arial"/>
          <w:i/>
          <w:iCs/>
          <w:vertAlign w:val="superscript"/>
          <w:lang w:val="en-GB"/>
        </w:rPr>
        <w:t>-1</w:t>
      </w:r>
      <w:r w:rsidRPr="007210D1">
        <w:rPr>
          <w:rFonts w:ascii="Arial" w:hAnsi="Arial" w:cs="Arial"/>
          <w:i/>
          <w:iCs/>
          <w:lang w:val="en-GB"/>
        </w:rPr>
        <w:t xml:space="preserve">) between experiments no plumes and default </w:t>
      </w:r>
      <w:r w:rsidRPr="00D52806">
        <w:rPr>
          <w:rFonts w:ascii="Arial" w:hAnsi="Arial" w:cs="Arial"/>
          <w:i/>
          <w:iCs/>
          <w:lang w:val="en-GB"/>
        </w:rPr>
        <w:t xml:space="preserve">from </w:t>
      </w:r>
      <w:r>
        <w:rPr>
          <w:rFonts w:ascii="Arial" w:hAnsi="Arial" w:cs="Arial"/>
          <w:i/>
          <w:iCs/>
          <w:lang w:val="en-GB"/>
        </w:rPr>
        <w:t xml:space="preserve">the start of the </w:t>
      </w:r>
      <w:r w:rsidRPr="00D52806">
        <w:rPr>
          <w:rFonts w:ascii="Arial" w:hAnsi="Arial" w:cs="Arial"/>
          <w:i/>
          <w:iCs/>
          <w:lang w:val="en-GB"/>
        </w:rPr>
        <w:t xml:space="preserve">pre-industrial </w:t>
      </w:r>
      <w:r>
        <w:rPr>
          <w:rFonts w:ascii="Arial" w:hAnsi="Arial" w:cs="Arial"/>
          <w:i/>
          <w:iCs/>
          <w:lang w:val="en-GB"/>
        </w:rPr>
        <w:t>period in</w:t>
      </w:r>
      <w:r w:rsidRPr="00D52806">
        <w:rPr>
          <w:rFonts w:ascii="Arial" w:hAnsi="Arial" w:cs="Arial"/>
          <w:i/>
          <w:iCs/>
          <w:lang w:val="en-GB"/>
        </w:rPr>
        <w:t xml:space="preserve"> 1850 </w:t>
      </w:r>
      <w:r w:rsidRPr="007210D1">
        <w:rPr>
          <w:rFonts w:ascii="Arial" w:hAnsi="Arial" w:cs="Arial"/>
          <w:i/>
          <w:iCs/>
          <w:lang w:val="en-GB"/>
        </w:rPr>
        <w:t xml:space="preserve">until the end of the 21st century. Values are given for a rolling latitude mean and positive values indicate </w:t>
      </w:r>
      <w:r>
        <w:rPr>
          <w:rFonts w:ascii="Arial" w:hAnsi="Arial" w:cs="Arial"/>
          <w:i/>
          <w:iCs/>
          <w:lang w:val="en-GB"/>
        </w:rPr>
        <w:t>higher</w:t>
      </w:r>
      <w:r w:rsidRPr="007210D1">
        <w:rPr>
          <w:rFonts w:ascii="Arial" w:hAnsi="Arial" w:cs="Arial"/>
          <w:i/>
          <w:iCs/>
          <w:lang w:val="en-GB"/>
        </w:rPr>
        <w:t xml:space="preserve"> </w:t>
      </w:r>
      <w:r>
        <w:rPr>
          <w:rFonts w:ascii="Arial" w:hAnsi="Arial" w:cs="Arial"/>
          <w:i/>
          <w:iCs/>
          <w:lang w:val="en-GB"/>
        </w:rPr>
        <w:t>quantities</w:t>
      </w:r>
      <w:r w:rsidRPr="007210D1">
        <w:rPr>
          <w:rFonts w:ascii="Arial" w:hAnsi="Arial" w:cs="Arial"/>
          <w:i/>
          <w:iCs/>
          <w:lang w:val="en-GB"/>
        </w:rPr>
        <w:t xml:space="preserve"> on the no plumes experiment, while negative values indicate </w:t>
      </w:r>
      <w:r>
        <w:rPr>
          <w:rFonts w:ascii="Arial" w:hAnsi="Arial" w:cs="Arial"/>
          <w:i/>
          <w:iCs/>
          <w:lang w:val="en-GB"/>
        </w:rPr>
        <w:t>lower quantities</w:t>
      </w:r>
      <w:r w:rsidRPr="007210D1">
        <w:rPr>
          <w:rFonts w:ascii="Arial" w:hAnsi="Arial" w:cs="Arial"/>
          <w:i/>
          <w:iCs/>
          <w:lang w:val="en-GB"/>
        </w:rPr>
        <w:t xml:space="preserve">.  </w:t>
      </w:r>
    </w:p>
    <w:p w:rsidR="00000B44" w:rsidRPr="00233CEB" w:rsidRDefault="00000B44" w:rsidP="00000B44">
      <w:pPr>
        <w:spacing w:line="276" w:lineRule="auto"/>
        <w:jc w:val="both"/>
        <w:rPr>
          <w:rFonts w:ascii="Arial" w:hAnsi="Arial" w:cs="Arial"/>
          <w:i/>
          <w:lang w:val="en-GB"/>
        </w:rPr>
      </w:pPr>
    </w:p>
    <w:p w:rsidR="00000B44" w:rsidRPr="003B45EA" w:rsidRDefault="00000B44" w:rsidP="00000B44">
      <w:pPr>
        <w:pStyle w:val="subsubsub"/>
        <w:rPr>
          <w:i/>
          <w:iCs w:val="0"/>
          <w:color w:val="auto"/>
        </w:rPr>
      </w:pPr>
      <w:r w:rsidRPr="003B45EA">
        <w:rPr>
          <w:i/>
          <w:iCs w:val="0"/>
          <w:color w:val="auto"/>
        </w:rPr>
        <w:t xml:space="preserve">No plumes only land </w:t>
      </w:r>
      <w:r w:rsidRPr="003B45EA">
        <w:rPr>
          <w:color w:val="auto"/>
        </w:rPr>
        <w:t>and</w:t>
      </w:r>
      <w:r w:rsidRPr="003B45EA">
        <w:rPr>
          <w:i/>
          <w:iCs w:val="0"/>
          <w:color w:val="auto"/>
        </w:rPr>
        <w:t xml:space="preserve"> only ocean</w:t>
      </w:r>
      <w:r w:rsidRPr="003B45EA">
        <w:rPr>
          <w:color w:val="auto"/>
        </w:rPr>
        <w:t xml:space="preserve"> vs. </w:t>
      </w:r>
      <w:r w:rsidRPr="003B45EA">
        <w:rPr>
          <w:i/>
          <w:iCs w:val="0"/>
          <w:color w:val="auto"/>
        </w:rPr>
        <w:t>no plumes</w:t>
      </w:r>
    </w:p>
    <w:p w:rsidR="00000B44" w:rsidRPr="00DB11D8" w:rsidRDefault="00000B44" w:rsidP="00000B44">
      <w:pPr>
        <w:pStyle w:val="subsubsub"/>
        <w:rPr>
          <w:sz w:val="16"/>
          <w:szCs w:val="16"/>
        </w:rPr>
      </w:pPr>
    </w:p>
    <w:p w:rsidR="00000B44" w:rsidRPr="00D52806" w:rsidRDefault="00000B44" w:rsidP="00000B44">
      <w:pPr>
        <w:spacing w:line="276" w:lineRule="auto"/>
        <w:jc w:val="both"/>
        <w:rPr>
          <w:rFonts w:ascii="Arial" w:hAnsi="Arial" w:cs="Arial"/>
          <w:lang w:val="en-GB"/>
        </w:rPr>
      </w:pPr>
      <w:r w:rsidRPr="00D52806">
        <w:rPr>
          <w:rFonts w:ascii="Arial" w:hAnsi="Arial" w:cs="Arial"/>
          <w:lang w:val="en-GB"/>
        </w:rPr>
        <w:t xml:space="preserve">The simulation </w:t>
      </w:r>
      <w:r w:rsidRPr="00D52806">
        <w:rPr>
          <w:rFonts w:ascii="Arial" w:hAnsi="Arial" w:cs="Arial"/>
          <w:i/>
          <w:lang w:val="en-GB"/>
        </w:rPr>
        <w:t xml:space="preserve">only land </w:t>
      </w:r>
      <w:r w:rsidRPr="00D52806">
        <w:rPr>
          <w:rFonts w:ascii="Arial" w:hAnsi="Arial" w:cs="Arial"/>
          <w:lang w:val="en-GB"/>
        </w:rPr>
        <w:t xml:space="preserve">is an imperfect analogue to the </w:t>
      </w:r>
      <w:r w:rsidRPr="00D52806">
        <w:rPr>
          <w:rFonts w:ascii="Arial" w:hAnsi="Arial" w:cs="Arial"/>
          <w:i/>
          <w:lang w:val="en-GB"/>
        </w:rPr>
        <w:t xml:space="preserve">default </w:t>
      </w:r>
      <w:r w:rsidRPr="00D52806">
        <w:rPr>
          <w:rFonts w:ascii="Arial" w:hAnsi="Arial" w:cs="Arial"/>
          <w:lang w:val="en-GB"/>
        </w:rPr>
        <w:t>experiment, and similarly also show</w:t>
      </w:r>
      <w:r w:rsidR="00E00952">
        <w:rPr>
          <w:rFonts w:ascii="Arial" w:hAnsi="Arial" w:cs="Arial"/>
          <w:lang w:val="en-GB"/>
        </w:rPr>
        <w:t>s</w:t>
      </w:r>
      <w:r w:rsidRPr="00D52806">
        <w:rPr>
          <w:rFonts w:ascii="Arial" w:hAnsi="Arial" w:cs="Arial"/>
          <w:lang w:val="en-GB"/>
        </w:rPr>
        <w:t xml:space="preserve"> lower carbon uptake by the land, especially driven by a decreased soil respiration (</w:t>
      </w:r>
      <w:r>
        <w:rPr>
          <w:rFonts w:ascii="Arial" w:hAnsi="Arial" w:cs="Arial"/>
          <w:lang w:val="en-GB"/>
        </w:rPr>
        <w:t>Figure</w:t>
      </w:r>
      <w:r w:rsidRPr="00D52806">
        <w:rPr>
          <w:rFonts w:ascii="Arial" w:hAnsi="Arial" w:cs="Arial"/>
          <w:lang w:val="en-GB"/>
        </w:rPr>
        <w:t xml:space="preserve"> S</w:t>
      </w:r>
      <w:r>
        <w:rPr>
          <w:rFonts w:ascii="Arial" w:hAnsi="Arial" w:cs="Arial"/>
          <w:lang w:val="en-GB"/>
        </w:rPr>
        <w:t>6 (</w:t>
      </w:r>
      <w:r w:rsidRPr="00D52806">
        <w:rPr>
          <w:rFonts w:ascii="Arial" w:hAnsi="Arial" w:cs="Arial"/>
          <w:lang w:val="en-GB"/>
        </w:rPr>
        <w:t>a</w:t>
      </w:r>
      <w:r>
        <w:rPr>
          <w:rFonts w:ascii="Arial" w:hAnsi="Arial" w:cs="Arial"/>
          <w:lang w:val="en-GB"/>
        </w:rPr>
        <w:t>)</w:t>
      </w:r>
      <w:r w:rsidRPr="00D52806">
        <w:rPr>
          <w:rFonts w:ascii="Arial" w:hAnsi="Arial" w:cs="Arial"/>
          <w:lang w:val="en-GB"/>
        </w:rPr>
        <w:t xml:space="preserve">). The main decrease in soil respiration comes from high latitudes and subtropical areas, while the increase in respiration is driven by the tropics in future scenarios. Additionally, the late historical period and future scenario are also characterized by slightly higher net primary production on the </w:t>
      </w:r>
      <w:r w:rsidRPr="00D52806">
        <w:rPr>
          <w:rFonts w:ascii="Arial" w:hAnsi="Arial" w:cs="Arial"/>
          <w:i/>
          <w:lang w:val="en-GB"/>
        </w:rPr>
        <w:t>only land</w:t>
      </w:r>
      <w:r w:rsidRPr="00D52806">
        <w:rPr>
          <w:rFonts w:ascii="Arial" w:hAnsi="Arial" w:cs="Arial"/>
          <w:lang w:val="en-GB"/>
        </w:rPr>
        <w:t xml:space="preserve"> experiments (</w:t>
      </w:r>
      <w:r>
        <w:rPr>
          <w:rFonts w:ascii="Arial" w:hAnsi="Arial" w:cs="Arial"/>
          <w:lang w:val="en-GB"/>
        </w:rPr>
        <w:t>Figure</w:t>
      </w:r>
      <w:r w:rsidRPr="00D52806">
        <w:rPr>
          <w:rFonts w:ascii="Arial" w:hAnsi="Arial" w:cs="Arial"/>
          <w:lang w:val="en-GB"/>
        </w:rPr>
        <w:t xml:space="preserve"> </w:t>
      </w:r>
      <w:r>
        <w:rPr>
          <w:rFonts w:ascii="Arial" w:hAnsi="Arial" w:cs="Arial"/>
          <w:lang w:val="en-GB"/>
        </w:rPr>
        <w:t>S6 (</w:t>
      </w:r>
      <w:r w:rsidRPr="00D52806">
        <w:rPr>
          <w:rFonts w:ascii="Arial" w:hAnsi="Arial" w:cs="Arial"/>
          <w:lang w:val="en-GB"/>
        </w:rPr>
        <w:t>b</w:t>
      </w:r>
      <w:r>
        <w:rPr>
          <w:rFonts w:ascii="Arial" w:hAnsi="Arial" w:cs="Arial"/>
          <w:lang w:val="en-GB"/>
        </w:rPr>
        <w:t>)</w:t>
      </w:r>
      <w:r w:rsidRPr="00D52806">
        <w:rPr>
          <w:rFonts w:ascii="Arial" w:hAnsi="Arial" w:cs="Arial"/>
          <w:lang w:val="en-GB"/>
        </w:rPr>
        <w:t>), associated with tropical regions and the northern high latitudes towards the end of the simulation. Such responses are directly associated to the vegetation types encountered in these areas, with increased production by both broadleaf and needleleaf trees.</w:t>
      </w:r>
    </w:p>
    <w:p w:rsidR="00000B44" w:rsidRPr="00D52806" w:rsidRDefault="00000B44" w:rsidP="00000B44">
      <w:pPr>
        <w:spacing w:line="276" w:lineRule="auto"/>
        <w:jc w:val="both"/>
        <w:rPr>
          <w:rFonts w:ascii="Arial" w:hAnsi="Arial" w:cs="Arial"/>
          <w:lang w:val="en-GB"/>
        </w:rPr>
      </w:pPr>
      <w:r w:rsidRPr="00D52806">
        <w:rPr>
          <w:rFonts w:ascii="Arial" w:hAnsi="Arial" w:cs="Arial"/>
          <w:lang w:val="en-GB"/>
        </w:rPr>
        <w:lastRenderedPageBreak/>
        <w:t xml:space="preserve">Differences between the simulation </w:t>
      </w:r>
      <w:r w:rsidRPr="00D52806">
        <w:rPr>
          <w:rFonts w:ascii="Arial" w:hAnsi="Arial" w:cs="Arial"/>
          <w:i/>
          <w:lang w:val="en-GB"/>
        </w:rPr>
        <w:t xml:space="preserve">no plumes </w:t>
      </w:r>
      <w:r w:rsidRPr="00D52806">
        <w:rPr>
          <w:rFonts w:ascii="Arial" w:hAnsi="Arial" w:cs="Arial"/>
          <w:lang w:val="en-GB"/>
        </w:rPr>
        <w:t xml:space="preserve">and </w:t>
      </w:r>
      <w:r w:rsidRPr="00D52806">
        <w:rPr>
          <w:rFonts w:ascii="Arial" w:hAnsi="Arial" w:cs="Arial"/>
          <w:i/>
          <w:lang w:val="en-GB"/>
        </w:rPr>
        <w:t>only ocean</w:t>
      </w:r>
      <w:r w:rsidRPr="00D52806">
        <w:rPr>
          <w:rFonts w:ascii="Arial" w:hAnsi="Arial" w:cs="Arial"/>
          <w:lang w:val="en-GB"/>
        </w:rPr>
        <w:t xml:space="preserve"> are very small, both in terms of land carbon uptake (</w:t>
      </w:r>
      <w:r>
        <w:rPr>
          <w:rFonts w:ascii="Arial" w:hAnsi="Arial" w:cs="Arial"/>
          <w:lang w:val="en-GB"/>
        </w:rPr>
        <w:t>F</w:t>
      </w:r>
      <w:r w:rsidRPr="00D52806">
        <w:rPr>
          <w:rFonts w:ascii="Arial" w:hAnsi="Arial" w:cs="Arial"/>
          <w:lang w:val="en-GB"/>
        </w:rPr>
        <w:t>igure S</w:t>
      </w:r>
      <w:r>
        <w:rPr>
          <w:rFonts w:ascii="Arial" w:hAnsi="Arial" w:cs="Arial"/>
          <w:lang w:val="en-GB"/>
        </w:rPr>
        <w:t>7 (</w:t>
      </w:r>
      <w:r w:rsidRPr="00D52806">
        <w:rPr>
          <w:rFonts w:ascii="Arial" w:hAnsi="Arial" w:cs="Arial"/>
          <w:lang w:val="en-GB"/>
        </w:rPr>
        <w:t>a</w:t>
      </w:r>
      <w:r>
        <w:rPr>
          <w:rFonts w:ascii="Arial" w:hAnsi="Arial" w:cs="Arial"/>
          <w:lang w:val="en-GB"/>
        </w:rPr>
        <w:t>)</w:t>
      </w:r>
      <w:r w:rsidRPr="00D52806">
        <w:rPr>
          <w:rFonts w:ascii="Arial" w:hAnsi="Arial" w:cs="Arial"/>
          <w:lang w:val="en-GB"/>
        </w:rPr>
        <w:t>) and soil respiration or net primary production (</w:t>
      </w:r>
      <w:r>
        <w:rPr>
          <w:rFonts w:ascii="Arial" w:hAnsi="Arial" w:cs="Arial"/>
          <w:lang w:val="en-GB"/>
        </w:rPr>
        <w:t>Figure</w:t>
      </w:r>
      <w:r w:rsidRPr="00D52806">
        <w:rPr>
          <w:rFonts w:ascii="Arial" w:hAnsi="Arial" w:cs="Arial"/>
          <w:lang w:val="en-GB"/>
        </w:rPr>
        <w:t xml:space="preserve"> S</w:t>
      </w:r>
      <w:r>
        <w:rPr>
          <w:rFonts w:ascii="Arial" w:hAnsi="Arial" w:cs="Arial"/>
          <w:lang w:val="en-GB"/>
        </w:rPr>
        <w:t>6 (</w:t>
      </w:r>
      <w:r w:rsidRPr="00D52806">
        <w:rPr>
          <w:rFonts w:ascii="Arial" w:hAnsi="Arial" w:cs="Arial"/>
          <w:lang w:val="en-GB"/>
        </w:rPr>
        <w:t>c, d</w:t>
      </w:r>
      <w:r>
        <w:rPr>
          <w:rFonts w:ascii="Arial" w:hAnsi="Arial" w:cs="Arial"/>
          <w:lang w:val="en-GB"/>
        </w:rPr>
        <w:t>)</w:t>
      </w:r>
      <w:r w:rsidR="00E00952">
        <w:rPr>
          <w:rFonts w:ascii="Arial" w:hAnsi="Arial" w:cs="Arial"/>
          <w:lang w:val="en-GB"/>
        </w:rPr>
        <w:t>, respectively</w:t>
      </w:r>
      <w:r w:rsidRPr="00D52806">
        <w:rPr>
          <w:rFonts w:ascii="Arial" w:hAnsi="Arial" w:cs="Arial"/>
          <w:lang w:val="en-GB"/>
        </w:rPr>
        <w:t xml:space="preserve">). As discussed in the main text, the similarity between these two simulations in terms of temperature and feedback developments corroborates the understanding that the latter is an imperfect analogue to the former. A similar opposite pattern </w:t>
      </w:r>
      <w:r w:rsidR="00E00952">
        <w:rPr>
          <w:rFonts w:ascii="Arial" w:hAnsi="Arial" w:cs="Arial"/>
          <w:lang w:val="en-GB"/>
        </w:rPr>
        <w:t xml:space="preserve">to that simulated for </w:t>
      </w:r>
      <w:r w:rsidR="00E00952">
        <w:rPr>
          <w:rFonts w:ascii="Arial" w:hAnsi="Arial" w:cs="Arial"/>
          <w:i/>
          <w:iCs/>
          <w:lang w:val="en-GB"/>
        </w:rPr>
        <w:t xml:space="preserve">only land, </w:t>
      </w:r>
      <w:r w:rsidR="00E00952">
        <w:rPr>
          <w:rFonts w:ascii="Arial" w:hAnsi="Arial" w:cs="Arial"/>
          <w:lang w:val="en-GB"/>
        </w:rPr>
        <w:t xml:space="preserve">but </w:t>
      </w:r>
      <w:r w:rsidRPr="00D52806">
        <w:rPr>
          <w:rFonts w:ascii="Arial" w:hAnsi="Arial" w:cs="Arial"/>
          <w:lang w:val="en-GB"/>
        </w:rPr>
        <w:t>with much smaller magnitude</w:t>
      </w:r>
      <w:r w:rsidR="00E00952">
        <w:rPr>
          <w:rFonts w:ascii="Arial" w:hAnsi="Arial" w:cs="Arial"/>
          <w:lang w:val="en-GB"/>
        </w:rPr>
        <w:t>,</w:t>
      </w:r>
      <w:r w:rsidRPr="00D52806">
        <w:rPr>
          <w:rFonts w:ascii="Arial" w:hAnsi="Arial" w:cs="Arial"/>
          <w:lang w:val="en-GB"/>
        </w:rPr>
        <w:t xml:space="preserve"> is seen in terms of the heat responses for ocean uptake (compare </w:t>
      </w:r>
      <w:r>
        <w:rPr>
          <w:rFonts w:ascii="Arial" w:hAnsi="Arial" w:cs="Arial"/>
          <w:lang w:val="en-GB"/>
        </w:rPr>
        <w:t>Figure</w:t>
      </w:r>
      <w:r w:rsidRPr="00D52806">
        <w:rPr>
          <w:rFonts w:ascii="Arial" w:hAnsi="Arial" w:cs="Arial"/>
          <w:lang w:val="en-GB"/>
        </w:rPr>
        <w:t xml:space="preserve"> 4 with</w:t>
      </w:r>
      <w:r>
        <w:rPr>
          <w:rFonts w:ascii="Arial" w:hAnsi="Arial" w:cs="Arial"/>
          <w:lang w:val="en-GB"/>
        </w:rPr>
        <w:t xml:space="preserve"> Figure</w:t>
      </w:r>
      <w:r w:rsidRPr="00D52806">
        <w:rPr>
          <w:rFonts w:ascii="Arial" w:hAnsi="Arial" w:cs="Arial"/>
          <w:lang w:val="en-GB"/>
        </w:rPr>
        <w:t xml:space="preserve"> S</w:t>
      </w:r>
      <w:r>
        <w:rPr>
          <w:rFonts w:ascii="Arial" w:hAnsi="Arial" w:cs="Arial"/>
          <w:lang w:val="en-GB"/>
        </w:rPr>
        <w:t>7 (</w:t>
      </w:r>
      <w:r w:rsidRPr="00D52806">
        <w:rPr>
          <w:rFonts w:ascii="Arial" w:hAnsi="Arial" w:cs="Arial"/>
          <w:lang w:val="en-GB"/>
        </w:rPr>
        <w:t>b</w:t>
      </w:r>
      <w:r>
        <w:rPr>
          <w:rFonts w:ascii="Arial" w:hAnsi="Arial" w:cs="Arial"/>
          <w:lang w:val="en-GB"/>
        </w:rPr>
        <w:t>)</w:t>
      </w:r>
      <w:r w:rsidRPr="00D52806">
        <w:rPr>
          <w:rFonts w:ascii="Arial" w:hAnsi="Arial" w:cs="Arial"/>
          <w:lang w:val="en-GB"/>
        </w:rPr>
        <w:t xml:space="preserve">). In fact, the temperature anomaly present in the </w:t>
      </w:r>
      <w:r w:rsidR="00E00952">
        <w:rPr>
          <w:rFonts w:ascii="Arial" w:hAnsi="Arial" w:cs="Arial"/>
          <w:i/>
          <w:lang w:val="en-GB"/>
        </w:rPr>
        <w:t>only</w:t>
      </w:r>
      <w:r w:rsidRPr="00D52806">
        <w:rPr>
          <w:rFonts w:ascii="Arial" w:hAnsi="Arial" w:cs="Arial"/>
          <w:i/>
          <w:lang w:val="en-GB"/>
        </w:rPr>
        <w:t xml:space="preserve"> ocean </w:t>
      </w:r>
      <w:r w:rsidRPr="00D52806">
        <w:rPr>
          <w:rFonts w:ascii="Arial" w:hAnsi="Arial" w:cs="Arial"/>
          <w:lang w:val="en-GB"/>
        </w:rPr>
        <w:t xml:space="preserve">simulations is quite smaller than the one simulated at </w:t>
      </w:r>
      <w:r w:rsidR="00E00952">
        <w:rPr>
          <w:rFonts w:ascii="Arial" w:hAnsi="Arial" w:cs="Arial"/>
          <w:i/>
          <w:lang w:val="en-GB"/>
        </w:rPr>
        <w:t>only</w:t>
      </w:r>
      <w:r w:rsidRPr="00D52806">
        <w:rPr>
          <w:rFonts w:ascii="Arial" w:hAnsi="Arial" w:cs="Arial"/>
          <w:i/>
          <w:lang w:val="en-GB"/>
        </w:rPr>
        <w:t xml:space="preserve"> land </w:t>
      </w:r>
      <w:r w:rsidRPr="00D52806">
        <w:rPr>
          <w:rFonts w:ascii="Arial" w:hAnsi="Arial" w:cs="Arial"/>
          <w:lang w:val="en-GB"/>
        </w:rPr>
        <w:t xml:space="preserve">(maximum temperature difference to </w:t>
      </w:r>
      <w:r w:rsidRPr="00D52806">
        <w:rPr>
          <w:rFonts w:ascii="Arial" w:hAnsi="Arial" w:cs="Arial"/>
          <w:i/>
          <w:lang w:val="en-GB"/>
        </w:rPr>
        <w:t xml:space="preserve">no plumes </w:t>
      </w:r>
      <w:r w:rsidRPr="00D52806">
        <w:rPr>
          <w:rFonts w:ascii="Arial" w:hAnsi="Arial" w:cs="Arial"/>
          <w:lang w:val="en-GB"/>
        </w:rPr>
        <w:t xml:space="preserve">of 0.05 °C, found over the historical period, reduced to 0.01 °C by the end of the century). </w:t>
      </w:r>
    </w:p>
    <w:p w:rsidR="00000B44" w:rsidRPr="00D52806" w:rsidRDefault="00000B44" w:rsidP="00000B44">
      <w:pPr>
        <w:spacing w:line="276" w:lineRule="auto"/>
        <w:jc w:val="both"/>
        <w:rPr>
          <w:rFonts w:ascii="Arial" w:hAnsi="Arial" w:cs="Arial"/>
          <w:lang w:val="en-GB"/>
        </w:rPr>
      </w:pPr>
    </w:p>
    <w:p w:rsidR="00000B44" w:rsidRPr="00D52806" w:rsidRDefault="00000B44" w:rsidP="00000B44">
      <w:pPr>
        <w:spacing w:line="276" w:lineRule="auto"/>
        <w:jc w:val="both"/>
        <w:rPr>
          <w:rFonts w:ascii="Arial" w:hAnsi="Arial" w:cs="Arial"/>
          <w:lang w:val="en-GB"/>
        </w:rPr>
      </w:pPr>
    </w:p>
    <w:p w:rsidR="00000B44" w:rsidRPr="00D52806" w:rsidRDefault="00000B44" w:rsidP="00000B44">
      <w:pPr>
        <w:spacing w:line="276" w:lineRule="auto"/>
        <w:jc w:val="both"/>
        <w:rPr>
          <w:rFonts w:ascii="Arial" w:hAnsi="Arial" w:cs="Arial"/>
          <w:lang w:val="en-GB"/>
        </w:rPr>
      </w:pPr>
      <w:r w:rsidRPr="00233CEB">
        <w:rPr>
          <w:noProof/>
        </w:rPr>
        <w:drawing>
          <wp:inline distT="0" distB="0" distL="0" distR="0" wp14:anchorId="70657A75" wp14:editId="0017D4A4">
            <wp:extent cx="5943599" cy="4761577"/>
            <wp:effectExtent l="0" t="0" r="63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tretch>
                      <a:fillRect/>
                    </a:stretch>
                  </pic:blipFill>
                  <pic:spPr bwMode="auto">
                    <a:xfrm>
                      <a:off x="0" y="0"/>
                      <a:ext cx="5943599" cy="4761577"/>
                    </a:xfrm>
                    <a:prstGeom prst="rect">
                      <a:avLst/>
                    </a:prstGeom>
                    <a:noFill/>
                    <a:ln>
                      <a:noFill/>
                    </a:ln>
                  </pic:spPr>
                </pic:pic>
              </a:graphicData>
            </a:graphic>
          </wp:inline>
        </w:drawing>
      </w:r>
    </w:p>
    <w:p w:rsidR="00000B44" w:rsidRPr="00D52806" w:rsidRDefault="00000B44" w:rsidP="00000B44">
      <w:pPr>
        <w:spacing w:line="276" w:lineRule="auto"/>
        <w:jc w:val="both"/>
        <w:rPr>
          <w:rFonts w:ascii="Arial" w:hAnsi="Arial" w:cs="Arial"/>
          <w:lang w:val="en-GB"/>
        </w:rPr>
      </w:pPr>
    </w:p>
    <w:p w:rsidR="00000B44" w:rsidRPr="00D52806" w:rsidRDefault="00000B44" w:rsidP="00000B44">
      <w:pPr>
        <w:spacing w:line="276" w:lineRule="auto"/>
        <w:jc w:val="both"/>
        <w:rPr>
          <w:rFonts w:ascii="Arial" w:hAnsi="Arial" w:cs="Arial"/>
          <w:lang w:val="en-GB"/>
        </w:rPr>
      </w:pPr>
    </w:p>
    <w:p w:rsidR="00000B44" w:rsidRPr="007210D1" w:rsidRDefault="00000B44" w:rsidP="00000B44">
      <w:pPr>
        <w:spacing w:line="276" w:lineRule="auto"/>
        <w:jc w:val="both"/>
        <w:rPr>
          <w:rFonts w:ascii="Arial" w:hAnsi="Arial" w:cs="Arial"/>
          <w:i/>
          <w:iCs/>
          <w:lang w:val="en-GB"/>
        </w:rPr>
      </w:pPr>
      <w:r w:rsidRPr="007210D1">
        <w:rPr>
          <w:rFonts w:ascii="Arial" w:hAnsi="Arial" w:cs="Arial"/>
          <w:i/>
          <w:iCs/>
          <w:lang w:val="en-GB"/>
        </w:rPr>
        <w:lastRenderedPageBreak/>
        <w:t>Figure S</w:t>
      </w:r>
      <w:r>
        <w:rPr>
          <w:rFonts w:ascii="Arial" w:hAnsi="Arial" w:cs="Arial"/>
          <w:i/>
          <w:iCs/>
          <w:lang w:val="en-GB"/>
        </w:rPr>
        <w:t>6</w:t>
      </w:r>
      <w:r w:rsidRPr="007210D1">
        <w:rPr>
          <w:rFonts w:ascii="Arial" w:hAnsi="Arial" w:cs="Arial"/>
          <w:i/>
          <w:iCs/>
          <w:lang w:val="en-GB"/>
        </w:rPr>
        <w:t>. Land carbon uptake (W</w:t>
      </w:r>
      <w:r>
        <w:rPr>
          <w:rFonts w:ascii="Arial" w:hAnsi="Arial" w:cs="Arial"/>
          <w:i/>
          <w:iCs/>
          <w:lang w:val="en-GB"/>
        </w:rPr>
        <w:t xml:space="preserve"> </w:t>
      </w:r>
      <w:r w:rsidRPr="007210D1">
        <w:rPr>
          <w:rFonts w:ascii="Arial" w:hAnsi="Arial" w:cs="Arial"/>
          <w:i/>
          <w:iCs/>
          <w:lang w:val="en-GB"/>
        </w:rPr>
        <w:t>m</w:t>
      </w:r>
      <w:r w:rsidRPr="007210D1">
        <w:rPr>
          <w:rFonts w:ascii="Arial" w:hAnsi="Arial" w:cs="Arial"/>
          <w:i/>
          <w:iCs/>
          <w:vertAlign w:val="superscript"/>
          <w:lang w:val="en-GB"/>
        </w:rPr>
        <w:t>-2</w:t>
      </w:r>
      <w:r w:rsidRPr="007210D1">
        <w:rPr>
          <w:rFonts w:ascii="Arial" w:hAnsi="Arial" w:cs="Arial"/>
          <w:i/>
          <w:iCs/>
          <w:lang w:val="en-GB"/>
        </w:rPr>
        <w:t xml:space="preserve">) for the simulations no plumes (brown) and </w:t>
      </w:r>
      <w:r w:rsidR="00E00952" w:rsidRPr="007210D1">
        <w:rPr>
          <w:rFonts w:ascii="Arial" w:hAnsi="Arial" w:cs="Arial"/>
          <w:bCs/>
          <w:i/>
          <w:iCs/>
          <w:lang w:val="en-GB"/>
        </w:rPr>
        <w:t>(a, b)</w:t>
      </w:r>
      <w:r w:rsidR="00E00952" w:rsidRPr="007210D1">
        <w:rPr>
          <w:rFonts w:ascii="Arial" w:hAnsi="Arial" w:cs="Arial"/>
          <w:i/>
          <w:iCs/>
          <w:lang w:val="en-GB"/>
        </w:rPr>
        <w:t xml:space="preserve"> </w:t>
      </w:r>
      <w:r w:rsidRPr="007210D1">
        <w:rPr>
          <w:rFonts w:ascii="Arial" w:hAnsi="Arial" w:cs="Arial"/>
          <w:i/>
          <w:iCs/>
          <w:lang w:val="en-GB"/>
        </w:rPr>
        <w:t>no plumes only land</w:t>
      </w:r>
      <w:r w:rsidR="00E00952">
        <w:rPr>
          <w:rFonts w:ascii="Arial" w:hAnsi="Arial" w:cs="Arial"/>
          <w:i/>
          <w:iCs/>
          <w:lang w:val="en-GB"/>
        </w:rPr>
        <w:t xml:space="preserve"> (blue)</w:t>
      </w:r>
      <w:r w:rsidRPr="007210D1">
        <w:rPr>
          <w:rFonts w:ascii="Arial" w:hAnsi="Arial" w:cs="Arial"/>
          <w:i/>
          <w:iCs/>
          <w:lang w:val="en-GB"/>
        </w:rPr>
        <w:t xml:space="preserve"> and </w:t>
      </w:r>
      <w:r w:rsidRPr="007210D1">
        <w:rPr>
          <w:rFonts w:ascii="Arial" w:hAnsi="Arial" w:cs="Arial"/>
          <w:bCs/>
          <w:i/>
          <w:iCs/>
          <w:lang w:val="en-GB"/>
        </w:rPr>
        <w:t>(c, d)</w:t>
      </w:r>
      <w:r w:rsidRPr="007210D1">
        <w:rPr>
          <w:rFonts w:ascii="Arial" w:hAnsi="Arial" w:cs="Arial"/>
          <w:i/>
          <w:iCs/>
          <w:lang w:val="en-GB"/>
        </w:rPr>
        <w:t xml:space="preserve"> no plumes only ocean (blue) in dashed lines referring to the left y axis. </w:t>
      </w:r>
      <w:r w:rsidRPr="007210D1">
        <w:rPr>
          <w:rFonts w:ascii="Arial" w:hAnsi="Arial" w:cs="Arial"/>
          <w:bCs/>
          <w:i/>
          <w:iCs/>
          <w:lang w:val="en-GB"/>
        </w:rPr>
        <w:t>(a, c)</w:t>
      </w:r>
      <w:r w:rsidRPr="007210D1">
        <w:rPr>
          <w:rFonts w:ascii="Arial" w:hAnsi="Arial" w:cs="Arial"/>
          <w:b/>
          <w:i/>
          <w:iCs/>
          <w:lang w:val="en-GB"/>
        </w:rPr>
        <w:t xml:space="preserve"> </w:t>
      </w:r>
      <w:r w:rsidRPr="007210D1">
        <w:rPr>
          <w:rFonts w:ascii="Arial" w:hAnsi="Arial" w:cs="Arial"/>
          <w:i/>
          <w:iCs/>
          <w:lang w:val="en-GB"/>
        </w:rPr>
        <w:t xml:space="preserve">Soil respiration and </w:t>
      </w:r>
      <w:r w:rsidRPr="007210D1">
        <w:rPr>
          <w:rFonts w:ascii="Arial" w:hAnsi="Arial" w:cs="Arial"/>
          <w:bCs/>
          <w:i/>
          <w:iCs/>
          <w:lang w:val="en-GB"/>
        </w:rPr>
        <w:t>(b, d)</w:t>
      </w:r>
      <w:r w:rsidRPr="007210D1">
        <w:rPr>
          <w:rFonts w:ascii="Arial" w:hAnsi="Arial" w:cs="Arial"/>
          <w:i/>
          <w:iCs/>
          <w:lang w:val="en-GB"/>
        </w:rPr>
        <w:t xml:space="preserve"> net primary production in solid lines referring to the right y axis (PgC), </w:t>
      </w:r>
      <w:r w:rsidRPr="00D52806">
        <w:rPr>
          <w:rFonts w:ascii="Arial" w:hAnsi="Arial" w:cs="Arial"/>
          <w:i/>
          <w:iCs/>
          <w:lang w:val="en-GB"/>
        </w:rPr>
        <w:t xml:space="preserve">from </w:t>
      </w:r>
      <w:r>
        <w:rPr>
          <w:rFonts w:ascii="Arial" w:hAnsi="Arial" w:cs="Arial"/>
          <w:i/>
          <w:iCs/>
          <w:lang w:val="en-GB"/>
        </w:rPr>
        <w:t xml:space="preserve">the start of the </w:t>
      </w:r>
      <w:r w:rsidRPr="00D52806">
        <w:rPr>
          <w:rFonts w:ascii="Arial" w:hAnsi="Arial" w:cs="Arial"/>
          <w:i/>
          <w:iCs/>
          <w:lang w:val="en-GB"/>
        </w:rPr>
        <w:t xml:space="preserve">pre-industrial </w:t>
      </w:r>
      <w:r>
        <w:rPr>
          <w:rFonts w:ascii="Arial" w:hAnsi="Arial" w:cs="Arial"/>
          <w:i/>
          <w:iCs/>
          <w:lang w:val="en-GB"/>
        </w:rPr>
        <w:t>period in</w:t>
      </w:r>
      <w:r w:rsidRPr="00D52806">
        <w:rPr>
          <w:rFonts w:ascii="Arial" w:hAnsi="Arial" w:cs="Arial"/>
          <w:i/>
          <w:iCs/>
          <w:lang w:val="en-GB"/>
        </w:rPr>
        <w:t xml:space="preserve"> 1850 </w:t>
      </w:r>
      <w:r w:rsidRPr="007210D1">
        <w:rPr>
          <w:rFonts w:ascii="Arial" w:hAnsi="Arial" w:cs="Arial"/>
          <w:i/>
          <w:iCs/>
          <w:lang w:val="en-GB"/>
        </w:rPr>
        <w:t>until the end of the 21</w:t>
      </w:r>
      <w:r w:rsidRPr="007210D1">
        <w:rPr>
          <w:rFonts w:ascii="Arial" w:hAnsi="Arial" w:cs="Arial"/>
          <w:i/>
          <w:iCs/>
          <w:vertAlign w:val="superscript"/>
          <w:lang w:val="en-GB"/>
        </w:rPr>
        <w:t>st</w:t>
      </w:r>
      <w:r w:rsidRPr="007210D1">
        <w:rPr>
          <w:rFonts w:ascii="Arial" w:hAnsi="Arial" w:cs="Arial"/>
          <w:i/>
          <w:iCs/>
          <w:lang w:val="en-GB"/>
        </w:rPr>
        <w:t xml:space="preserve"> century. </w:t>
      </w:r>
      <w:r>
        <w:rPr>
          <w:rFonts w:ascii="Arial" w:hAnsi="Arial" w:cs="Arial"/>
          <w:i/>
          <w:iCs/>
          <w:lang w:val="en-GB"/>
        </w:rPr>
        <w:t xml:space="preserve">Please notice the </w:t>
      </w:r>
      <w:r w:rsidR="00E00952">
        <w:rPr>
          <w:rFonts w:ascii="Arial" w:hAnsi="Arial" w:cs="Arial"/>
          <w:i/>
          <w:iCs/>
          <w:lang w:val="en-GB"/>
        </w:rPr>
        <w:t>left</w:t>
      </w:r>
      <w:r>
        <w:rPr>
          <w:rFonts w:ascii="Arial" w:hAnsi="Arial" w:cs="Arial"/>
          <w:i/>
          <w:iCs/>
          <w:lang w:val="en-GB"/>
        </w:rPr>
        <w:t xml:space="preserve"> y axis is inverted.</w:t>
      </w:r>
    </w:p>
    <w:p w:rsidR="00000B44" w:rsidRPr="00D52806" w:rsidRDefault="00000B44" w:rsidP="00000B44">
      <w:pPr>
        <w:spacing w:line="276" w:lineRule="auto"/>
        <w:jc w:val="both"/>
        <w:rPr>
          <w:rFonts w:ascii="Arial" w:hAnsi="Arial" w:cs="Arial"/>
          <w:lang w:val="en-GB"/>
        </w:rPr>
      </w:pPr>
      <w:r w:rsidRPr="00D52806">
        <w:rPr>
          <w:rFonts w:ascii="Arial" w:hAnsi="Arial" w:cs="Arial"/>
          <w:noProof/>
        </w:rPr>
        <w:drawing>
          <wp:inline distT="0" distB="0" distL="0" distR="0" wp14:anchorId="2D454E0D" wp14:editId="56D02496">
            <wp:extent cx="5883275" cy="3097768"/>
            <wp:effectExtent l="0" t="0" r="3175"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tretch>
                      <a:fillRect/>
                    </a:stretch>
                  </pic:blipFill>
                  <pic:spPr bwMode="auto">
                    <a:xfrm>
                      <a:off x="0" y="0"/>
                      <a:ext cx="5883275" cy="3097768"/>
                    </a:xfrm>
                    <a:prstGeom prst="rect">
                      <a:avLst/>
                    </a:prstGeom>
                    <a:noFill/>
                    <a:ln>
                      <a:noFill/>
                    </a:ln>
                  </pic:spPr>
                </pic:pic>
              </a:graphicData>
            </a:graphic>
          </wp:inline>
        </w:drawing>
      </w:r>
    </w:p>
    <w:p w:rsidR="00000B44" w:rsidRPr="007210D1" w:rsidRDefault="00000B44" w:rsidP="00000B44">
      <w:pPr>
        <w:spacing w:line="276" w:lineRule="auto"/>
        <w:jc w:val="both"/>
        <w:rPr>
          <w:rFonts w:ascii="Arial" w:hAnsi="Arial" w:cs="Arial"/>
          <w:i/>
          <w:iCs/>
          <w:lang w:val="en-GB"/>
        </w:rPr>
      </w:pPr>
      <w:r w:rsidRPr="007210D1">
        <w:rPr>
          <w:rFonts w:ascii="Arial" w:hAnsi="Arial" w:cs="Arial"/>
          <w:i/>
          <w:iCs/>
          <w:lang w:val="en-GB"/>
        </w:rPr>
        <w:t>Figure S</w:t>
      </w:r>
      <w:r>
        <w:rPr>
          <w:rFonts w:ascii="Arial" w:hAnsi="Arial" w:cs="Arial"/>
          <w:i/>
          <w:iCs/>
          <w:lang w:val="en-GB"/>
        </w:rPr>
        <w:t>7</w:t>
      </w:r>
      <w:r w:rsidRPr="007210D1">
        <w:rPr>
          <w:rFonts w:ascii="Arial" w:hAnsi="Arial" w:cs="Arial"/>
          <w:i/>
          <w:iCs/>
          <w:lang w:val="en-GB"/>
        </w:rPr>
        <w:t xml:space="preserve">. </w:t>
      </w:r>
      <w:r w:rsidR="00E00952">
        <w:rPr>
          <w:rFonts w:ascii="Arial" w:hAnsi="Arial" w:cs="Arial"/>
          <w:i/>
          <w:iCs/>
          <w:lang w:val="en-GB"/>
        </w:rPr>
        <w:t xml:space="preserve">Time-latitude </w:t>
      </w:r>
      <w:proofErr w:type="spellStart"/>
      <w:r w:rsidRPr="007210D1">
        <w:rPr>
          <w:rFonts w:ascii="Arial" w:hAnsi="Arial" w:cs="Arial"/>
          <w:i/>
          <w:iCs/>
          <w:lang w:val="en-GB"/>
        </w:rPr>
        <w:t>Hovmöller</w:t>
      </w:r>
      <w:proofErr w:type="spellEnd"/>
      <w:r w:rsidRPr="007210D1">
        <w:rPr>
          <w:rFonts w:ascii="Arial" w:hAnsi="Arial" w:cs="Arial"/>
          <w:i/>
          <w:iCs/>
          <w:lang w:val="en-GB"/>
        </w:rPr>
        <w:t xml:space="preserve"> diagram of the difference in </w:t>
      </w:r>
      <w:r w:rsidRPr="007210D1">
        <w:rPr>
          <w:rFonts w:ascii="Arial" w:hAnsi="Arial" w:cs="Arial"/>
          <w:bCs/>
          <w:i/>
          <w:iCs/>
          <w:lang w:val="en-GB"/>
        </w:rPr>
        <w:t>(a)</w:t>
      </w:r>
      <w:r w:rsidRPr="007210D1">
        <w:rPr>
          <w:rFonts w:ascii="Arial" w:hAnsi="Arial" w:cs="Arial"/>
          <w:i/>
          <w:iCs/>
          <w:lang w:val="en-GB"/>
        </w:rPr>
        <w:t xml:space="preserve"> land carbon uptake anomaly (PgC) and </w:t>
      </w:r>
      <w:r w:rsidRPr="007210D1">
        <w:rPr>
          <w:rFonts w:ascii="Arial" w:hAnsi="Arial" w:cs="Arial"/>
          <w:bCs/>
          <w:i/>
          <w:iCs/>
          <w:lang w:val="en-GB"/>
        </w:rPr>
        <w:t>(b)</w:t>
      </w:r>
      <w:r w:rsidRPr="007210D1">
        <w:rPr>
          <w:rFonts w:ascii="Arial" w:hAnsi="Arial" w:cs="Arial"/>
          <w:b/>
          <w:i/>
          <w:iCs/>
          <w:lang w:val="en-GB"/>
        </w:rPr>
        <w:t xml:space="preserve"> </w:t>
      </w:r>
      <w:r w:rsidRPr="007210D1">
        <w:rPr>
          <w:rFonts w:ascii="Arial" w:hAnsi="Arial" w:cs="Arial"/>
          <w:i/>
          <w:iCs/>
          <w:lang w:val="en-GB"/>
        </w:rPr>
        <w:t>ocean heat uptake anomaly (W m</w:t>
      </w:r>
      <w:r w:rsidRPr="007210D1">
        <w:rPr>
          <w:rFonts w:ascii="Arial" w:hAnsi="Arial" w:cs="Arial"/>
          <w:i/>
          <w:iCs/>
          <w:vertAlign w:val="superscript"/>
          <w:lang w:val="en-GB"/>
        </w:rPr>
        <w:t>-2</w:t>
      </w:r>
      <w:r w:rsidRPr="007210D1">
        <w:rPr>
          <w:rFonts w:ascii="Arial" w:hAnsi="Arial" w:cs="Arial"/>
          <w:i/>
          <w:iCs/>
          <w:lang w:val="en-GB"/>
        </w:rPr>
        <w:t xml:space="preserve">) between experiments no plumes only ocean and no plumes </w:t>
      </w:r>
      <w:r w:rsidRPr="00D52806">
        <w:rPr>
          <w:rFonts w:ascii="Arial" w:hAnsi="Arial" w:cs="Arial"/>
          <w:i/>
          <w:iCs/>
          <w:lang w:val="en-GB"/>
        </w:rPr>
        <w:t xml:space="preserve">from </w:t>
      </w:r>
      <w:r>
        <w:rPr>
          <w:rFonts w:ascii="Arial" w:hAnsi="Arial" w:cs="Arial"/>
          <w:i/>
          <w:iCs/>
          <w:lang w:val="en-GB"/>
        </w:rPr>
        <w:t xml:space="preserve">the start of the </w:t>
      </w:r>
      <w:r w:rsidRPr="00D52806">
        <w:rPr>
          <w:rFonts w:ascii="Arial" w:hAnsi="Arial" w:cs="Arial"/>
          <w:i/>
          <w:iCs/>
          <w:lang w:val="en-GB"/>
        </w:rPr>
        <w:t xml:space="preserve">pre-industrial </w:t>
      </w:r>
      <w:r>
        <w:rPr>
          <w:rFonts w:ascii="Arial" w:hAnsi="Arial" w:cs="Arial"/>
          <w:i/>
          <w:iCs/>
          <w:lang w:val="en-GB"/>
        </w:rPr>
        <w:t>period in</w:t>
      </w:r>
      <w:r w:rsidRPr="00D52806">
        <w:rPr>
          <w:rFonts w:ascii="Arial" w:hAnsi="Arial" w:cs="Arial"/>
          <w:i/>
          <w:iCs/>
          <w:lang w:val="en-GB"/>
        </w:rPr>
        <w:t xml:space="preserve"> 1850 </w:t>
      </w:r>
      <w:r w:rsidRPr="007210D1">
        <w:rPr>
          <w:rFonts w:ascii="Arial" w:hAnsi="Arial" w:cs="Arial"/>
          <w:i/>
          <w:iCs/>
          <w:lang w:val="en-GB"/>
        </w:rPr>
        <w:t>until the end of the 21</w:t>
      </w:r>
      <w:r w:rsidRPr="007210D1">
        <w:rPr>
          <w:rFonts w:ascii="Arial" w:hAnsi="Arial" w:cs="Arial"/>
          <w:i/>
          <w:iCs/>
          <w:vertAlign w:val="superscript"/>
          <w:lang w:val="en-GB"/>
        </w:rPr>
        <w:t>st</w:t>
      </w:r>
      <w:r w:rsidRPr="007210D1">
        <w:rPr>
          <w:rFonts w:ascii="Arial" w:hAnsi="Arial" w:cs="Arial"/>
          <w:i/>
          <w:iCs/>
          <w:lang w:val="en-GB"/>
        </w:rPr>
        <w:t xml:space="preserve"> century. Values are given for a rolling latitude mean and positive values indicate </w:t>
      </w:r>
      <w:r>
        <w:rPr>
          <w:rFonts w:ascii="Arial" w:hAnsi="Arial" w:cs="Arial"/>
          <w:i/>
          <w:iCs/>
          <w:lang w:val="en-GB"/>
        </w:rPr>
        <w:t>higher</w:t>
      </w:r>
      <w:r w:rsidRPr="007210D1">
        <w:rPr>
          <w:rFonts w:ascii="Arial" w:hAnsi="Arial" w:cs="Arial"/>
          <w:i/>
          <w:iCs/>
          <w:lang w:val="en-GB"/>
        </w:rPr>
        <w:t xml:space="preserve"> fluxes on the only</w:t>
      </w:r>
      <w:r w:rsidR="00E00952">
        <w:rPr>
          <w:rFonts w:ascii="Arial" w:hAnsi="Arial" w:cs="Arial"/>
          <w:i/>
          <w:iCs/>
          <w:lang w:val="en-GB"/>
        </w:rPr>
        <w:t xml:space="preserve"> ocean</w:t>
      </w:r>
      <w:r w:rsidRPr="007210D1">
        <w:rPr>
          <w:rFonts w:ascii="Arial" w:hAnsi="Arial" w:cs="Arial"/>
          <w:i/>
          <w:iCs/>
          <w:lang w:val="en-GB"/>
        </w:rPr>
        <w:t xml:space="preserve"> experiments, while negative values indicate </w:t>
      </w:r>
      <w:r>
        <w:rPr>
          <w:rFonts w:ascii="Arial" w:hAnsi="Arial" w:cs="Arial"/>
          <w:i/>
          <w:iCs/>
          <w:lang w:val="en-GB"/>
        </w:rPr>
        <w:t>low</w:t>
      </w:r>
      <w:r w:rsidRPr="007210D1">
        <w:rPr>
          <w:rFonts w:ascii="Arial" w:hAnsi="Arial" w:cs="Arial"/>
          <w:i/>
          <w:iCs/>
          <w:lang w:val="en-GB"/>
        </w:rPr>
        <w:t xml:space="preserve">er fluxes.  </w:t>
      </w:r>
    </w:p>
    <w:p w:rsidR="00000B44" w:rsidRPr="00D52806" w:rsidRDefault="00000B44" w:rsidP="00000B44">
      <w:pPr>
        <w:spacing w:line="276" w:lineRule="auto"/>
        <w:jc w:val="both"/>
        <w:rPr>
          <w:rFonts w:ascii="Arial" w:hAnsi="Arial" w:cs="Arial"/>
          <w:lang w:val="en-GB"/>
        </w:rPr>
      </w:pPr>
    </w:p>
    <w:p w:rsidR="00000B44" w:rsidRPr="003B45EA" w:rsidRDefault="00000B44" w:rsidP="00000B44">
      <w:pPr>
        <w:pStyle w:val="subsubsub"/>
        <w:rPr>
          <w:color w:val="auto"/>
        </w:rPr>
      </w:pPr>
      <w:r w:rsidRPr="003B45EA">
        <w:rPr>
          <w:i/>
          <w:iCs w:val="0"/>
          <w:color w:val="auto"/>
        </w:rPr>
        <w:t xml:space="preserve">No plumes </w:t>
      </w:r>
      <w:r>
        <w:rPr>
          <w:i/>
          <w:iCs w:val="0"/>
          <w:color w:val="auto"/>
        </w:rPr>
        <w:t>N</w:t>
      </w:r>
      <w:r w:rsidRPr="003B45EA">
        <w:rPr>
          <w:i/>
          <w:iCs w:val="0"/>
          <w:color w:val="auto"/>
        </w:rPr>
        <w:t>orth</w:t>
      </w:r>
      <w:r>
        <w:rPr>
          <w:i/>
          <w:iCs w:val="0"/>
          <w:color w:val="auto"/>
        </w:rPr>
        <w:t>ern</w:t>
      </w:r>
      <w:r w:rsidRPr="003B45EA">
        <w:rPr>
          <w:i/>
          <w:iCs w:val="0"/>
          <w:color w:val="auto"/>
        </w:rPr>
        <w:t xml:space="preserve"> </w:t>
      </w:r>
      <w:r>
        <w:rPr>
          <w:i/>
          <w:iCs w:val="0"/>
          <w:color w:val="auto"/>
        </w:rPr>
        <w:t>H</w:t>
      </w:r>
      <w:r w:rsidRPr="003B45EA">
        <w:rPr>
          <w:i/>
          <w:iCs w:val="0"/>
          <w:color w:val="auto"/>
        </w:rPr>
        <w:t>emisphere</w:t>
      </w:r>
      <w:r w:rsidRPr="003B45EA">
        <w:rPr>
          <w:color w:val="auto"/>
        </w:rPr>
        <w:t xml:space="preserve"> and </w:t>
      </w:r>
      <w:r>
        <w:rPr>
          <w:i/>
          <w:iCs w:val="0"/>
          <w:color w:val="auto"/>
        </w:rPr>
        <w:t>S</w:t>
      </w:r>
      <w:r w:rsidRPr="003B45EA">
        <w:rPr>
          <w:i/>
          <w:iCs w:val="0"/>
          <w:color w:val="auto"/>
        </w:rPr>
        <w:t>outh</w:t>
      </w:r>
      <w:r>
        <w:rPr>
          <w:i/>
          <w:iCs w:val="0"/>
          <w:color w:val="auto"/>
        </w:rPr>
        <w:t>ern</w:t>
      </w:r>
      <w:r w:rsidRPr="003B45EA">
        <w:rPr>
          <w:i/>
          <w:iCs w:val="0"/>
          <w:color w:val="auto"/>
        </w:rPr>
        <w:t xml:space="preserve"> </w:t>
      </w:r>
      <w:r>
        <w:rPr>
          <w:i/>
          <w:iCs w:val="0"/>
          <w:color w:val="auto"/>
        </w:rPr>
        <w:t>H</w:t>
      </w:r>
      <w:r w:rsidRPr="003B45EA">
        <w:rPr>
          <w:i/>
          <w:iCs w:val="0"/>
          <w:color w:val="auto"/>
        </w:rPr>
        <w:t>emisphere</w:t>
      </w:r>
      <w:r w:rsidRPr="003B45EA">
        <w:rPr>
          <w:color w:val="auto"/>
        </w:rPr>
        <w:t xml:space="preserve"> vs. </w:t>
      </w:r>
      <w:r w:rsidRPr="003B45EA">
        <w:rPr>
          <w:i/>
          <w:iCs w:val="0"/>
          <w:color w:val="auto"/>
        </w:rPr>
        <w:t>no plumes</w:t>
      </w:r>
    </w:p>
    <w:p w:rsidR="00000B44" w:rsidRPr="00DB11D8" w:rsidRDefault="00000B44" w:rsidP="00000B44">
      <w:pPr>
        <w:pStyle w:val="subsubsub"/>
        <w:rPr>
          <w:sz w:val="16"/>
          <w:szCs w:val="16"/>
        </w:rPr>
      </w:pPr>
    </w:p>
    <w:p w:rsidR="00000B44" w:rsidRPr="00D52806" w:rsidRDefault="00000B44" w:rsidP="00000B44">
      <w:pPr>
        <w:spacing w:line="276" w:lineRule="auto"/>
        <w:jc w:val="both"/>
        <w:rPr>
          <w:rFonts w:ascii="Arial" w:hAnsi="Arial" w:cs="Arial"/>
          <w:lang w:val="en-GB"/>
        </w:rPr>
      </w:pPr>
      <w:r w:rsidRPr="00D52806">
        <w:rPr>
          <w:rFonts w:ascii="Arial" w:hAnsi="Arial" w:cs="Arial"/>
          <w:lang w:val="en-GB"/>
        </w:rPr>
        <w:t xml:space="preserve">As previously mentioned, the close similarity between the experiments </w:t>
      </w:r>
      <w:r w:rsidRPr="00D52806">
        <w:rPr>
          <w:rFonts w:ascii="Arial" w:hAnsi="Arial" w:cs="Arial"/>
          <w:i/>
          <w:lang w:val="en-GB"/>
        </w:rPr>
        <w:t xml:space="preserve">no plumes </w:t>
      </w:r>
      <w:r>
        <w:rPr>
          <w:rFonts w:ascii="Arial" w:hAnsi="Arial" w:cs="Arial"/>
          <w:i/>
          <w:lang w:val="en-GB"/>
        </w:rPr>
        <w:t>NH</w:t>
      </w:r>
      <w:r w:rsidRPr="00D52806">
        <w:rPr>
          <w:rFonts w:ascii="Arial" w:hAnsi="Arial" w:cs="Arial"/>
          <w:i/>
          <w:lang w:val="en-GB"/>
        </w:rPr>
        <w:t xml:space="preserve"> </w:t>
      </w:r>
      <w:r w:rsidRPr="00D52806">
        <w:rPr>
          <w:rFonts w:ascii="Arial" w:hAnsi="Arial" w:cs="Arial"/>
          <w:lang w:val="en-GB"/>
        </w:rPr>
        <w:t xml:space="preserve">and </w:t>
      </w:r>
      <w:r w:rsidRPr="00D52806">
        <w:rPr>
          <w:rFonts w:ascii="Arial" w:hAnsi="Arial" w:cs="Arial"/>
          <w:i/>
          <w:lang w:val="en-GB"/>
        </w:rPr>
        <w:t xml:space="preserve">no plumes </w:t>
      </w:r>
      <w:r w:rsidRPr="00D52806">
        <w:rPr>
          <w:rFonts w:ascii="Arial" w:hAnsi="Arial" w:cs="Arial"/>
          <w:lang w:val="en-GB"/>
        </w:rPr>
        <w:t>can be observed in terms of the temperature development, but also of land carbon uptake processes (</w:t>
      </w:r>
      <w:r>
        <w:rPr>
          <w:rFonts w:ascii="Arial" w:hAnsi="Arial" w:cs="Arial"/>
          <w:lang w:val="en-GB"/>
        </w:rPr>
        <w:t>Figure</w:t>
      </w:r>
      <w:r w:rsidRPr="00D52806">
        <w:rPr>
          <w:rFonts w:ascii="Arial" w:hAnsi="Arial" w:cs="Arial"/>
          <w:lang w:val="en-GB"/>
        </w:rPr>
        <w:t xml:space="preserve"> S</w:t>
      </w:r>
      <w:r>
        <w:rPr>
          <w:rFonts w:ascii="Arial" w:hAnsi="Arial" w:cs="Arial"/>
          <w:lang w:val="en-GB"/>
        </w:rPr>
        <w:t>9 (</w:t>
      </w:r>
      <w:r w:rsidRPr="00D52806">
        <w:rPr>
          <w:rFonts w:ascii="Arial" w:hAnsi="Arial" w:cs="Arial"/>
          <w:lang w:val="en-GB"/>
        </w:rPr>
        <w:t>a</w:t>
      </w:r>
      <w:r>
        <w:rPr>
          <w:rFonts w:ascii="Arial" w:hAnsi="Arial" w:cs="Arial"/>
          <w:lang w:val="en-GB"/>
        </w:rPr>
        <w:t>)</w:t>
      </w:r>
      <w:r w:rsidRPr="00D52806">
        <w:rPr>
          <w:rFonts w:ascii="Arial" w:hAnsi="Arial" w:cs="Arial"/>
          <w:lang w:val="en-GB"/>
        </w:rPr>
        <w:t>). The former experiment has an overall small</w:t>
      </w:r>
      <w:r w:rsidR="00926A3F">
        <w:rPr>
          <w:rFonts w:ascii="Arial" w:hAnsi="Arial" w:cs="Arial"/>
          <w:lang w:val="en-GB"/>
        </w:rPr>
        <w:t xml:space="preserve"> difference in</w:t>
      </w:r>
      <w:r w:rsidRPr="00D52806">
        <w:rPr>
          <w:rFonts w:ascii="Arial" w:hAnsi="Arial" w:cs="Arial"/>
          <w:lang w:val="en-GB"/>
        </w:rPr>
        <w:t>, but larger carbon uptake, driven by (</w:t>
      </w:r>
      <w:r>
        <w:rPr>
          <w:rFonts w:ascii="Arial" w:hAnsi="Arial" w:cs="Arial"/>
          <w:lang w:val="en-GB"/>
        </w:rPr>
        <w:t>Figure</w:t>
      </w:r>
      <w:r w:rsidRPr="00D52806">
        <w:rPr>
          <w:rFonts w:ascii="Arial" w:hAnsi="Arial" w:cs="Arial"/>
          <w:lang w:val="en-GB"/>
        </w:rPr>
        <w:t xml:space="preserve"> </w:t>
      </w:r>
      <w:r>
        <w:rPr>
          <w:rFonts w:ascii="Arial" w:hAnsi="Arial" w:cs="Arial"/>
          <w:lang w:val="en-GB"/>
        </w:rPr>
        <w:t>S8 (</w:t>
      </w:r>
      <w:r w:rsidRPr="00D52806">
        <w:rPr>
          <w:rFonts w:ascii="Arial" w:hAnsi="Arial" w:cs="Arial"/>
          <w:lang w:val="en-GB"/>
        </w:rPr>
        <w:t>a, b</w:t>
      </w:r>
      <w:r>
        <w:rPr>
          <w:rFonts w:ascii="Arial" w:hAnsi="Arial" w:cs="Arial"/>
          <w:lang w:val="en-GB"/>
        </w:rPr>
        <w:t>)</w:t>
      </w:r>
      <w:r w:rsidRPr="00D52806">
        <w:rPr>
          <w:rFonts w:ascii="Arial" w:hAnsi="Arial" w:cs="Arial"/>
          <w:lang w:val="en-GB"/>
        </w:rPr>
        <w:t>) a slightly lower soil respiration rate throughout the simulation, while net primary production shows very close rates to what was observed in the</w:t>
      </w:r>
      <w:r w:rsidRPr="00D52806">
        <w:rPr>
          <w:rFonts w:ascii="Arial" w:hAnsi="Arial" w:cs="Arial"/>
          <w:i/>
          <w:lang w:val="en-GB"/>
        </w:rPr>
        <w:t xml:space="preserve"> no plumes</w:t>
      </w:r>
      <w:r w:rsidRPr="00D52806">
        <w:rPr>
          <w:rFonts w:ascii="Arial" w:hAnsi="Arial" w:cs="Arial"/>
          <w:lang w:val="en-GB"/>
        </w:rPr>
        <w:t xml:space="preserve"> experiment.  </w:t>
      </w:r>
      <w:r w:rsidR="00926A3F">
        <w:rPr>
          <w:rFonts w:ascii="Arial" w:hAnsi="Arial" w:cs="Arial"/>
          <w:lang w:val="en-GB"/>
        </w:rPr>
        <w:t>Conversely</w:t>
      </w:r>
      <w:r w:rsidRPr="00D52806">
        <w:rPr>
          <w:rFonts w:ascii="Arial" w:hAnsi="Arial" w:cs="Arial"/>
          <w:lang w:val="en-GB"/>
        </w:rPr>
        <w:t xml:space="preserve">, we see an inverse response patter for the </w:t>
      </w:r>
      <w:r w:rsidRPr="00D52806">
        <w:rPr>
          <w:rFonts w:ascii="Arial" w:hAnsi="Arial" w:cs="Arial"/>
          <w:i/>
          <w:lang w:val="en-GB"/>
        </w:rPr>
        <w:t xml:space="preserve">no plumes </w:t>
      </w:r>
      <w:r>
        <w:rPr>
          <w:rFonts w:ascii="Arial" w:hAnsi="Arial" w:cs="Arial"/>
          <w:i/>
          <w:lang w:val="en-GB"/>
        </w:rPr>
        <w:t>SH</w:t>
      </w:r>
      <w:r w:rsidRPr="00D52806">
        <w:rPr>
          <w:rFonts w:ascii="Arial" w:hAnsi="Arial" w:cs="Arial"/>
          <w:i/>
          <w:lang w:val="en-GB"/>
        </w:rPr>
        <w:t xml:space="preserve"> </w:t>
      </w:r>
      <w:r w:rsidRPr="00D52806">
        <w:rPr>
          <w:rFonts w:ascii="Arial" w:hAnsi="Arial" w:cs="Arial"/>
          <w:lang w:val="en-GB"/>
        </w:rPr>
        <w:t xml:space="preserve">experiment compared to </w:t>
      </w:r>
      <w:r w:rsidRPr="00D52806">
        <w:rPr>
          <w:rFonts w:ascii="Arial" w:hAnsi="Arial" w:cs="Arial"/>
          <w:i/>
          <w:lang w:val="en-GB"/>
        </w:rPr>
        <w:t>no plumes</w:t>
      </w:r>
      <w:r w:rsidRPr="00D52806">
        <w:rPr>
          <w:rFonts w:ascii="Arial" w:hAnsi="Arial" w:cs="Arial"/>
          <w:lang w:val="en-GB"/>
        </w:rPr>
        <w:t>, with a, still small</w:t>
      </w:r>
      <w:r w:rsidR="00926A3F">
        <w:rPr>
          <w:rFonts w:ascii="Arial" w:hAnsi="Arial" w:cs="Arial"/>
          <w:lang w:val="en-GB"/>
        </w:rPr>
        <w:t xml:space="preserve"> difference in</w:t>
      </w:r>
      <w:r w:rsidRPr="00D52806">
        <w:rPr>
          <w:rFonts w:ascii="Arial" w:hAnsi="Arial" w:cs="Arial"/>
          <w:lang w:val="en-GB"/>
        </w:rPr>
        <w:t>, lower land carbon uptake and consistently higher soil respiration (</w:t>
      </w:r>
      <w:r>
        <w:rPr>
          <w:rFonts w:ascii="Arial" w:hAnsi="Arial" w:cs="Arial"/>
          <w:lang w:val="en-GB"/>
        </w:rPr>
        <w:t>Figure</w:t>
      </w:r>
      <w:r w:rsidRPr="00D52806">
        <w:rPr>
          <w:rFonts w:ascii="Arial" w:hAnsi="Arial" w:cs="Arial"/>
          <w:lang w:val="en-GB"/>
        </w:rPr>
        <w:t xml:space="preserve"> S</w:t>
      </w:r>
      <w:r>
        <w:rPr>
          <w:rFonts w:ascii="Arial" w:hAnsi="Arial" w:cs="Arial"/>
          <w:lang w:val="en-GB"/>
        </w:rPr>
        <w:t>8 (c</w:t>
      </w:r>
      <w:r w:rsidRPr="00D52806">
        <w:rPr>
          <w:rFonts w:ascii="Arial" w:hAnsi="Arial" w:cs="Arial"/>
          <w:lang w:val="en-GB"/>
        </w:rPr>
        <w:t>, d</w:t>
      </w:r>
      <w:r>
        <w:rPr>
          <w:rFonts w:ascii="Arial" w:hAnsi="Arial" w:cs="Arial"/>
          <w:lang w:val="en-GB"/>
        </w:rPr>
        <w:t>)</w:t>
      </w:r>
      <w:r w:rsidRPr="00D52806">
        <w:rPr>
          <w:rFonts w:ascii="Arial" w:hAnsi="Arial" w:cs="Arial"/>
          <w:lang w:val="en-GB"/>
        </w:rPr>
        <w:t xml:space="preserve">).  Similarly, the ocean heat uptake response of the </w:t>
      </w:r>
      <w:r w:rsidRPr="00D52806">
        <w:rPr>
          <w:rFonts w:ascii="Arial" w:hAnsi="Arial" w:cs="Arial"/>
          <w:i/>
          <w:iCs/>
          <w:lang w:val="en-GB"/>
        </w:rPr>
        <w:t xml:space="preserve">no plumes </w:t>
      </w:r>
      <w:r>
        <w:rPr>
          <w:rFonts w:ascii="Arial" w:hAnsi="Arial" w:cs="Arial"/>
          <w:i/>
          <w:iCs/>
          <w:lang w:val="en-GB"/>
        </w:rPr>
        <w:t xml:space="preserve">NH </w:t>
      </w:r>
      <w:r w:rsidRPr="00D52806">
        <w:rPr>
          <w:rFonts w:ascii="Arial" w:hAnsi="Arial" w:cs="Arial"/>
          <w:lang w:val="en-GB"/>
        </w:rPr>
        <w:t>experiment shows an opposing signal (</w:t>
      </w:r>
      <w:r>
        <w:rPr>
          <w:rFonts w:ascii="Arial" w:hAnsi="Arial" w:cs="Arial"/>
          <w:lang w:val="en-GB"/>
        </w:rPr>
        <w:t>Figure</w:t>
      </w:r>
      <w:r w:rsidRPr="00D52806">
        <w:rPr>
          <w:rFonts w:ascii="Arial" w:hAnsi="Arial" w:cs="Arial"/>
          <w:lang w:val="en-GB"/>
        </w:rPr>
        <w:t xml:space="preserve"> S</w:t>
      </w:r>
      <w:r>
        <w:rPr>
          <w:rFonts w:ascii="Arial" w:hAnsi="Arial" w:cs="Arial"/>
          <w:lang w:val="en-GB"/>
        </w:rPr>
        <w:t>9 (</w:t>
      </w:r>
      <w:r w:rsidRPr="00D52806">
        <w:rPr>
          <w:rFonts w:ascii="Arial" w:hAnsi="Arial" w:cs="Arial"/>
          <w:lang w:val="en-GB"/>
        </w:rPr>
        <w:t>b</w:t>
      </w:r>
      <w:r>
        <w:rPr>
          <w:rFonts w:ascii="Arial" w:hAnsi="Arial" w:cs="Arial"/>
          <w:lang w:val="en-GB"/>
        </w:rPr>
        <w:t>)</w:t>
      </w:r>
      <w:r w:rsidRPr="00D52806">
        <w:rPr>
          <w:rFonts w:ascii="Arial" w:hAnsi="Arial" w:cs="Arial"/>
          <w:lang w:val="en-GB"/>
        </w:rPr>
        <w:t xml:space="preserve">) but alike pattern to that simulated for </w:t>
      </w:r>
      <w:r w:rsidR="00926A3F">
        <w:rPr>
          <w:rFonts w:ascii="Arial" w:hAnsi="Arial" w:cs="Arial"/>
          <w:i/>
          <w:iCs/>
          <w:lang w:val="en-GB"/>
        </w:rPr>
        <w:t>only</w:t>
      </w:r>
      <w:r>
        <w:rPr>
          <w:rFonts w:ascii="Arial" w:hAnsi="Arial" w:cs="Arial"/>
          <w:i/>
          <w:iCs/>
          <w:lang w:val="en-GB"/>
        </w:rPr>
        <w:t xml:space="preserve"> SH</w:t>
      </w:r>
      <w:r w:rsidRPr="00D52806">
        <w:rPr>
          <w:rFonts w:ascii="Arial" w:hAnsi="Arial" w:cs="Arial"/>
          <w:i/>
          <w:iCs/>
          <w:lang w:val="en-GB"/>
        </w:rPr>
        <w:t xml:space="preserve"> </w:t>
      </w:r>
      <w:r w:rsidRPr="00D52806">
        <w:rPr>
          <w:rFonts w:ascii="Arial" w:hAnsi="Arial" w:cs="Arial"/>
          <w:lang w:val="en-GB"/>
        </w:rPr>
        <w:t xml:space="preserve">experiment, with even slightly stronger uptake signals for subpolar regions in the </w:t>
      </w:r>
      <w:r>
        <w:rPr>
          <w:rFonts w:ascii="Arial" w:hAnsi="Arial" w:cs="Arial"/>
          <w:lang w:val="en-GB"/>
        </w:rPr>
        <w:t>N</w:t>
      </w:r>
      <w:r w:rsidRPr="00D52806">
        <w:rPr>
          <w:rFonts w:ascii="Arial" w:hAnsi="Arial" w:cs="Arial"/>
          <w:lang w:val="en-GB"/>
        </w:rPr>
        <w:t xml:space="preserve">orthern </w:t>
      </w:r>
      <w:r>
        <w:rPr>
          <w:rFonts w:ascii="Arial" w:hAnsi="Arial" w:cs="Arial"/>
          <w:lang w:val="en-GB"/>
        </w:rPr>
        <w:t>H</w:t>
      </w:r>
      <w:r w:rsidRPr="00D52806">
        <w:rPr>
          <w:rFonts w:ascii="Arial" w:hAnsi="Arial" w:cs="Arial"/>
          <w:lang w:val="en-GB"/>
        </w:rPr>
        <w:t xml:space="preserve">emisphere. </w:t>
      </w:r>
    </w:p>
    <w:p w:rsidR="00000B44" w:rsidRPr="00D52806" w:rsidRDefault="00000B44" w:rsidP="00000B44">
      <w:pPr>
        <w:spacing w:line="276" w:lineRule="auto"/>
        <w:jc w:val="both"/>
        <w:rPr>
          <w:rFonts w:ascii="Arial" w:hAnsi="Arial" w:cs="Arial"/>
          <w:lang w:val="en-GB"/>
        </w:rPr>
      </w:pPr>
    </w:p>
    <w:p w:rsidR="00000B44" w:rsidRPr="00D52806" w:rsidRDefault="00000B44" w:rsidP="00000B44">
      <w:pPr>
        <w:spacing w:line="276" w:lineRule="auto"/>
        <w:jc w:val="both"/>
        <w:rPr>
          <w:rFonts w:ascii="Arial" w:hAnsi="Arial" w:cs="Arial"/>
          <w:lang w:val="en-GB"/>
        </w:rPr>
      </w:pPr>
    </w:p>
    <w:p w:rsidR="00000B44" w:rsidRPr="00D52806" w:rsidRDefault="00000B44" w:rsidP="00000B44">
      <w:pPr>
        <w:spacing w:line="276" w:lineRule="auto"/>
        <w:jc w:val="both"/>
        <w:rPr>
          <w:rFonts w:ascii="Arial" w:hAnsi="Arial" w:cs="Arial"/>
          <w:lang w:val="en-GB"/>
        </w:rPr>
      </w:pPr>
      <w:r w:rsidRPr="00D52806">
        <w:rPr>
          <w:rFonts w:ascii="Arial" w:hAnsi="Arial" w:cs="Arial"/>
          <w:noProof/>
          <w:lang w:val="en-GB"/>
        </w:rPr>
        <w:drawing>
          <wp:inline distT="0" distB="0" distL="0" distR="0" wp14:anchorId="0A186A22" wp14:editId="65AC5372">
            <wp:extent cx="5943599" cy="4761577"/>
            <wp:effectExtent l="0" t="0" r="63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tretch>
                      <a:fillRect/>
                    </a:stretch>
                  </pic:blipFill>
                  <pic:spPr bwMode="auto">
                    <a:xfrm>
                      <a:off x="0" y="0"/>
                      <a:ext cx="5943599" cy="4761577"/>
                    </a:xfrm>
                    <a:prstGeom prst="rect">
                      <a:avLst/>
                    </a:prstGeom>
                    <a:noFill/>
                    <a:ln>
                      <a:noFill/>
                    </a:ln>
                  </pic:spPr>
                </pic:pic>
              </a:graphicData>
            </a:graphic>
          </wp:inline>
        </w:drawing>
      </w:r>
    </w:p>
    <w:p w:rsidR="00000B44" w:rsidRPr="007210D1" w:rsidRDefault="00000B44" w:rsidP="00000B44">
      <w:pPr>
        <w:spacing w:line="276" w:lineRule="auto"/>
        <w:jc w:val="both"/>
        <w:rPr>
          <w:rFonts w:ascii="Arial" w:hAnsi="Arial" w:cs="Arial"/>
          <w:i/>
          <w:iCs/>
          <w:lang w:val="en-GB"/>
        </w:rPr>
      </w:pPr>
      <w:r w:rsidRPr="007210D1">
        <w:rPr>
          <w:rFonts w:ascii="Arial" w:hAnsi="Arial" w:cs="Arial"/>
          <w:i/>
          <w:iCs/>
          <w:lang w:val="en-GB"/>
        </w:rPr>
        <w:t>Figure S</w:t>
      </w:r>
      <w:r>
        <w:rPr>
          <w:rFonts w:ascii="Arial" w:hAnsi="Arial" w:cs="Arial"/>
          <w:i/>
          <w:iCs/>
          <w:lang w:val="en-GB"/>
        </w:rPr>
        <w:t>8</w:t>
      </w:r>
      <w:r w:rsidRPr="007210D1">
        <w:rPr>
          <w:rFonts w:ascii="Arial" w:hAnsi="Arial" w:cs="Arial"/>
          <w:i/>
          <w:iCs/>
          <w:lang w:val="en-GB"/>
        </w:rPr>
        <w:t xml:space="preserve">. </w:t>
      </w:r>
      <w:r w:rsidRPr="007210D1">
        <w:rPr>
          <w:rFonts w:ascii="Arial" w:hAnsi="Arial" w:cs="Arial"/>
          <w:bCs/>
          <w:i/>
          <w:iCs/>
          <w:lang w:val="en-GB"/>
        </w:rPr>
        <w:t>(a, b)</w:t>
      </w:r>
      <w:r w:rsidRPr="007210D1">
        <w:rPr>
          <w:rFonts w:ascii="Arial" w:hAnsi="Arial" w:cs="Arial"/>
          <w:i/>
          <w:iCs/>
          <w:lang w:val="en-GB"/>
        </w:rPr>
        <w:t xml:space="preserve"> Land carbon uptake (W</w:t>
      </w:r>
      <w:r>
        <w:rPr>
          <w:rFonts w:ascii="Arial" w:hAnsi="Arial" w:cs="Arial"/>
          <w:i/>
          <w:iCs/>
          <w:lang w:val="en-GB"/>
        </w:rPr>
        <w:t xml:space="preserve"> </w:t>
      </w:r>
      <w:r w:rsidRPr="007210D1">
        <w:rPr>
          <w:rFonts w:ascii="Arial" w:hAnsi="Arial" w:cs="Arial"/>
          <w:i/>
          <w:iCs/>
          <w:lang w:val="en-GB"/>
        </w:rPr>
        <w:t>m</w:t>
      </w:r>
      <w:r w:rsidRPr="007210D1">
        <w:rPr>
          <w:rFonts w:ascii="Arial" w:hAnsi="Arial" w:cs="Arial"/>
          <w:i/>
          <w:iCs/>
          <w:vertAlign w:val="superscript"/>
          <w:lang w:val="en-GB"/>
        </w:rPr>
        <w:t>-2</w:t>
      </w:r>
      <w:r w:rsidRPr="007210D1">
        <w:rPr>
          <w:rFonts w:ascii="Arial" w:hAnsi="Arial" w:cs="Arial"/>
          <w:i/>
          <w:iCs/>
          <w:lang w:val="en-GB"/>
        </w:rPr>
        <w:t xml:space="preserve">) for the simulations no plumes (brown) and no plumes </w:t>
      </w:r>
      <w:r>
        <w:rPr>
          <w:rFonts w:ascii="Arial" w:hAnsi="Arial" w:cs="Arial"/>
          <w:i/>
          <w:iCs/>
          <w:lang w:val="en-GB"/>
        </w:rPr>
        <w:t>N</w:t>
      </w:r>
      <w:r w:rsidRPr="007210D1">
        <w:rPr>
          <w:rFonts w:ascii="Arial" w:hAnsi="Arial" w:cs="Arial"/>
          <w:i/>
          <w:iCs/>
          <w:lang w:val="en-GB"/>
        </w:rPr>
        <w:t>orth</w:t>
      </w:r>
      <w:r>
        <w:rPr>
          <w:rFonts w:ascii="Arial" w:hAnsi="Arial" w:cs="Arial"/>
          <w:i/>
          <w:iCs/>
          <w:lang w:val="en-GB"/>
        </w:rPr>
        <w:t>ern</w:t>
      </w:r>
      <w:r w:rsidRPr="007210D1">
        <w:rPr>
          <w:rFonts w:ascii="Arial" w:hAnsi="Arial" w:cs="Arial"/>
          <w:i/>
          <w:iCs/>
          <w:lang w:val="en-GB"/>
        </w:rPr>
        <w:t xml:space="preserve"> </w:t>
      </w:r>
      <w:r>
        <w:rPr>
          <w:rFonts w:ascii="Arial" w:hAnsi="Arial" w:cs="Arial"/>
          <w:i/>
          <w:iCs/>
          <w:lang w:val="en-GB"/>
        </w:rPr>
        <w:t>H</w:t>
      </w:r>
      <w:r w:rsidRPr="007210D1">
        <w:rPr>
          <w:rFonts w:ascii="Arial" w:hAnsi="Arial" w:cs="Arial"/>
          <w:i/>
          <w:iCs/>
          <w:lang w:val="en-GB"/>
        </w:rPr>
        <w:t xml:space="preserve">emisphere and </w:t>
      </w:r>
      <w:r w:rsidRPr="007210D1">
        <w:rPr>
          <w:rFonts w:ascii="Arial" w:hAnsi="Arial" w:cs="Arial"/>
          <w:bCs/>
          <w:i/>
          <w:iCs/>
          <w:lang w:val="en-GB"/>
        </w:rPr>
        <w:t>(c, d)</w:t>
      </w:r>
      <w:r w:rsidRPr="007210D1">
        <w:rPr>
          <w:rFonts w:ascii="Arial" w:hAnsi="Arial" w:cs="Arial"/>
          <w:i/>
          <w:iCs/>
          <w:lang w:val="en-GB"/>
        </w:rPr>
        <w:t xml:space="preserve"> no plumes </w:t>
      </w:r>
      <w:r>
        <w:rPr>
          <w:rFonts w:ascii="Arial" w:hAnsi="Arial" w:cs="Arial"/>
          <w:i/>
          <w:iCs/>
          <w:lang w:val="en-GB"/>
        </w:rPr>
        <w:t>S</w:t>
      </w:r>
      <w:r w:rsidRPr="007210D1">
        <w:rPr>
          <w:rFonts w:ascii="Arial" w:hAnsi="Arial" w:cs="Arial"/>
          <w:i/>
          <w:iCs/>
          <w:lang w:val="en-GB"/>
        </w:rPr>
        <w:t>outh</w:t>
      </w:r>
      <w:r>
        <w:rPr>
          <w:rFonts w:ascii="Arial" w:hAnsi="Arial" w:cs="Arial"/>
          <w:i/>
          <w:iCs/>
          <w:lang w:val="en-GB"/>
        </w:rPr>
        <w:t>ern</w:t>
      </w:r>
      <w:r w:rsidRPr="007210D1">
        <w:rPr>
          <w:rFonts w:ascii="Arial" w:hAnsi="Arial" w:cs="Arial"/>
          <w:i/>
          <w:iCs/>
          <w:lang w:val="en-GB"/>
        </w:rPr>
        <w:t xml:space="preserve"> </w:t>
      </w:r>
      <w:r>
        <w:rPr>
          <w:rFonts w:ascii="Arial" w:hAnsi="Arial" w:cs="Arial"/>
          <w:i/>
          <w:iCs/>
          <w:lang w:val="en-GB"/>
        </w:rPr>
        <w:t>H</w:t>
      </w:r>
      <w:r w:rsidRPr="007210D1">
        <w:rPr>
          <w:rFonts w:ascii="Arial" w:hAnsi="Arial" w:cs="Arial"/>
          <w:i/>
          <w:iCs/>
          <w:lang w:val="en-GB"/>
        </w:rPr>
        <w:t xml:space="preserve">emisphere (blue) in dashed lines referring to the left y axis. </w:t>
      </w:r>
      <w:r w:rsidRPr="007210D1">
        <w:rPr>
          <w:rFonts w:ascii="Arial" w:hAnsi="Arial" w:cs="Arial"/>
          <w:bCs/>
          <w:i/>
          <w:iCs/>
          <w:lang w:val="en-GB"/>
        </w:rPr>
        <w:t>(a, c)</w:t>
      </w:r>
      <w:r w:rsidRPr="007210D1">
        <w:rPr>
          <w:rFonts w:ascii="Arial" w:hAnsi="Arial" w:cs="Arial"/>
          <w:i/>
          <w:iCs/>
          <w:lang w:val="en-GB"/>
        </w:rPr>
        <w:t xml:space="preserve"> Soil respiration and </w:t>
      </w:r>
      <w:r w:rsidRPr="007210D1">
        <w:rPr>
          <w:rFonts w:ascii="Arial" w:hAnsi="Arial" w:cs="Arial"/>
          <w:bCs/>
          <w:i/>
          <w:iCs/>
          <w:lang w:val="en-GB"/>
        </w:rPr>
        <w:t>(b, d)</w:t>
      </w:r>
      <w:r w:rsidRPr="007210D1">
        <w:rPr>
          <w:rFonts w:ascii="Arial" w:hAnsi="Arial" w:cs="Arial"/>
          <w:i/>
          <w:iCs/>
          <w:lang w:val="en-GB"/>
        </w:rPr>
        <w:t xml:space="preserve"> net primary production in solid lines referring to the right y axis (PgC), </w:t>
      </w:r>
      <w:r w:rsidRPr="00D52806">
        <w:rPr>
          <w:rFonts w:ascii="Arial" w:hAnsi="Arial" w:cs="Arial"/>
          <w:i/>
          <w:iCs/>
          <w:lang w:val="en-GB"/>
        </w:rPr>
        <w:t xml:space="preserve">from </w:t>
      </w:r>
      <w:r>
        <w:rPr>
          <w:rFonts w:ascii="Arial" w:hAnsi="Arial" w:cs="Arial"/>
          <w:i/>
          <w:iCs/>
          <w:lang w:val="en-GB"/>
        </w:rPr>
        <w:t xml:space="preserve">the start of the </w:t>
      </w:r>
      <w:r w:rsidRPr="00D52806">
        <w:rPr>
          <w:rFonts w:ascii="Arial" w:hAnsi="Arial" w:cs="Arial"/>
          <w:i/>
          <w:iCs/>
          <w:lang w:val="en-GB"/>
        </w:rPr>
        <w:t xml:space="preserve">pre-industrial </w:t>
      </w:r>
      <w:r>
        <w:rPr>
          <w:rFonts w:ascii="Arial" w:hAnsi="Arial" w:cs="Arial"/>
          <w:i/>
          <w:iCs/>
          <w:lang w:val="en-GB"/>
        </w:rPr>
        <w:t>period in</w:t>
      </w:r>
      <w:r w:rsidRPr="00D52806">
        <w:rPr>
          <w:rFonts w:ascii="Arial" w:hAnsi="Arial" w:cs="Arial"/>
          <w:i/>
          <w:iCs/>
          <w:lang w:val="en-GB"/>
        </w:rPr>
        <w:t xml:space="preserve"> 1850 </w:t>
      </w:r>
      <w:r w:rsidRPr="007210D1">
        <w:rPr>
          <w:rFonts w:ascii="Arial" w:hAnsi="Arial" w:cs="Arial"/>
          <w:i/>
          <w:iCs/>
          <w:lang w:val="en-GB"/>
        </w:rPr>
        <w:t>until the end of the 21</w:t>
      </w:r>
      <w:r w:rsidRPr="007210D1">
        <w:rPr>
          <w:rFonts w:ascii="Arial" w:hAnsi="Arial" w:cs="Arial"/>
          <w:i/>
          <w:iCs/>
          <w:vertAlign w:val="superscript"/>
          <w:lang w:val="en-GB"/>
        </w:rPr>
        <w:t>st</w:t>
      </w:r>
      <w:r w:rsidRPr="007210D1">
        <w:rPr>
          <w:rFonts w:ascii="Arial" w:hAnsi="Arial" w:cs="Arial"/>
          <w:i/>
          <w:iCs/>
          <w:lang w:val="en-GB"/>
        </w:rPr>
        <w:t xml:space="preserve"> century. </w:t>
      </w:r>
      <w:r>
        <w:rPr>
          <w:rFonts w:ascii="Arial" w:hAnsi="Arial" w:cs="Arial"/>
          <w:i/>
          <w:iCs/>
          <w:lang w:val="en-GB"/>
        </w:rPr>
        <w:t>Please notice the right y axis is inverted.</w:t>
      </w:r>
    </w:p>
    <w:p w:rsidR="00000B44" w:rsidRPr="00D52806" w:rsidRDefault="00000B44" w:rsidP="00000B44">
      <w:pPr>
        <w:spacing w:line="276" w:lineRule="auto"/>
        <w:jc w:val="both"/>
        <w:rPr>
          <w:rFonts w:ascii="Arial" w:hAnsi="Arial" w:cs="Arial"/>
          <w:color w:val="A6A6A6" w:themeColor="background1" w:themeShade="A6"/>
          <w:lang w:val="en-GB"/>
        </w:rPr>
      </w:pPr>
      <w:r w:rsidRPr="00D52806">
        <w:rPr>
          <w:rFonts w:ascii="Arial" w:hAnsi="Arial" w:cs="Arial"/>
          <w:noProof/>
        </w:rPr>
        <w:lastRenderedPageBreak/>
        <w:drawing>
          <wp:inline distT="0" distB="0" distL="0" distR="0" wp14:anchorId="1F0A25FE" wp14:editId="63603220">
            <wp:extent cx="5881426" cy="2964694"/>
            <wp:effectExtent l="0" t="0" r="508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tretch>
                      <a:fillRect/>
                    </a:stretch>
                  </pic:blipFill>
                  <pic:spPr bwMode="auto">
                    <a:xfrm>
                      <a:off x="0" y="0"/>
                      <a:ext cx="5881426" cy="2964694"/>
                    </a:xfrm>
                    <a:prstGeom prst="rect">
                      <a:avLst/>
                    </a:prstGeom>
                    <a:noFill/>
                    <a:ln>
                      <a:noFill/>
                    </a:ln>
                  </pic:spPr>
                </pic:pic>
              </a:graphicData>
            </a:graphic>
          </wp:inline>
        </w:drawing>
      </w:r>
    </w:p>
    <w:p w:rsidR="00000B44" w:rsidRPr="007210D1" w:rsidRDefault="00000B44" w:rsidP="00000B44">
      <w:pPr>
        <w:spacing w:line="276" w:lineRule="auto"/>
        <w:jc w:val="both"/>
        <w:rPr>
          <w:rFonts w:ascii="Arial" w:hAnsi="Arial" w:cs="Arial"/>
          <w:i/>
          <w:iCs/>
          <w:lang w:val="en-GB"/>
        </w:rPr>
      </w:pPr>
      <w:r w:rsidRPr="007210D1">
        <w:rPr>
          <w:rFonts w:ascii="Arial" w:hAnsi="Arial" w:cs="Arial"/>
          <w:i/>
          <w:iCs/>
          <w:lang w:val="en-GB"/>
        </w:rPr>
        <w:t>Figure S</w:t>
      </w:r>
      <w:r>
        <w:rPr>
          <w:rFonts w:ascii="Arial" w:hAnsi="Arial" w:cs="Arial"/>
          <w:i/>
          <w:iCs/>
          <w:lang w:val="en-GB"/>
        </w:rPr>
        <w:t>9</w:t>
      </w:r>
      <w:r w:rsidRPr="007210D1">
        <w:rPr>
          <w:rFonts w:ascii="Arial" w:hAnsi="Arial" w:cs="Arial"/>
          <w:i/>
          <w:iCs/>
          <w:lang w:val="en-GB"/>
        </w:rPr>
        <w:t xml:space="preserve">. Hovmöller diagram of the difference in </w:t>
      </w:r>
      <w:r w:rsidRPr="007210D1">
        <w:rPr>
          <w:rFonts w:ascii="Arial" w:hAnsi="Arial" w:cs="Arial"/>
          <w:bCs/>
          <w:i/>
          <w:iCs/>
          <w:lang w:val="en-GB"/>
        </w:rPr>
        <w:t>(a)</w:t>
      </w:r>
      <w:r w:rsidRPr="007210D1">
        <w:rPr>
          <w:rFonts w:ascii="Arial" w:hAnsi="Arial" w:cs="Arial"/>
          <w:i/>
          <w:iCs/>
          <w:lang w:val="en-GB"/>
        </w:rPr>
        <w:t xml:space="preserve"> land carbon uptake anomaly (PgC) and </w:t>
      </w:r>
      <w:r w:rsidRPr="00233CEB">
        <w:rPr>
          <w:rFonts w:ascii="Arial" w:hAnsi="Arial" w:cs="Arial"/>
          <w:bCs/>
          <w:i/>
          <w:iCs/>
          <w:lang w:val="en-GB"/>
        </w:rPr>
        <w:t>(b)</w:t>
      </w:r>
      <w:r w:rsidRPr="007210D1">
        <w:rPr>
          <w:rFonts w:ascii="Arial" w:hAnsi="Arial" w:cs="Arial"/>
          <w:b/>
          <w:i/>
          <w:iCs/>
          <w:lang w:val="en-GB"/>
        </w:rPr>
        <w:t xml:space="preserve"> </w:t>
      </w:r>
      <w:r w:rsidRPr="007210D1">
        <w:rPr>
          <w:rFonts w:ascii="Arial" w:hAnsi="Arial" w:cs="Arial"/>
          <w:i/>
          <w:iCs/>
          <w:lang w:val="en-GB"/>
        </w:rPr>
        <w:t>ocean heat uptake anomaly (W m</w:t>
      </w:r>
      <w:r w:rsidRPr="007210D1">
        <w:rPr>
          <w:rFonts w:ascii="Arial" w:hAnsi="Arial" w:cs="Arial"/>
          <w:i/>
          <w:iCs/>
          <w:vertAlign w:val="superscript"/>
          <w:lang w:val="en-GB"/>
        </w:rPr>
        <w:t>-2</w:t>
      </w:r>
      <w:r w:rsidRPr="007210D1">
        <w:rPr>
          <w:rFonts w:ascii="Arial" w:hAnsi="Arial" w:cs="Arial"/>
          <w:i/>
          <w:iCs/>
          <w:lang w:val="en-GB"/>
        </w:rPr>
        <w:t xml:space="preserve">) between experiments no plumes only </w:t>
      </w:r>
      <w:r>
        <w:rPr>
          <w:rFonts w:ascii="Arial" w:hAnsi="Arial" w:cs="Arial"/>
          <w:i/>
          <w:iCs/>
          <w:lang w:val="en-GB"/>
        </w:rPr>
        <w:t>N</w:t>
      </w:r>
      <w:r w:rsidRPr="007210D1">
        <w:rPr>
          <w:rFonts w:ascii="Arial" w:hAnsi="Arial" w:cs="Arial"/>
          <w:i/>
          <w:iCs/>
          <w:lang w:val="en-GB"/>
        </w:rPr>
        <w:t>orth</w:t>
      </w:r>
      <w:r>
        <w:rPr>
          <w:rFonts w:ascii="Arial" w:hAnsi="Arial" w:cs="Arial"/>
          <w:i/>
          <w:iCs/>
          <w:lang w:val="en-GB"/>
        </w:rPr>
        <w:t>ern</w:t>
      </w:r>
      <w:r w:rsidRPr="007210D1">
        <w:rPr>
          <w:rFonts w:ascii="Arial" w:hAnsi="Arial" w:cs="Arial"/>
          <w:i/>
          <w:iCs/>
          <w:lang w:val="en-GB"/>
        </w:rPr>
        <w:t xml:space="preserve"> </w:t>
      </w:r>
      <w:r>
        <w:rPr>
          <w:rFonts w:ascii="Arial" w:hAnsi="Arial" w:cs="Arial"/>
          <w:i/>
          <w:iCs/>
          <w:lang w:val="en-GB"/>
        </w:rPr>
        <w:t>H</w:t>
      </w:r>
      <w:r w:rsidRPr="007210D1">
        <w:rPr>
          <w:rFonts w:ascii="Arial" w:hAnsi="Arial" w:cs="Arial"/>
          <w:i/>
          <w:iCs/>
          <w:lang w:val="en-GB"/>
        </w:rPr>
        <w:t xml:space="preserve">emisphere and no plumes </w:t>
      </w:r>
      <w:r w:rsidRPr="00D52806">
        <w:rPr>
          <w:rFonts w:ascii="Arial" w:hAnsi="Arial" w:cs="Arial"/>
          <w:i/>
          <w:iCs/>
          <w:lang w:val="en-GB"/>
        </w:rPr>
        <w:t xml:space="preserve">from </w:t>
      </w:r>
      <w:r>
        <w:rPr>
          <w:rFonts w:ascii="Arial" w:hAnsi="Arial" w:cs="Arial"/>
          <w:i/>
          <w:iCs/>
          <w:lang w:val="en-GB"/>
        </w:rPr>
        <w:t xml:space="preserve">the start of the </w:t>
      </w:r>
      <w:r w:rsidRPr="00D52806">
        <w:rPr>
          <w:rFonts w:ascii="Arial" w:hAnsi="Arial" w:cs="Arial"/>
          <w:i/>
          <w:iCs/>
          <w:lang w:val="en-GB"/>
        </w:rPr>
        <w:t xml:space="preserve">pre-industrial </w:t>
      </w:r>
      <w:r>
        <w:rPr>
          <w:rFonts w:ascii="Arial" w:hAnsi="Arial" w:cs="Arial"/>
          <w:i/>
          <w:iCs/>
          <w:lang w:val="en-GB"/>
        </w:rPr>
        <w:t>period in</w:t>
      </w:r>
      <w:r w:rsidRPr="00D52806">
        <w:rPr>
          <w:rFonts w:ascii="Arial" w:hAnsi="Arial" w:cs="Arial"/>
          <w:i/>
          <w:iCs/>
          <w:lang w:val="en-GB"/>
        </w:rPr>
        <w:t xml:space="preserve"> 1850 </w:t>
      </w:r>
      <w:r w:rsidRPr="007210D1">
        <w:rPr>
          <w:rFonts w:ascii="Arial" w:hAnsi="Arial" w:cs="Arial"/>
          <w:i/>
          <w:iCs/>
          <w:lang w:val="en-GB"/>
        </w:rPr>
        <w:t>until the end of the 21</w:t>
      </w:r>
      <w:r w:rsidRPr="007210D1">
        <w:rPr>
          <w:rFonts w:ascii="Arial" w:hAnsi="Arial" w:cs="Arial"/>
          <w:i/>
          <w:iCs/>
          <w:vertAlign w:val="superscript"/>
          <w:lang w:val="en-GB"/>
        </w:rPr>
        <w:t>st</w:t>
      </w:r>
      <w:r w:rsidRPr="007210D1">
        <w:rPr>
          <w:rFonts w:ascii="Arial" w:hAnsi="Arial" w:cs="Arial"/>
          <w:i/>
          <w:iCs/>
          <w:lang w:val="en-GB"/>
        </w:rPr>
        <w:t xml:space="preserve"> century. Values are given for a rolling latitude mean and positive values indicate </w:t>
      </w:r>
      <w:r>
        <w:rPr>
          <w:rFonts w:ascii="Arial" w:hAnsi="Arial" w:cs="Arial"/>
          <w:i/>
          <w:iCs/>
          <w:lang w:val="en-GB"/>
        </w:rPr>
        <w:t>higher</w:t>
      </w:r>
      <w:r w:rsidRPr="007210D1">
        <w:rPr>
          <w:rFonts w:ascii="Arial" w:hAnsi="Arial" w:cs="Arial"/>
          <w:i/>
          <w:iCs/>
          <w:lang w:val="en-GB"/>
        </w:rPr>
        <w:t xml:space="preserve"> fluxes on the only experiments, while negative values indicate </w:t>
      </w:r>
      <w:r>
        <w:rPr>
          <w:rFonts w:ascii="Arial" w:hAnsi="Arial" w:cs="Arial"/>
          <w:i/>
          <w:iCs/>
          <w:lang w:val="en-GB"/>
        </w:rPr>
        <w:t>lower</w:t>
      </w:r>
      <w:r w:rsidRPr="007210D1">
        <w:rPr>
          <w:rFonts w:ascii="Arial" w:hAnsi="Arial" w:cs="Arial"/>
          <w:i/>
          <w:iCs/>
          <w:lang w:val="en-GB"/>
        </w:rPr>
        <w:t xml:space="preserve"> fluxes.  </w:t>
      </w:r>
    </w:p>
    <w:p w:rsidR="00000B44" w:rsidRPr="00D52806" w:rsidRDefault="00000B44" w:rsidP="00000B44">
      <w:pPr>
        <w:spacing w:line="276" w:lineRule="auto"/>
        <w:jc w:val="both"/>
        <w:rPr>
          <w:rFonts w:ascii="Arial" w:hAnsi="Arial" w:cs="Arial"/>
          <w:lang w:val="en-GB"/>
        </w:rPr>
      </w:pPr>
    </w:p>
    <w:p w:rsidR="00000B44" w:rsidRPr="003B45EA" w:rsidRDefault="00000B44" w:rsidP="00000B44">
      <w:pPr>
        <w:pStyle w:val="subsubsub"/>
        <w:rPr>
          <w:color w:val="auto"/>
        </w:rPr>
      </w:pPr>
      <w:r w:rsidRPr="003B45EA">
        <w:rPr>
          <w:color w:val="auto"/>
        </w:rPr>
        <w:t xml:space="preserve">Further analysis on </w:t>
      </w:r>
      <w:r w:rsidRPr="003B45EA">
        <w:rPr>
          <w:i/>
          <w:iCs w:val="0"/>
          <w:color w:val="auto"/>
        </w:rPr>
        <w:t xml:space="preserve">no plumes </w:t>
      </w:r>
      <w:r>
        <w:rPr>
          <w:i/>
          <w:iCs w:val="0"/>
          <w:color w:val="auto"/>
        </w:rPr>
        <w:t>S</w:t>
      </w:r>
      <w:r w:rsidRPr="003B45EA">
        <w:rPr>
          <w:i/>
          <w:iCs w:val="0"/>
          <w:color w:val="auto"/>
        </w:rPr>
        <w:t>outh</w:t>
      </w:r>
      <w:r>
        <w:rPr>
          <w:i/>
          <w:iCs w:val="0"/>
          <w:color w:val="auto"/>
        </w:rPr>
        <w:t>ern</w:t>
      </w:r>
      <w:r w:rsidRPr="003B45EA">
        <w:rPr>
          <w:i/>
          <w:iCs w:val="0"/>
          <w:color w:val="auto"/>
        </w:rPr>
        <w:t xml:space="preserve"> </w:t>
      </w:r>
      <w:r>
        <w:rPr>
          <w:i/>
          <w:iCs w:val="0"/>
          <w:color w:val="auto"/>
        </w:rPr>
        <w:t>H</w:t>
      </w:r>
      <w:r w:rsidRPr="003B45EA">
        <w:rPr>
          <w:i/>
          <w:iCs w:val="0"/>
          <w:color w:val="auto"/>
        </w:rPr>
        <w:t>emisphere</w:t>
      </w:r>
      <w:r w:rsidRPr="003B45EA">
        <w:rPr>
          <w:color w:val="auto"/>
        </w:rPr>
        <w:t xml:space="preserve"> experiment </w:t>
      </w:r>
    </w:p>
    <w:p w:rsidR="00000B44" w:rsidRPr="00DB11D8" w:rsidRDefault="00000B44" w:rsidP="00000B44">
      <w:pPr>
        <w:pStyle w:val="subsubsub"/>
        <w:rPr>
          <w:sz w:val="16"/>
          <w:szCs w:val="16"/>
        </w:rPr>
      </w:pPr>
    </w:p>
    <w:p w:rsidR="00000B44" w:rsidRPr="00D52806" w:rsidRDefault="00000B44" w:rsidP="00000B44">
      <w:pPr>
        <w:spacing w:line="276" w:lineRule="auto"/>
        <w:jc w:val="both"/>
        <w:rPr>
          <w:rFonts w:ascii="Arial" w:hAnsi="Arial" w:cs="Arial"/>
          <w:lang w:val="en-GB"/>
        </w:rPr>
      </w:pPr>
      <w:r w:rsidRPr="00D52806">
        <w:rPr>
          <w:rFonts w:ascii="Arial" w:hAnsi="Arial" w:cs="Arial"/>
          <w:lang w:val="en-GB"/>
        </w:rPr>
        <w:t xml:space="preserve">The historical cumulative heat uptake by the Southern Ocean in the simulation with aerosols over the </w:t>
      </w:r>
      <w:r>
        <w:rPr>
          <w:rFonts w:ascii="Arial" w:hAnsi="Arial" w:cs="Arial"/>
          <w:lang w:val="en-GB"/>
        </w:rPr>
        <w:t>S</w:t>
      </w:r>
      <w:r w:rsidRPr="00D52806">
        <w:rPr>
          <w:rFonts w:ascii="Arial" w:hAnsi="Arial" w:cs="Arial"/>
          <w:lang w:val="en-GB"/>
        </w:rPr>
        <w:t xml:space="preserve">outhern </w:t>
      </w:r>
      <w:r>
        <w:rPr>
          <w:rFonts w:ascii="Arial" w:hAnsi="Arial" w:cs="Arial"/>
          <w:lang w:val="en-GB"/>
        </w:rPr>
        <w:t>H</w:t>
      </w:r>
      <w:r w:rsidRPr="00D52806">
        <w:rPr>
          <w:rFonts w:ascii="Arial" w:hAnsi="Arial" w:cs="Arial"/>
          <w:lang w:val="en-GB"/>
        </w:rPr>
        <w:t>emisphere, without any plumes, corresponds to only 39% of the model’s heat uptake, in contrast to the usual 56.6% in the default aerosol implementation with plumes and seasonality (</w:t>
      </w:r>
      <w:r>
        <w:rPr>
          <w:rFonts w:ascii="Arial" w:hAnsi="Arial" w:cs="Arial"/>
          <w:lang w:val="en-GB"/>
        </w:rPr>
        <w:t>Figure</w:t>
      </w:r>
      <w:r w:rsidRPr="00D52806">
        <w:rPr>
          <w:rFonts w:ascii="Arial" w:hAnsi="Arial" w:cs="Arial"/>
          <w:lang w:val="en-GB"/>
        </w:rPr>
        <w:t xml:space="preserve"> S</w:t>
      </w:r>
      <w:r>
        <w:rPr>
          <w:rFonts w:ascii="Arial" w:hAnsi="Arial" w:cs="Arial"/>
          <w:lang w:val="en-GB"/>
        </w:rPr>
        <w:t>10</w:t>
      </w:r>
      <w:r w:rsidRPr="00D52806">
        <w:rPr>
          <w:rFonts w:ascii="Arial" w:hAnsi="Arial" w:cs="Arial"/>
          <w:lang w:val="en-GB"/>
        </w:rPr>
        <w:t>). On the other hand, northern oceans (at latitudes higher than 30</w:t>
      </w:r>
      <w:r>
        <w:rPr>
          <w:rFonts w:ascii="Arial" w:hAnsi="Arial" w:cs="Arial"/>
          <w:lang w:val="en-GB"/>
        </w:rPr>
        <w:t>°</w:t>
      </w:r>
      <w:r w:rsidRPr="00D52806">
        <w:rPr>
          <w:rFonts w:ascii="Arial" w:hAnsi="Arial" w:cs="Arial"/>
          <w:lang w:val="en-GB"/>
        </w:rPr>
        <w:t xml:space="preserve">N) show a historical cumulative heat uptake in this experiment that is almost two times higher than what was simulated with the default UVic ESCM2.10 configuration (39.2% for the former in contrast to 22.9% for the latter). Additionally, the main </w:t>
      </w:r>
      <w:r w:rsidR="00926A3F">
        <w:rPr>
          <w:rFonts w:ascii="Arial" w:hAnsi="Arial" w:cs="Arial"/>
          <w:lang w:val="en-GB"/>
        </w:rPr>
        <w:t xml:space="preserve">ocean heat uptake </w:t>
      </w:r>
      <w:r w:rsidRPr="00D52806">
        <w:rPr>
          <w:rFonts w:ascii="Arial" w:hAnsi="Arial" w:cs="Arial"/>
          <w:lang w:val="en-GB"/>
        </w:rPr>
        <w:t xml:space="preserve">areas responding in </w:t>
      </w:r>
      <w:r w:rsidR="00926A3F">
        <w:rPr>
          <w:rFonts w:ascii="Arial" w:hAnsi="Arial" w:cs="Arial"/>
          <w:lang w:val="en-GB"/>
        </w:rPr>
        <w:t>a simulation</w:t>
      </w:r>
      <w:r w:rsidRPr="00D52806">
        <w:rPr>
          <w:rFonts w:ascii="Arial" w:hAnsi="Arial" w:cs="Arial"/>
          <w:lang w:val="en-GB"/>
        </w:rPr>
        <w:t xml:space="preserve"> where aerosols are present </w:t>
      </w:r>
      <w:r w:rsidR="00926A3F">
        <w:rPr>
          <w:rFonts w:ascii="Arial" w:hAnsi="Arial" w:cs="Arial"/>
          <w:lang w:val="en-GB"/>
        </w:rPr>
        <w:t xml:space="preserve">only </w:t>
      </w:r>
      <w:r w:rsidRPr="00D52806">
        <w:rPr>
          <w:rFonts w:ascii="Arial" w:hAnsi="Arial" w:cs="Arial"/>
          <w:lang w:val="en-GB"/>
        </w:rPr>
        <w:t xml:space="preserve">in the </w:t>
      </w:r>
      <w:r w:rsidR="00926A3F">
        <w:rPr>
          <w:rFonts w:ascii="Arial" w:hAnsi="Arial" w:cs="Arial"/>
          <w:lang w:val="en-GB"/>
        </w:rPr>
        <w:t>Southern</w:t>
      </w:r>
      <w:r w:rsidRPr="00D52806">
        <w:rPr>
          <w:rFonts w:ascii="Arial" w:hAnsi="Arial" w:cs="Arial"/>
          <w:lang w:val="en-GB"/>
        </w:rPr>
        <w:t xml:space="preserve"> </w:t>
      </w:r>
      <w:r>
        <w:rPr>
          <w:rFonts w:ascii="Arial" w:hAnsi="Arial" w:cs="Arial"/>
          <w:lang w:val="en-GB"/>
        </w:rPr>
        <w:t>H</w:t>
      </w:r>
      <w:r w:rsidRPr="00D52806">
        <w:rPr>
          <w:rFonts w:ascii="Arial" w:hAnsi="Arial" w:cs="Arial"/>
          <w:lang w:val="en-GB"/>
        </w:rPr>
        <w:t xml:space="preserve">emisphere </w:t>
      </w:r>
      <w:r w:rsidR="00926A3F">
        <w:rPr>
          <w:rFonts w:ascii="Arial" w:hAnsi="Arial" w:cs="Arial"/>
          <w:lang w:val="en-GB"/>
        </w:rPr>
        <w:t xml:space="preserve">are also found </w:t>
      </w:r>
      <w:r w:rsidR="00926A3F" w:rsidRPr="00D52806">
        <w:rPr>
          <w:rFonts w:ascii="Arial" w:hAnsi="Arial" w:cs="Arial"/>
          <w:lang w:val="en-GB"/>
        </w:rPr>
        <w:fldChar w:fldCharType="begin"/>
      </w:r>
      <w:r w:rsidR="00E110A6">
        <w:rPr>
          <w:rFonts w:ascii="Arial" w:hAnsi="Arial" w:cs="Arial"/>
          <w:lang w:val="en-GB"/>
        </w:rPr>
        <w:instrText xml:space="preserve"> ADDIN ZOTERO_ITEM CSL_CITATION {"citationID":"nEYSKB0y","properties":{"formattedCitation":"[5]","plainCitation":"[5]","noteIndex":0},"citationItems":[{"id":9910,"uris":["http://zotero.org/users/11419379/items/M6V35NWS"],"itemData":{"id":9910,"type":"article-journal","abstract":"The Southern Ocean provides dominant contributions to global ocean heat and carbon uptake, which is widely interpreted as resulting from its unique upwelling and circulation. Here we show a large asymmetry in these contributions, with the Southern Ocean accounting for 83 ± 33% of global heat uptake versus 43 ± 3% of global ocean carbon uptake over the historical period in state-of-the-art climate models. Using single radiative forcing experiments, we demonstrate that this historical asymmetry is due to suppressed heat uptake by northern oceans from enhanced aerosol forcing. In future projections, such as SSP2-4.5 where greenhouse gases increasingly dominate radiative forcing, the Southern Ocean contributions to global heat and carbon uptake become more comparable, 52 ± 5% and 47 ± 4%, respectively. Hence, the past is not a reliable indicator of the future, with the northern oceans becoming important for heat uptake while the Southern Ocean remains important for both heat and carbon uptake.","container-title":"Nature Climate Change","DOI":"10.1038/s41558-024-02066-3","ISSN":"1758-6798","issue":"8","journalAbbreviation":"Nature Climate Change","page":"823-831","title":"Asymmetries in the Southern Ocean contribution to global heat and carbon uptake","volume":"14","author":[{"family":"Williams","given":"Richard G."},{"family":"Meijers","given":"Andrew J. S."},{"family":"Roussenov","given":"Vassil M."},{"family":"Katavouta","given":"Anna"},{"family":"Ceppi","given":"Paulo"},{"family":"Rosser","given":"Jonathan P."},{"family":"Salvi","given":"Pietro"}],"issued":{"date-parts":[["2024",8,1]]}}}],"schema":"https://github.com/citation-style-language/schema/raw/master/csl-citation.json"} </w:instrText>
      </w:r>
      <w:r w:rsidR="00926A3F" w:rsidRPr="00D52806">
        <w:rPr>
          <w:rFonts w:ascii="Arial" w:hAnsi="Arial" w:cs="Arial"/>
          <w:lang w:val="en-GB"/>
        </w:rPr>
        <w:fldChar w:fldCharType="separate"/>
      </w:r>
      <w:r w:rsidR="00E110A6" w:rsidRPr="00E110A6">
        <w:rPr>
          <w:rFonts w:ascii="Arial" w:hAnsi="Arial" w:cs="Arial"/>
        </w:rPr>
        <w:t>[5]</w:t>
      </w:r>
      <w:r w:rsidR="00926A3F" w:rsidRPr="00D52806">
        <w:rPr>
          <w:rFonts w:ascii="Arial" w:hAnsi="Arial" w:cs="Arial"/>
          <w:lang w:val="en-GB"/>
        </w:rPr>
        <w:fldChar w:fldCharType="end"/>
      </w:r>
      <w:r w:rsidR="00926A3F">
        <w:rPr>
          <w:rFonts w:ascii="Arial" w:hAnsi="Arial" w:cs="Arial"/>
          <w:lang w:val="en-GB"/>
        </w:rPr>
        <w:t xml:space="preserve"> to</w:t>
      </w:r>
      <w:r w:rsidRPr="00D52806">
        <w:rPr>
          <w:rFonts w:ascii="Arial" w:hAnsi="Arial" w:cs="Arial"/>
          <w:lang w:val="en-GB"/>
        </w:rPr>
        <w:t xml:space="preserve"> hav</w:t>
      </w:r>
      <w:r w:rsidR="00926A3F">
        <w:rPr>
          <w:rFonts w:ascii="Arial" w:hAnsi="Arial" w:cs="Arial"/>
          <w:lang w:val="en-GB"/>
        </w:rPr>
        <w:t>e</w:t>
      </w:r>
      <w:r w:rsidRPr="00D52806">
        <w:rPr>
          <w:rFonts w:ascii="Arial" w:hAnsi="Arial" w:cs="Arial"/>
          <w:lang w:val="en-GB"/>
        </w:rPr>
        <w:t xml:space="preserve"> strong response patterns </w:t>
      </w:r>
      <w:r w:rsidR="00926A3F">
        <w:rPr>
          <w:rFonts w:ascii="Arial" w:hAnsi="Arial" w:cs="Arial"/>
          <w:lang w:val="en-GB"/>
        </w:rPr>
        <w:t>in</w:t>
      </w:r>
      <w:r w:rsidRPr="00D52806">
        <w:rPr>
          <w:rFonts w:ascii="Arial" w:hAnsi="Arial" w:cs="Arial"/>
          <w:lang w:val="en-GB"/>
        </w:rPr>
        <w:t xml:space="preserve"> </w:t>
      </w:r>
      <w:r w:rsidR="00926A3F">
        <w:rPr>
          <w:rFonts w:ascii="Arial" w:hAnsi="Arial" w:cs="Arial"/>
          <w:lang w:val="en-GB"/>
        </w:rPr>
        <w:t xml:space="preserve">a </w:t>
      </w:r>
      <w:r w:rsidRPr="00D52806">
        <w:rPr>
          <w:rFonts w:ascii="Arial" w:hAnsi="Arial" w:cs="Arial"/>
          <w:lang w:val="en-GB"/>
        </w:rPr>
        <w:t>simulation with only greenhouse gases and no aerosols forcing</w:t>
      </w:r>
      <w:r w:rsidR="00926A3F">
        <w:rPr>
          <w:rFonts w:ascii="Arial" w:hAnsi="Arial" w:cs="Arial"/>
          <w:lang w:val="en-GB"/>
        </w:rPr>
        <w:t xml:space="preserve"> </w:t>
      </w:r>
      <w:r w:rsidRPr="00D52806">
        <w:rPr>
          <w:rFonts w:ascii="Arial" w:hAnsi="Arial" w:cs="Arial"/>
          <w:lang w:val="en-GB"/>
        </w:rPr>
        <w:t>(</w:t>
      </w:r>
      <w:r>
        <w:rPr>
          <w:rFonts w:ascii="Arial" w:hAnsi="Arial" w:cs="Arial"/>
          <w:lang w:val="en-GB"/>
        </w:rPr>
        <w:t>F</w:t>
      </w:r>
      <w:r w:rsidRPr="00D52806">
        <w:rPr>
          <w:rFonts w:ascii="Arial" w:hAnsi="Arial" w:cs="Arial"/>
          <w:lang w:val="en-GB"/>
        </w:rPr>
        <w:t>igure S1</w:t>
      </w:r>
      <w:r>
        <w:rPr>
          <w:rFonts w:ascii="Arial" w:hAnsi="Arial" w:cs="Arial"/>
          <w:lang w:val="en-GB"/>
        </w:rPr>
        <w:t>1</w:t>
      </w:r>
      <w:r w:rsidRPr="00D52806">
        <w:rPr>
          <w:rFonts w:ascii="Arial" w:hAnsi="Arial" w:cs="Arial"/>
          <w:lang w:val="en-GB"/>
        </w:rPr>
        <w:t xml:space="preserve">). The results obtained here agree with the hypothesis posed by </w:t>
      </w:r>
      <w:r>
        <w:rPr>
          <w:rFonts w:ascii="Arial" w:hAnsi="Arial" w:cs="Arial"/>
          <w:lang w:val="en-GB"/>
        </w:rPr>
        <w:fldChar w:fldCharType="begin"/>
      </w:r>
      <w:r w:rsidR="00E110A6">
        <w:rPr>
          <w:rFonts w:ascii="Arial" w:hAnsi="Arial" w:cs="Arial"/>
          <w:lang w:val="en-GB"/>
        </w:rPr>
        <w:instrText xml:space="preserve"> ADDIN ZOTERO_ITEM CSL_CITATION {"citationID":"mtzx6spr","properties":{"formattedCitation":"[5]","plainCitation":"[5]","noteIndex":0},"citationItems":[{"id":9910,"uris":["http://zotero.org/users/11419379/items/M6V35NWS"],"itemData":{"id":9910,"type":"article-journal","abstract":"The Southern Ocean provides dominant contributions to global ocean heat and carbon uptake, which is widely interpreted as resulting from its unique upwelling and circulation. Here we show a large asymmetry in these contributions, with the Southern Ocean accounting for 83 ± 33% of global heat uptake versus 43 ± 3% of global ocean carbon uptake over the historical period in state-of-the-art climate models. Using single radiative forcing experiments, we demonstrate that this historical asymmetry is due to suppressed heat uptake by northern oceans from enhanced aerosol forcing. In future projections, such as SSP2-4.5 where greenhouse gases increasingly dominate radiative forcing, the Southern Ocean contributions to global heat and carbon uptake become more comparable, 52 ± 5% and 47 ± 4%, respectively. Hence, the past is not a reliable indicator of the future, with the northern oceans becoming important for heat uptake while the Southern Ocean remains important for both heat and carbon uptake.","container-title":"Nature Climate Change","DOI":"10.1038/s41558-024-02066-3","ISSN":"1758-6798","issue":"8","journalAbbreviation":"Nature Climate Change","page":"823-831","title":"Asymmetries in the Southern Ocean contribution to global heat and carbon uptake","volume":"14","author":[{"family":"Williams","given":"Richard G."},{"family":"Meijers","given":"Andrew J. S."},{"family":"Roussenov","given":"Vassil M."},{"family":"Katavouta","given":"Anna"},{"family":"Ceppi","given":"Paulo"},{"family":"Rosser","given":"Jonathan P."},{"family":"Salvi","given":"Pietro"}],"issued":{"date-parts":[["2024",8,1]]}}}],"schema":"https://github.com/citation-style-language/schema/raw/master/csl-citation.json"} </w:instrText>
      </w:r>
      <w:r>
        <w:rPr>
          <w:rFonts w:ascii="Arial" w:hAnsi="Arial" w:cs="Arial"/>
          <w:lang w:val="en-GB"/>
        </w:rPr>
        <w:fldChar w:fldCharType="separate"/>
      </w:r>
      <w:r w:rsidR="00E110A6" w:rsidRPr="00E110A6">
        <w:rPr>
          <w:rFonts w:ascii="Arial" w:hAnsi="Arial" w:cs="Arial"/>
        </w:rPr>
        <w:t>[5]</w:t>
      </w:r>
      <w:r>
        <w:rPr>
          <w:rFonts w:ascii="Arial" w:hAnsi="Arial" w:cs="Arial"/>
          <w:lang w:val="en-GB"/>
        </w:rPr>
        <w:fldChar w:fldCharType="end"/>
      </w:r>
      <w:r w:rsidRPr="00D52806">
        <w:rPr>
          <w:rFonts w:ascii="Arial" w:hAnsi="Arial" w:cs="Arial"/>
          <w:lang w:val="en-GB"/>
        </w:rPr>
        <w:t xml:space="preserve">, that the asymmetry in the uptake of heat and carbon by the Southern Ocean is due to the enhanced aerosols forcing over the northern oceans. </w:t>
      </w:r>
    </w:p>
    <w:p w:rsidR="00000B44" w:rsidRPr="00D52806" w:rsidRDefault="00000B44" w:rsidP="00000B44">
      <w:pPr>
        <w:spacing w:line="276" w:lineRule="auto"/>
        <w:jc w:val="both"/>
        <w:rPr>
          <w:rFonts w:ascii="Arial" w:hAnsi="Arial" w:cs="Arial"/>
          <w:lang w:val="en-GB"/>
        </w:rPr>
      </w:pPr>
    </w:p>
    <w:p w:rsidR="00000B44" w:rsidRPr="00D52806" w:rsidRDefault="00000B44" w:rsidP="00000B44">
      <w:pPr>
        <w:spacing w:line="276" w:lineRule="auto"/>
        <w:jc w:val="both"/>
        <w:rPr>
          <w:rFonts w:ascii="Arial" w:hAnsi="Arial" w:cs="Arial"/>
          <w:lang w:val="en-GB"/>
        </w:rPr>
      </w:pPr>
      <w:r w:rsidRPr="00D52806">
        <w:rPr>
          <w:rFonts w:ascii="Arial" w:hAnsi="Arial" w:cs="Arial"/>
          <w:noProof/>
          <w:lang w:val="en-GB"/>
        </w:rPr>
        <w:lastRenderedPageBreak/>
        <w:drawing>
          <wp:inline distT="0" distB="0" distL="0" distR="0" wp14:anchorId="7C6FDFF2" wp14:editId="6AEF3D73">
            <wp:extent cx="3894520" cy="26985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tretch>
                      <a:fillRect/>
                    </a:stretch>
                  </pic:blipFill>
                  <pic:spPr bwMode="auto">
                    <a:xfrm>
                      <a:off x="0" y="0"/>
                      <a:ext cx="3894520" cy="2698565"/>
                    </a:xfrm>
                    <a:prstGeom prst="rect">
                      <a:avLst/>
                    </a:prstGeom>
                    <a:noFill/>
                    <a:ln>
                      <a:noFill/>
                    </a:ln>
                  </pic:spPr>
                </pic:pic>
              </a:graphicData>
            </a:graphic>
          </wp:inline>
        </w:drawing>
      </w:r>
    </w:p>
    <w:p w:rsidR="00000B44" w:rsidRPr="007210D1" w:rsidRDefault="00000B44" w:rsidP="00000B44">
      <w:pPr>
        <w:spacing w:line="276" w:lineRule="auto"/>
        <w:jc w:val="both"/>
        <w:rPr>
          <w:rFonts w:ascii="Arial" w:hAnsi="Arial" w:cs="Arial"/>
          <w:i/>
          <w:iCs/>
          <w:lang w:val="en-GB"/>
        </w:rPr>
      </w:pPr>
      <w:r w:rsidRPr="007210D1">
        <w:rPr>
          <w:rFonts w:ascii="Arial" w:hAnsi="Arial" w:cs="Arial"/>
          <w:i/>
          <w:iCs/>
          <w:lang w:val="en-GB"/>
        </w:rPr>
        <w:t>Figure S</w:t>
      </w:r>
      <w:r>
        <w:rPr>
          <w:rFonts w:ascii="Arial" w:hAnsi="Arial" w:cs="Arial"/>
          <w:i/>
          <w:iCs/>
          <w:lang w:val="en-GB"/>
        </w:rPr>
        <w:t>10</w:t>
      </w:r>
      <w:r w:rsidRPr="007210D1">
        <w:rPr>
          <w:rFonts w:ascii="Arial" w:hAnsi="Arial" w:cs="Arial"/>
          <w:i/>
          <w:iCs/>
          <w:lang w:val="en-GB"/>
        </w:rPr>
        <w:t xml:space="preserve">. The global (black line), northern ocean (red line) and Southern Ocean (blue line) heat uptake anomalies over the historical period from 1850 to 2020 for the default monthly plumes implementation (solid lines) and the </w:t>
      </w:r>
      <w:r w:rsidR="00926A3F">
        <w:rPr>
          <w:rFonts w:ascii="Arial" w:hAnsi="Arial" w:cs="Arial"/>
          <w:i/>
          <w:iCs/>
          <w:lang w:val="en-GB"/>
        </w:rPr>
        <w:t>only</w:t>
      </w:r>
      <w:r w:rsidRPr="007210D1">
        <w:rPr>
          <w:rFonts w:ascii="Arial" w:hAnsi="Arial" w:cs="Arial"/>
          <w:i/>
          <w:iCs/>
          <w:lang w:val="en-GB"/>
        </w:rPr>
        <w:t xml:space="preserve"> </w:t>
      </w:r>
      <w:r>
        <w:rPr>
          <w:rFonts w:ascii="Arial" w:hAnsi="Arial" w:cs="Arial"/>
          <w:i/>
          <w:iCs/>
          <w:lang w:val="en-GB"/>
        </w:rPr>
        <w:t>S</w:t>
      </w:r>
      <w:r w:rsidRPr="007210D1">
        <w:rPr>
          <w:rFonts w:ascii="Arial" w:hAnsi="Arial" w:cs="Arial"/>
          <w:i/>
          <w:iCs/>
          <w:lang w:val="en-GB"/>
        </w:rPr>
        <w:t>outh</w:t>
      </w:r>
      <w:r>
        <w:rPr>
          <w:rFonts w:ascii="Arial" w:hAnsi="Arial" w:cs="Arial"/>
          <w:i/>
          <w:iCs/>
          <w:lang w:val="en-GB"/>
        </w:rPr>
        <w:t>ern</w:t>
      </w:r>
      <w:r w:rsidRPr="007210D1">
        <w:rPr>
          <w:rFonts w:ascii="Arial" w:hAnsi="Arial" w:cs="Arial"/>
          <w:i/>
          <w:iCs/>
          <w:lang w:val="en-GB"/>
        </w:rPr>
        <w:t xml:space="preserve"> </w:t>
      </w:r>
      <w:r>
        <w:rPr>
          <w:rFonts w:ascii="Arial" w:hAnsi="Arial" w:cs="Arial"/>
          <w:i/>
          <w:iCs/>
          <w:lang w:val="en-GB"/>
        </w:rPr>
        <w:t>H</w:t>
      </w:r>
      <w:r w:rsidRPr="007210D1">
        <w:rPr>
          <w:rFonts w:ascii="Arial" w:hAnsi="Arial" w:cs="Arial"/>
          <w:i/>
          <w:iCs/>
          <w:lang w:val="en-GB"/>
        </w:rPr>
        <w:t>emisphere implementation (</w:t>
      </w:r>
      <w:r w:rsidR="00D35C4E">
        <w:rPr>
          <w:rFonts w:ascii="Arial" w:hAnsi="Arial" w:cs="Arial"/>
          <w:i/>
          <w:iCs/>
          <w:lang w:val="en-GB"/>
        </w:rPr>
        <w:t>dashed</w:t>
      </w:r>
      <w:r w:rsidRPr="007210D1">
        <w:rPr>
          <w:rFonts w:ascii="Arial" w:hAnsi="Arial" w:cs="Arial"/>
          <w:i/>
          <w:iCs/>
          <w:lang w:val="en-GB"/>
        </w:rPr>
        <w:t xml:space="preserve"> lines</w:t>
      </w:r>
      <w:r>
        <w:rPr>
          <w:rFonts w:ascii="Arial" w:hAnsi="Arial" w:cs="Arial"/>
          <w:i/>
          <w:iCs/>
          <w:lang w:val="en-GB"/>
        </w:rPr>
        <w:t>)</w:t>
      </w:r>
      <w:r w:rsidRPr="007210D1">
        <w:rPr>
          <w:rFonts w:ascii="Arial" w:hAnsi="Arial" w:cs="Arial"/>
          <w:i/>
          <w:iCs/>
          <w:lang w:val="en-GB"/>
        </w:rPr>
        <w:t xml:space="preserve">, in similarity to Figure 1 </w:t>
      </w:r>
      <w:r w:rsidR="00926A3F">
        <w:rPr>
          <w:rFonts w:ascii="Arial" w:hAnsi="Arial" w:cs="Arial"/>
          <w:i/>
          <w:iCs/>
          <w:lang w:val="en-GB"/>
        </w:rPr>
        <w:t>i</w:t>
      </w:r>
      <w:r w:rsidRPr="007210D1">
        <w:rPr>
          <w:rFonts w:ascii="Arial" w:hAnsi="Arial" w:cs="Arial"/>
          <w:i/>
          <w:iCs/>
          <w:lang w:val="en-GB"/>
        </w:rPr>
        <w:t xml:space="preserve">n </w:t>
      </w:r>
      <w:r>
        <w:rPr>
          <w:rFonts w:ascii="Arial" w:hAnsi="Arial" w:cs="Arial"/>
          <w:i/>
          <w:iCs/>
          <w:lang w:val="en-GB"/>
        </w:rPr>
        <w:fldChar w:fldCharType="begin"/>
      </w:r>
      <w:r w:rsidR="00E110A6">
        <w:rPr>
          <w:rFonts w:ascii="Arial" w:hAnsi="Arial" w:cs="Arial"/>
          <w:i/>
          <w:iCs/>
          <w:lang w:val="en-GB"/>
        </w:rPr>
        <w:instrText xml:space="preserve"> ADDIN ZOTERO_ITEM CSL_CITATION {"citationID":"SQSREpyh","properties":{"formattedCitation":"[5]","plainCitation":"[5]","noteIndex":0},"citationItems":[{"id":9910,"uris":["http://zotero.org/users/11419379/items/M6V35NWS"],"itemData":{"id":9910,"type":"article-journal","abstract":"The Southern Ocean provides dominant contributions to global ocean heat and carbon uptake, which is widely interpreted as resulting from its unique upwelling and circulation. Here we show a large asymmetry in these contributions, with the Southern Ocean accounting for 83 ± 33% of global heat uptake versus 43 ± 3% of global ocean carbon uptake over the historical period in state-of-the-art climate models. Using single radiative forcing experiments, we demonstrate that this historical asymmetry is due to suppressed heat uptake by northern oceans from enhanced aerosol forcing. In future projections, such as SSP2-4.5 where greenhouse gases increasingly dominate radiative forcing, the Southern Ocean contributions to global heat and carbon uptake become more comparable, 52 ± 5% and 47 ± 4%, respectively. Hence, the past is not a reliable indicator of the future, with the northern oceans becoming important for heat uptake while the Southern Ocean remains important for both heat and carbon uptake.","container-title":"Nature Climate Change","DOI":"10.1038/s41558-024-02066-3","ISSN":"1758-6798","issue":"8","journalAbbreviation":"Nature Climate Change","page":"823-831","title":"Asymmetries in the Southern Ocean contribution to global heat and carbon uptake","volume":"14","author":[{"family":"Williams","given":"Richard G."},{"family":"Meijers","given":"Andrew J. S."},{"family":"Roussenov","given":"Vassil M."},{"family":"Katavouta","given":"Anna"},{"family":"Ceppi","given":"Paulo"},{"family":"Rosser","given":"Jonathan P."},{"family":"Salvi","given":"Pietro"}],"issued":{"date-parts":[["2024",8,1]]}}}],"schema":"https://github.com/citation-style-language/schema/raw/master/csl-citation.json"} </w:instrText>
      </w:r>
      <w:r>
        <w:rPr>
          <w:rFonts w:ascii="Arial" w:hAnsi="Arial" w:cs="Arial"/>
          <w:i/>
          <w:iCs/>
          <w:lang w:val="en-GB"/>
        </w:rPr>
        <w:fldChar w:fldCharType="separate"/>
      </w:r>
      <w:r w:rsidR="00E110A6" w:rsidRPr="00E110A6">
        <w:rPr>
          <w:rFonts w:ascii="Arial" w:hAnsi="Arial" w:cs="Arial"/>
        </w:rPr>
        <w:t>[5]</w:t>
      </w:r>
      <w:r>
        <w:rPr>
          <w:rFonts w:ascii="Arial" w:hAnsi="Arial" w:cs="Arial"/>
          <w:i/>
          <w:iCs/>
          <w:lang w:val="en-GB"/>
        </w:rPr>
        <w:fldChar w:fldCharType="end"/>
      </w:r>
      <w:r w:rsidRPr="007210D1">
        <w:rPr>
          <w:rFonts w:ascii="Arial" w:hAnsi="Arial" w:cs="Arial"/>
          <w:i/>
          <w:iCs/>
          <w:lang w:val="en-GB"/>
        </w:rPr>
        <w:t xml:space="preserve">. </w:t>
      </w:r>
    </w:p>
    <w:p w:rsidR="00000B44" w:rsidRPr="00D52806" w:rsidRDefault="00000B44" w:rsidP="00000B44">
      <w:pPr>
        <w:spacing w:line="276" w:lineRule="auto"/>
        <w:jc w:val="both"/>
        <w:rPr>
          <w:rFonts w:ascii="Arial" w:hAnsi="Arial" w:cs="Arial"/>
          <w:lang w:val="en-GB"/>
        </w:rPr>
      </w:pPr>
      <w:r w:rsidRPr="00D52806">
        <w:rPr>
          <w:rFonts w:ascii="Arial" w:hAnsi="Arial" w:cs="Arial"/>
          <w:noProof/>
          <w:lang w:val="en-GB"/>
        </w:rPr>
        <w:drawing>
          <wp:inline distT="0" distB="0" distL="0" distR="0" wp14:anchorId="77154C66" wp14:editId="0720ED5A">
            <wp:extent cx="4036847" cy="2712054"/>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stretch>
                      <a:fillRect/>
                    </a:stretch>
                  </pic:blipFill>
                  <pic:spPr bwMode="auto">
                    <a:xfrm>
                      <a:off x="0" y="0"/>
                      <a:ext cx="4036847" cy="2712054"/>
                    </a:xfrm>
                    <a:prstGeom prst="rect">
                      <a:avLst/>
                    </a:prstGeom>
                    <a:noFill/>
                    <a:ln>
                      <a:noFill/>
                    </a:ln>
                  </pic:spPr>
                </pic:pic>
              </a:graphicData>
            </a:graphic>
          </wp:inline>
        </w:drawing>
      </w:r>
    </w:p>
    <w:p w:rsidR="00000B44" w:rsidRPr="00ED125E" w:rsidRDefault="00000B44" w:rsidP="00000B44">
      <w:pPr>
        <w:spacing w:line="276" w:lineRule="auto"/>
        <w:jc w:val="both"/>
        <w:rPr>
          <w:rFonts w:ascii="Arial" w:hAnsi="Arial" w:cs="Arial"/>
          <w:i/>
          <w:iCs/>
          <w:lang w:val="en-GB"/>
        </w:rPr>
      </w:pPr>
      <w:r w:rsidRPr="00ED125E">
        <w:rPr>
          <w:rFonts w:ascii="Arial" w:hAnsi="Arial" w:cs="Arial"/>
          <w:i/>
          <w:iCs/>
          <w:lang w:val="en-GB"/>
        </w:rPr>
        <w:t>Figure S1</w:t>
      </w:r>
      <w:r>
        <w:rPr>
          <w:rFonts w:ascii="Arial" w:hAnsi="Arial" w:cs="Arial"/>
          <w:i/>
          <w:iCs/>
          <w:lang w:val="en-GB"/>
        </w:rPr>
        <w:t>1</w:t>
      </w:r>
      <w:r w:rsidRPr="00ED125E">
        <w:rPr>
          <w:rFonts w:ascii="Arial" w:hAnsi="Arial" w:cs="Arial"/>
          <w:i/>
          <w:iCs/>
          <w:lang w:val="en-GB"/>
        </w:rPr>
        <w:t>. Temporal change in surface ocean heat uptake (W</w:t>
      </w:r>
      <w:r>
        <w:rPr>
          <w:rFonts w:ascii="Arial" w:hAnsi="Arial" w:cs="Arial"/>
          <w:i/>
          <w:iCs/>
          <w:lang w:val="en-GB"/>
        </w:rPr>
        <w:t xml:space="preserve"> </w:t>
      </w:r>
      <w:r w:rsidRPr="00ED125E">
        <w:rPr>
          <w:rFonts w:ascii="Arial" w:hAnsi="Arial" w:cs="Arial"/>
          <w:i/>
          <w:iCs/>
          <w:lang w:val="en-GB"/>
        </w:rPr>
        <w:t>m</w:t>
      </w:r>
      <w:r w:rsidRPr="00ED125E">
        <w:rPr>
          <w:rFonts w:ascii="Arial" w:hAnsi="Arial" w:cs="Arial"/>
          <w:i/>
          <w:iCs/>
          <w:vertAlign w:val="superscript"/>
          <w:lang w:val="en-GB"/>
        </w:rPr>
        <w:t>-2</w:t>
      </w:r>
      <w:r w:rsidRPr="00ED125E">
        <w:rPr>
          <w:rFonts w:ascii="Arial" w:hAnsi="Arial" w:cs="Arial"/>
          <w:i/>
          <w:iCs/>
          <w:lang w:val="en-GB"/>
        </w:rPr>
        <w:t xml:space="preserve">) simulated under the experiment </w:t>
      </w:r>
      <w:r w:rsidR="00926A3F">
        <w:rPr>
          <w:rFonts w:ascii="Arial" w:hAnsi="Arial" w:cs="Arial"/>
          <w:i/>
          <w:iCs/>
          <w:lang w:val="en-GB"/>
        </w:rPr>
        <w:t>only</w:t>
      </w:r>
      <w:r w:rsidRPr="00ED125E">
        <w:rPr>
          <w:rFonts w:ascii="Arial" w:hAnsi="Arial" w:cs="Arial"/>
          <w:i/>
          <w:iCs/>
          <w:lang w:val="en-GB"/>
        </w:rPr>
        <w:t xml:space="preserve"> </w:t>
      </w:r>
      <w:r>
        <w:rPr>
          <w:rFonts w:ascii="Arial" w:hAnsi="Arial" w:cs="Arial"/>
          <w:i/>
          <w:iCs/>
          <w:lang w:val="en-GB"/>
        </w:rPr>
        <w:t>S</w:t>
      </w:r>
      <w:r w:rsidRPr="00ED125E">
        <w:rPr>
          <w:rFonts w:ascii="Arial" w:hAnsi="Arial" w:cs="Arial"/>
          <w:i/>
          <w:iCs/>
          <w:lang w:val="en-GB"/>
        </w:rPr>
        <w:t>outh</w:t>
      </w:r>
      <w:r>
        <w:rPr>
          <w:rFonts w:ascii="Arial" w:hAnsi="Arial" w:cs="Arial"/>
          <w:i/>
          <w:iCs/>
          <w:lang w:val="en-GB"/>
        </w:rPr>
        <w:t>ern</w:t>
      </w:r>
      <w:r w:rsidRPr="00ED125E">
        <w:rPr>
          <w:rFonts w:ascii="Arial" w:hAnsi="Arial" w:cs="Arial"/>
          <w:i/>
          <w:iCs/>
          <w:lang w:val="en-GB"/>
        </w:rPr>
        <w:t xml:space="preserve"> </w:t>
      </w:r>
      <w:r>
        <w:rPr>
          <w:rFonts w:ascii="Arial" w:hAnsi="Arial" w:cs="Arial"/>
          <w:i/>
          <w:iCs/>
          <w:lang w:val="en-GB"/>
        </w:rPr>
        <w:t>H</w:t>
      </w:r>
      <w:r w:rsidRPr="00ED125E">
        <w:rPr>
          <w:rFonts w:ascii="Arial" w:hAnsi="Arial" w:cs="Arial"/>
          <w:i/>
          <w:iCs/>
          <w:lang w:val="en-GB"/>
        </w:rPr>
        <w:t xml:space="preserve">emisphere for a recent decade 2005-2015 relative to a pre-industrial era decade 1850-1860, in similarity to Figure 3 (b) third panel in </w:t>
      </w:r>
      <w:r>
        <w:rPr>
          <w:rFonts w:ascii="Arial" w:hAnsi="Arial" w:cs="Arial"/>
          <w:i/>
          <w:iCs/>
          <w:lang w:val="en-GB"/>
        </w:rPr>
        <w:fldChar w:fldCharType="begin"/>
      </w:r>
      <w:r w:rsidR="00E110A6">
        <w:rPr>
          <w:rFonts w:ascii="Arial" w:hAnsi="Arial" w:cs="Arial"/>
          <w:i/>
          <w:iCs/>
          <w:lang w:val="en-GB"/>
        </w:rPr>
        <w:instrText xml:space="preserve"> ADDIN ZOTERO_ITEM CSL_CITATION {"citationID":"AMvZRmXF","properties":{"formattedCitation":"[5]","plainCitation":"[5]","noteIndex":0},"citationItems":[{"id":9910,"uris":["http://zotero.org/users/11419379/items/M6V35NWS"],"itemData":{"id":9910,"type":"article-journal","abstract":"The Southern Ocean provides dominant contributions to global ocean heat and carbon uptake, which is widely interpreted as resulting from its unique upwelling and circulation. Here we show a large asymmetry in these contributions, with the Southern Ocean accounting for 83 ± 33% of global heat uptake versus 43 ± 3% of global ocean carbon uptake over the historical period in state-of-the-art climate models. Using single radiative forcing experiments, we demonstrate that this historical asymmetry is due to suppressed heat uptake by northern oceans from enhanced aerosol forcing. In future projections, such as SSP2-4.5 where greenhouse gases increasingly dominate radiative forcing, the Southern Ocean contributions to global heat and carbon uptake become more comparable, 52 ± 5% and 47 ± 4%, respectively. Hence, the past is not a reliable indicator of the future, with the northern oceans becoming important for heat uptake while the Southern Ocean remains important for both heat and carbon uptake.","container-title":"Nature Climate Change","DOI":"10.1038/s41558-024-02066-3","ISSN":"1758-6798","issue":"8","journalAbbreviation":"Nature Climate Change","page":"823-831","title":"Asymmetries in the Southern Ocean contribution to global heat and carbon uptake","volume":"14","author":[{"family":"Williams","given":"Richard G."},{"family":"Meijers","given":"Andrew J. S."},{"family":"Roussenov","given":"Vassil M."},{"family":"Katavouta","given":"Anna"},{"family":"Ceppi","given":"Paulo"},{"family":"Rosser","given":"Jonathan P."},{"family":"Salvi","given":"Pietro"}],"issued":{"date-parts":[["2024",8,1]]}}}],"schema":"https://github.com/citation-style-language/schema/raw/master/csl-citation.json"} </w:instrText>
      </w:r>
      <w:r>
        <w:rPr>
          <w:rFonts w:ascii="Arial" w:hAnsi="Arial" w:cs="Arial"/>
          <w:i/>
          <w:iCs/>
          <w:lang w:val="en-GB"/>
        </w:rPr>
        <w:fldChar w:fldCharType="separate"/>
      </w:r>
      <w:r w:rsidR="00E110A6" w:rsidRPr="00E110A6">
        <w:rPr>
          <w:rFonts w:ascii="Arial" w:hAnsi="Arial" w:cs="Arial"/>
        </w:rPr>
        <w:t>[5]</w:t>
      </w:r>
      <w:r>
        <w:rPr>
          <w:rFonts w:ascii="Arial" w:hAnsi="Arial" w:cs="Arial"/>
          <w:i/>
          <w:iCs/>
          <w:lang w:val="en-GB"/>
        </w:rPr>
        <w:fldChar w:fldCharType="end"/>
      </w:r>
      <w:r w:rsidRPr="00ED125E">
        <w:rPr>
          <w:rFonts w:ascii="Arial" w:hAnsi="Arial" w:cs="Arial"/>
          <w:i/>
          <w:iCs/>
          <w:lang w:val="en-GB"/>
        </w:rPr>
        <w:t xml:space="preserve">. </w:t>
      </w:r>
    </w:p>
    <w:p w:rsidR="00000B44" w:rsidRDefault="00000B44" w:rsidP="00000B44">
      <w:pPr>
        <w:spacing w:line="276" w:lineRule="auto"/>
        <w:jc w:val="both"/>
      </w:pPr>
    </w:p>
    <w:p w:rsidR="00000B44" w:rsidRDefault="00000B44" w:rsidP="00000B44">
      <w:pPr>
        <w:spacing w:line="276" w:lineRule="auto"/>
        <w:jc w:val="both"/>
      </w:pPr>
    </w:p>
    <w:p w:rsidR="008711AD" w:rsidRPr="00000B44" w:rsidRDefault="00000B44" w:rsidP="00000B44">
      <w:pPr>
        <w:pStyle w:val="subsubchapter"/>
        <w:rPr>
          <w:color w:val="auto"/>
        </w:rPr>
      </w:pPr>
      <w:r w:rsidRPr="00000B44">
        <w:rPr>
          <w:color w:val="auto"/>
        </w:rPr>
        <w:lastRenderedPageBreak/>
        <w:t>References</w:t>
      </w:r>
    </w:p>
    <w:p w:rsidR="00E110A6" w:rsidRPr="00E110A6" w:rsidRDefault="00000B44" w:rsidP="00E110A6">
      <w:pPr>
        <w:pStyle w:val="Bibliography"/>
        <w:rPr>
          <w:rFonts w:ascii="Arial" w:hAnsi="Arial" w:cs="Arial"/>
        </w:rPr>
      </w:pPr>
      <w:r w:rsidRPr="00000B44">
        <w:rPr>
          <w:rFonts w:ascii="Arial" w:hAnsi="Arial" w:cs="Arial"/>
        </w:rPr>
        <w:fldChar w:fldCharType="begin"/>
      </w:r>
      <w:r w:rsidR="00E110A6">
        <w:rPr>
          <w:rFonts w:ascii="Arial" w:hAnsi="Arial" w:cs="Arial"/>
        </w:rPr>
        <w:instrText xml:space="preserve"> ADDIN ZOTERO_BIBL {"uncited":[],"omitted":[],"custom":[]} CSL_BIBLIOGRAPHY </w:instrText>
      </w:r>
      <w:r w:rsidRPr="00000B44">
        <w:rPr>
          <w:rFonts w:ascii="Arial" w:hAnsi="Arial" w:cs="Arial"/>
        </w:rPr>
        <w:fldChar w:fldCharType="separate"/>
      </w:r>
      <w:r w:rsidR="00E110A6" w:rsidRPr="00E110A6">
        <w:rPr>
          <w:rFonts w:ascii="Arial" w:hAnsi="Arial" w:cs="Arial"/>
        </w:rPr>
        <w:t>[1]</w:t>
      </w:r>
      <w:r w:rsidR="00E110A6" w:rsidRPr="00E110A6">
        <w:rPr>
          <w:rFonts w:ascii="Arial" w:hAnsi="Arial" w:cs="Arial"/>
        </w:rPr>
        <w:tab/>
        <w:t xml:space="preserve"> Roemmich D, Church J, Gilson J, Monselesan D, Sutton P and Wijffels S 2015 Unabated planetary warming and its ocean structure since 2006 </w:t>
      </w:r>
      <w:r w:rsidR="00E110A6" w:rsidRPr="00E110A6">
        <w:rPr>
          <w:rFonts w:ascii="Arial" w:hAnsi="Arial" w:cs="Arial"/>
          <w:i/>
          <w:iCs/>
        </w:rPr>
        <w:t>Nature Climate Change</w:t>
      </w:r>
      <w:r w:rsidR="00E110A6" w:rsidRPr="00E110A6">
        <w:rPr>
          <w:rFonts w:ascii="Arial" w:hAnsi="Arial" w:cs="Arial"/>
        </w:rPr>
        <w:t xml:space="preserve"> </w:t>
      </w:r>
      <w:r w:rsidR="00E110A6" w:rsidRPr="00E110A6">
        <w:rPr>
          <w:rFonts w:ascii="Arial" w:hAnsi="Arial" w:cs="Arial"/>
          <w:b/>
          <w:bCs/>
        </w:rPr>
        <w:t>5</w:t>
      </w:r>
      <w:r w:rsidR="00E110A6" w:rsidRPr="00E110A6">
        <w:rPr>
          <w:rFonts w:ascii="Arial" w:hAnsi="Arial" w:cs="Arial"/>
        </w:rPr>
        <w:t xml:space="preserve"> 240–5</w:t>
      </w:r>
    </w:p>
    <w:p w:rsidR="00E110A6" w:rsidRPr="00E110A6" w:rsidRDefault="00E110A6" w:rsidP="00E110A6">
      <w:pPr>
        <w:pStyle w:val="Bibliography"/>
        <w:rPr>
          <w:rFonts w:ascii="Arial" w:hAnsi="Arial" w:cs="Arial"/>
        </w:rPr>
      </w:pPr>
      <w:r w:rsidRPr="00E110A6">
        <w:rPr>
          <w:rFonts w:ascii="Arial" w:hAnsi="Arial" w:cs="Arial"/>
        </w:rPr>
        <w:t>[2]</w:t>
      </w:r>
      <w:r w:rsidRPr="00E110A6">
        <w:rPr>
          <w:rFonts w:ascii="Arial" w:hAnsi="Arial" w:cs="Arial"/>
        </w:rPr>
        <w:tab/>
        <w:t xml:space="preserve"> Von Schuckmann K, Cheng L, Palmer M D, Hansen J, Tassone C, Aich V, Adusumilli S, Beltrami H, Boyer T, Cuesta-Valero F J, Desbruyères D, Domingues C, García-García A, Gentine P, Gilson J, Gorfer M, Haimberger L, Ishii M, Johnson G C, Killick R, King B A, Kirchengast G, Kolodziejczyk N, Lyman J, Marzeion B, Mayer M, Monier M, Monselesan D P, Purkey S, Roemmich D, Schweiger A, Seneviratne S I, Shepherd A, Slater D A, Steiner A K, Straneo F, Timmermans M-L and Wijffels S E 2020 Heat stored in the Earth system: where does the energy go? </w:t>
      </w:r>
      <w:r w:rsidRPr="00E110A6">
        <w:rPr>
          <w:rFonts w:ascii="Arial" w:hAnsi="Arial" w:cs="Arial"/>
          <w:i/>
          <w:iCs/>
        </w:rPr>
        <w:t>Earth Syst. Sci. Data</w:t>
      </w:r>
      <w:r w:rsidRPr="00E110A6">
        <w:rPr>
          <w:rFonts w:ascii="Arial" w:hAnsi="Arial" w:cs="Arial"/>
        </w:rPr>
        <w:t xml:space="preserve"> </w:t>
      </w:r>
      <w:r w:rsidRPr="00E110A6">
        <w:rPr>
          <w:rFonts w:ascii="Arial" w:hAnsi="Arial" w:cs="Arial"/>
          <w:b/>
          <w:bCs/>
        </w:rPr>
        <w:t>12</w:t>
      </w:r>
      <w:r w:rsidRPr="00E110A6">
        <w:rPr>
          <w:rFonts w:ascii="Arial" w:hAnsi="Arial" w:cs="Arial"/>
        </w:rPr>
        <w:t xml:space="preserve"> 2013–41</w:t>
      </w:r>
    </w:p>
    <w:p w:rsidR="00E110A6" w:rsidRPr="00E110A6" w:rsidRDefault="00E110A6" w:rsidP="00E110A6">
      <w:pPr>
        <w:pStyle w:val="Bibliography"/>
        <w:rPr>
          <w:rFonts w:ascii="Arial" w:hAnsi="Arial" w:cs="Arial"/>
        </w:rPr>
      </w:pPr>
      <w:r w:rsidRPr="00E110A6">
        <w:rPr>
          <w:rFonts w:ascii="Arial" w:hAnsi="Arial" w:cs="Arial"/>
        </w:rPr>
        <w:t>[3]</w:t>
      </w:r>
      <w:r w:rsidRPr="00E110A6">
        <w:rPr>
          <w:rFonts w:ascii="Arial" w:hAnsi="Arial" w:cs="Arial"/>
        </w:rPr>
        <w:tab/>
        <w:t xml:space="preserve"> Huguenin M F, Holmes R M and England M H 2022 Drivers and distribution of global ocean heat uptake over the last half century </w:t>
      </w:r>
      <w:r w:rsidRPr="00E110A6">
        <w:rPr>
          <w:rFonts w:ascii="Arial" w:hAnsi="Arial" w:cs="Arial"/>
          <w:i/>
          <w:iCs/>
        </w:rPr>
        <w:t>Nature Communications</w:t>
      </w:r>
      <w:r w:rsidRPr="00E110A6">
        <w:rPr>
          <w:rFonts w:ascii="Arial" w:hAnsi="Arial" w:cs="Arial"/>
        </w:rPr>
        <w:t xml:space="preserve"> </w:t>
      </w:r>
      <w:r w:rsidRPr="00E110A6">
        <w:rPr>
          <w:rFonts w:ascii="Arial" w:hAnsi="Arial" w:cs="Arial"/>
          <w:b/>
          <w:bCs/>
        </w:rPr>
        <w:t>13</w:t>
      </w:r>
      <w:r w:rsidRPr="00E110A6">
        <w:rPr>
          <w:rFonts w:ascii="Arial" w:hAnsi="Arial" w:cs="Arial"/>
        </w:rPr>
        <w:t xml:space="preserve"> 4921</w:t>
      </w:r>
    </w:p>
    <w:p w:rsidR="00E110A6" w:rsidRPr="00E110A6" w:rsidRDefault="00E110A6" w:rsidP="00E110A6">
      <w:pPr>
        <w:pStyle w:val="Bibliography"/>
        <w:rPr>
          <w:rFonts w:ascii="Arial" w:hAnsi="Arial" w:cs="Arial"/>
        </w:rPr>
      </w:pPr>
      <w:r w:rsidRPr="00E110A6">
        <w:rPr>
          <w:rFonts w:ascii="Arial" w:hAnsi="Arial" w:cs="Arial"/>
        </w:rPr>
        <w:t>[4]</w:t>
      </w:r>
      <w:r w:rsidRPr="00E110A6">
        <w:rPr>
          <w:rFonts w:ascii="Arial" w:hAnsi="Arial" w:cs="Arial"/>
        </w:rPr>
        <w:tab/>
        <w:t xml:space="preserve"> Friedlingstein P, Jones M W, Andrew R M, Bakker D C E, Hauck J, Landschützer P, Le Quéré C, Luijkx I T, Peters G P, Peters W, Pongratz J, Schwingshackl C, Sitch S, Canadell J G, Ciais P, Jackson R B, Alin S R, Anthoni P, Barbero L, Bates N R, Becker M, Bellouin N, Decharme B, Bopp L, Brasika I B M, Cadule P, Chamberlain M A, Chandra N, Chau T-T-T, Chevallier F, Chini L P, Cronin M, Dou X, Enyo K, Evans W, Falk S, Feely R A, Feng L, Ford D J, Gasser T, Ghattas J, Gkritzalis T, Grassi G, Gregor L, Gruber N, Gürses Ö, Harris I, Hefner M, Heinke J, Houghton R A, Hurtt G C, Iida Y, Ilyina T, Jacobson A R, Jain A, Jarníková T, Jersild A, Jiang F, Jin Z, Joos F, Kato E, Keeling R F, Kennedy D, Klein Goldewijk K, Knauer J, Korsbakken J I, Körtzinger A, Lan X, Lefèvre N, Li H, Liu J, Liu Z, Ma L, Marland G, Mayot N, McGuire P C, McKinley G A, Meyer G, Morgan E J, Munro D R, Nakaoka S-I, Niwa Y, Olsen A, Omar A M, Ono T, Paulsen M, Pierrot D, Pocock K, Poulter B, Powis C M, Rehder G, Resplandy L, Robertson E, Rödenbeck C, Rosan T M, Schwinger J, Séférian R, Smallman T L, et al 2023 Global Carbon Budget 2023 </w:t>
      </w:r>
      <w:r w:rsidRPr="00E110A6">
        <w:rPr>
          <w:rFonts w:ascii="Arial" w:hAnsi="Arial" w:cs="Arial"/>
          <w:i/>
          <w:iCs/>
        </w:rPr>
        <w:t>Earth System Science Data</w:t>
      </w:r>
      <w:r w:rsidRPr="00E110A6">
        <w:rPr>
          <w:rFonts w:ascii="Arial" w:hAnsi="Arial" w:cs="Arial"/>
        </w:rPr>
        <w:t xml:space="preserve"> </w:t>
      </w:r>
      <w:r w:rsidRPr="00E110A6">
        <w:rPr>
          <w:rFonts w:ascii="Arial" w:hAnsi="Arial" w:cs="Arial"/>
          <w:b/>
          <w:bCs/>
        </w:rPr>
        <w:t>15</w:t>
      </w:r>
      <w:r w:rsidRPr="00E110A6">
        <w:rPr>
          <w:rFonts w:ascii="Arial" w:hAnsi="Arial" w:cs="Arial"/>
        </w:rPr>
        <w:t xml:space="preserve"> 5301–69</w:t>
      </w:r>
    </w:p>
    <w:p w:rsidR="00E110A6" w:rsidRPr="00E110A6" w:rsidRDefault="00E110A6" w:rsidP="00E110A6">
      <w:pPr>
        <w:pStyle w:val="Bibliography"/>
        <w:rPr>
          <w:rFonts w:ascii="Arial" w:hAnsi="Arial" w:cs="Arial"/>
        </w:rPr>
      </w:pPr>
      <w:r w:rsidRPr="00E110A6">
        <w:rPr>
          <w:rFonts w:ascii="Arial" w:hAnsi="Arial" w:cs="Arial"/>
        </w:rPr>
        <w:t>[5]</w:t>
      </w:r>
      <w:r w:rsidRPr="00E110A6">
        <w:rPr>
          <w:rFonts w:ascii="Arial" w:hAnsi="Arial" w:cs="Arial"/>
        </w:rPr>
        <w:tab/>
        <w:t xml:space="preserve"> Williams R G, Meijers A J S, Roussenov V M, Katavouta A, Ceppi P, Rosser J P and Salvi P 2024 Asymmetries in the Southern Ocean contribution to global heat and carbon uptake </w:t>
      </w:r>
      <w:r w:rsidRPr="00E110A6">
        <w:rPr>
          <w:rFonts w:ascii="Arial" w:hAnsi="Arial" w:cs="Arial"/>
          <w:i/>
          <w:iCs/>
        </w:rPr>
        <w:t>Nature Climate Change</w:t>
      </w:r>
      <w:r w:rsidRPr="00E110A6">
        <w:rPr>
          <w:rFonts w:ascii="Arial" w:hAnsi="Arial" w:cs="Arial"/>
        </w:rPr>
        <w:t xml:space="preserve"> </w:t>
      </w:r>
      <w:r w:rsidRPr="00E110A6">
        <w:rPr>
          <w:rFonts w:ascii="Arial" w:hAnsi="Arial" w:cs="Arial"/>
          <w:b/>
          <w:bCs/>
        </w:rPr>
        <w:t>14</w:t>
      </w:r>
      <w:r w:rsidRPr="00E110A6">
        <w:rPr>
          <w:rFonts w:ascii="Arial" w:hAnsi="Arial" w:cs="Arial"/>
        </w:rPr>
        <w:t xml:space="preserve"> 823–31</w:t>
      </w:r>
    </w:p>
    <w:p w:rsidR="00000B44" w:rsidRPr="00000B44" w:rsidRDefault="00000B44" w:rsidP="00000B44">
      <w:pPr>
        <w:pStyle w:val="subsubchapter"/>
      </w:pPr>
      <w:r w:rsidRPr="00000B44">
        <w:rPr>
          <w:sz w:val="22"/>
          <w:szCs w:val="22"/>
        </w:rPr>
        <w:fldChar w:fldCharType="end"/>
      </w:r>
    </w:p>
    <w:sectPr w:rsidR="00000B44" w:rsidRPr="00000B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800F93"/>
    <w:multiLevelType w:val="multilevel"/>
    <w:tmpl w:val="51AA5EC4"/>
    <w:lvl w:ilvl="0">
      <w:start w:val="1"/>
      <w:numFmt w:val="decimal"/>
      <w:pStyle w:val="chapter"/>
      <w:lvlText w:val="%1."/>
      <w:lvlJc w:val="left"/>
      <w:pPr>
        <w:ind w:left="360" w:hanging="360"/>
      </w:pPr>
      <w:rPr>
        <w:rFonts w:hint="default"/>
      </w:rPr>
    </w:lvl>
    <w:lvl w:ilvl="1">
      <w:start w:val="1"/>
      <w:numFmt w:val="decimal"/>
      <w:pStyle w:val="subchapter"/>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B44"/>
    <w:rsid w:val="00000B44"/>
    <w:rsid w:val="00163222"/>
    <w:rsid w:val="00862E5D"/>
    <w:rsid w:val="00926A3F"/>
    <w:rsid w:val="00A64591"/>
    <w:rsid w:val="00C908A7"/>
    <w:rsid w:val="00D35C4E"/>
    <w:rsid w:val="00D75E1C"/>
    <w:rsid w:val="00E00952"/>
    <w:rsid w:val="00E110A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A85AC"/>
  <w15:chartTrackingRefBased/>
  <w15:docId w15:val="{C59F5188-95FE-4FFB-93E6-54BC7B2A8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0B44"/>
  </w:style>
  <w:style w:type="paragraph" w:styleId="Heading1">
    <w:name w:val="heading 1"/>
    <w:basedOn w:val="Normal"/>
    <w:next w:val="Normal"/>
    <w:link w:val="Heading1Char"/>
    <w:uiPriority w:val="9"/>
    <w:qFormat/>
    <w:rsid w:val="00000B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00B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00B4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00B4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0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
    <w:name w:val="chapter"/>
    <w:basedOn w:val="Heading1"/>
    <w:qFormat/>
    <w:rsid w:val="00000B44"/>
    <w:pPr>
      <w:keepNext w:val="0"/>
      <w:keepLines w:val="0"/>
      <w:numPr>
        <w:numId w:val="1"/>
      </w:numPr>
      <w:spacing w:before="100" w:beforeAutospacing="1" w:after="100" w:afterAutospacing="1" w:line="276" w:lineRule="auto"/>
    </w:pPr>
    <w:rPr>
      <w:rFonts w:ascii="Arial" w:eastAsia="Times New Roman" w:hAnsi="Arial" w:cs="Arial"/>
      <w:bCs/>
      <w:color w:val="auto"/>
      <w:kern w:val="36"/>
      <w:szCs w:val="48"/>
    </w:rPr>
  </w:style>
  <w:style w:type="paragraph" w:customStyle="1" w:styleId="subchapter">
    <w:name w:val="subchapter"/>
    <w:basedOn w:val="Heading2"/>
    <w:link w:val="subchapterChar"/>
    <w:qFormat/>
    <w:rsid w:val="00000B44"/>
    <w:pPr>
      <w:numPr>
        <w:ilvl w:val="1"/>
        <w:numId w:val="1"/>
      </w:numPr>
      <w:spacing w:line="276" w:lineRule="auto"/>
    </w:pPr>
    <w:rPr>
      <w:rFonts w:ascii="Arial" w:hAnsi="Arial" w:cs="Arial"/>
      <w:bCs/>
      <w:color w:val="auto"/>
    </w:rPr>
  </w:style>
  <w:style w:type="character" w:customStyle="1" w:styleId="subchapterChar">
    <w:name w:val="subchapter Char"/>
    <w:basedOn w:val="DefaultParagraphFont"/>
    <w:link w:val="subchapter"/>
    <w:rsid w:val="00000B44"/>
    <w:rPr>
      <w:rFonts w:ascii="Arial" w:eastAsiaTheme="majorEastAsia" w:hAnsi="Arial" w:cs="Arial"/>
      <w:bCs/>
      <w:sz w:val="26"/>
      <w:szCs w:val="26"/>
    </w:rPr>
  </w:style>
  <w:style w:type="paragraph" w:customStyle="1" w:styleId="subsubchapter">
    <w:name w:val="subsubchapter"/>
    <w:basedOn w:val="Heading3"/>
    <w:link w:val="subsubchapterChar"/>
    <w:qFormat/>
    <w:rsid w:val="00000B44"/>
    <w:pPr>
      <w:spacing w:line="276" w:lineRule="auto"/>
      <w:ind w:left="720"/>
    </w:pPr>
    <w:rPr>
      <w:rFonts w:ascii="Arial" w:hAnsi="Arial" w:cs="Arial"/>
      <w:sz w:val="26"/>
      <w:lang w:val="en-GB"/>
    </w:rPr>
  </w:style>
  <w:style w:type="character" w:customStyle="1" w:styleId="subsubchapterChar">
    <w:name w:val="subsubchapter Char"/>
    <w:basedOn w:val="Heading3Char"/>
    <w:link w:val="subsubchapter"/>
    <w:rsid w:val="00000B44"/>
    <w:rPr>
      <w:rFonts w:ascii="Arial" w:eastAsiaTheme="majorEastAsia" w:hAnsi="Arial" w:cs="Arial"/>
      <w:color w:val="1F3763" w:themeColor="accent1" w:themeShade="7F"/>
      <w:sz w:val="26"/>
      <w:szCs w:val="24"/>
      <w:lang w:val="en-GB"/>
    </w:rPr>
  </w:style>
  <w:style w:type="paragraph" w:customStyle="1" w:styleId="subsubsub">
    <w:name w:val="subsubsub"/>
    <w:basedOn w:val="Heading4"/>
    <w:link w:val="subsubsubChar"/>
    <w:qFormat/>
    <w:rsid w:val="00000B44"/>
    <w:pPr>
      <w:spacing w:line="276" w:lineRule="auto"/>
      <w:ind w:left="1440"/>
    </w:pPr>
    <w:rPr>
      <w:rFonts w:ascii="Arial" w:hAnsi="Arial" w:cs="Arial"/>
      <w:i w:val="0"/>
      <w:sz w:val="26"/>
      <w:lang w:val="en-GB"/>
    </w:rPr>
  </w:style>
  <w:style w:type="character" w:customStyle="1" w:styleId="subsubsubChar">
    <w:name w:val="subsubsub Char"/>
    <w:basedOn w:val="Heading4Char"/>
    <w:link w:val="subsubsub"/>
    <w:rsid w:val="00000B44"/>
    <w:rPr>
      <w:rFonts w:ascii="Arial" w:eastAsiaTheme="majorEastAsia" w:hAnsi="Arial" w:cs="Arial"/>
      <w:i w:val="0"/>
      <w:iCs/>
      <w:color w:val="2F5496" w:themeColor="accent1" w:themeShade="BF"/>
      <w:sz w:val="26"/>
      <w:lang w:val="en-GB"/>
    </w:rPr>
  </w:style>
  <w:style w:type="character" w:customStyle="1" w:styleId="Heading1Char">
    <w:name w:val="Heading 1 Char"/>
    <w:basedOn w:val="DefaultParagraphFont"/>
    <w:link w:val="Heading1"/>
    <w:uiPriority w:val="9"/>
    <w:rsid w:val="00000B4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000B4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00B4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00B44"/>
    <w:rPr>
      <w:rFonts w:asciiTheme="majorHAnsi" w:eastAsiaTheme="majorEastAsia" w:hAnsiTheme="majorHAnsi" w:cstheme="majorBidi"/>
      <w:i/>
      <w:iCs/>
      <w:color w:val="2F5496" w:themeColor="accent1" w:themeShade="BF"/>
    </w:rPr>
  </w:style>
  <w:style w:type="paragraph" w:styleId="Bibliography">
    <w:name w:val="Bibliography"/>
    <w:basedOn w:val="Normal"/>
    <w:next w:val="Normal"/>
    <w:uiPriority w:val="37"/>
    <w:unhideWhenUsed/>
    <w:rsid w:val="00000B44"/>
    <w:pPr>
      <w:tabs>
        <w:tab w:val="left" w:pos="384"/>
      </w:tabs>
      <w:spacing w:after="240"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71312-5627-4440-A1E2-CABE17D13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11</Pages>
  <Words>6175</Words>
  <Characters>35201</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GEOMAR Helmholtz Center for Ocean Research Kiel</Company>
  <LinksUpToDate>false</LinksUpToDate>
  <CharactersWithSpaces>41294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Monteiro, Estela</dc:creator>
  <cp:keywords/>
  <dc:description/>
  <cp:lastModifiedBy>Monteiro, Estela</cp:lastModifiedBy>
  <cp:revision>5</cp:revision>
  <dcterms:created xsi:type="dcterms:W3CDTF">2025-08-05T14:56:00Z</dcterms:created>
  <dcterms:modified xsi:type="dcterms:W3CDTF">2025-08-31T19:38:00Z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id="5Kdj0yx0"/&gt;&lt;style id="http://www.zotero.org/styles/environmental-research-communications" hasBibliography="1" bibliographyStyleHasBeenSet="1"/&gt;&lt;prefs&gt;&lt;pref name="fieldType" value="Field"/&gt;&lt;/prefs</vt:lpwstr>
  </property>
  <property fmtid="{D5CDD505-2E9C-101B-9397-08002B2CF9AE}" pid="3" name="ZOTERO_PREF_2">
    <vt:lpwstr>&gt;&lt;/data&gt;</vt:lpwstr>
  </property>
</Properties>
</file>