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74FF9" w14:textId="77777777" w:rsidR="00BE084C" w:rsidRPr="00E870AA" w:rsidRDefault="00BE084C" w:rsidP="00BE084C">
      <w:pPr>
        <w:spacing w:line="360" w:lineRule="auto"/>
        <w:jc w:val="center"/>
        <w:rPr>
          <w:rFonts w:ascii="Times New Roman" w:hAnsi="Times New Roman" w:cs="Times New Roman"/>
          <w:b/>
          <w:sz w:val="22"/>
          <w:u w:val="single"/>
        </w:rPr>
      </w:pPr>
      <w:r w:rsidRPr="00E870AA">
        <w:rPr>
          <w:rFonts w:ascii="Times New Roman" w:hAnsi="Times New Roman" w:cs="Times New Roman" w:hint="eastAsia"/>
          <w:b/>
          <w:sz w:val="22"/>
          <w:u w:val="single"/>
        </w:rPr>
        <w:t>Ta</w:t>
      </w:r>
      <w:r w:rsidRPr="00E870AA">
        <w:rPr>
          <w:rFonts w:ascii="Times New Roman" w:hAnsi="Times New Roman" w:cs="Times New Roman"/>
          <w:b/>
          <w:sz w:val="22"/>
          <w:u w:val="single"/>
        </w:rPr>
        <w:t>ble of contents</w:t>
      </w:r>
    </w:p>
    <w:p w14:paraId="67D3DBCC" w14:textId="77777777" w:rsidR="00BE084C" w:rsidRPr="00E870AA" w:rsidRDefault="00BE084C" w:rsidP="00BE084C">
      <w:pPr>
        <w:spacing w:line="360" w:lineRule="auto"/>
        <w:jc w:val="center"/>
        <w:rPr>
          <w:rFonts w:ascii="Times New Roman" w:hAnsi="Times New Roman" w:cs="Times New Roman"/>
          <w:b/>
          <w:sz w:val="22"/>
          <w:u w:val="single"/>
        </w:rPr>
      </w:pPr>
    </w:p>
    <w:p w14:paraId="45A400DE" w14:textId="577CEFD6" w:rsidR="00BE084C" w:rsidRDefault="00BE084C" w:rsidP="00BE084C">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ppendix</w:t>
      </w:r>
      <w:r w:rsidR="00D25BCD">
        <w:rPr>
          <w:rFonts w:ascii="Times New Roman" w:hAnsi="Times New Roman" w:cs="Times New Roman" w:hint="eastAsia"/>
          <w:sz w:val="22"/>
        </w:rPr>
        <w:t xml:space="preserve"> 1</w:t>
      </w:r>
      <w:r w:rsidRPr="00E870AA">
        <w:rPr>
          <w:rFonts w:ascii="Times New Roman" w:hAnsi="Times New Roman" w:cs="Times New Roman"/>
          <w:sz w:val="22"/>
        </w:rPr>
        <w:t>. Code utilization from various code classification systems</w:t>
      </w:r>
    </w:p>
    <w:p w14:paraId="6F09CE04" w14:textId="148FCA40" w:rsidR="00032DC5" w:rsidRPr="00032DC5" w:rsidRDefault="00032DC5" w:rsidP="00BE084C">
      <w:pPr>
        <w:spacing w:line="360" w:lineRule="auto"/>
        <w:rPr>
          <w:rFonts w:ascii="Times New Roman" w:hAnsi="Times New Roman" w:cs="Times New Roman" w:hint="eastAsia"/>
          <w:sz w:val="22"/>
        </w:rPr>
      </w:pPr>
      <w:r>
        <w:rPr>
          <w:rFonts w:ascii="Times New Roman" w:hAnsi="Times New Roman" w:cs="Times New Roman" w:hint="eastAsia"/>
          <w:sz w:val="22"/>
        </w:rPr>
        <w:t>Ap</w:t>
      </w:r>
      <w:r>
        <w:rPr>
          <w:rFonts w:ascii="Times New Roman" w:hAnsi="Times New Roman" w:cs="Times New Roman"/>
          <w:sz w:val="22"/>
        </w:rPr>
        <w:t xml:space="preserve">pendix 2. </w:t>
      </w:r>
      <w:r w:rsidR="005C60AB">
        <w:rPr>
          <w:rFonts w:ascii="Times New Roman" w:hAnsi="Times New Roman" w:cs="Times New Roman"/>
          <w:sz w:val="22"/>
        </w:rPr>
        <w:t>Outcome measurement results of glaucoma subtypes in the primary analysis</w:t>
      </w:r>
    </w:p>
    <w:p w14:paraId="2AA7F03C" w14:textId="6B4EA3BB" w:rsidR="00D25BCD" w:rsidRDefault="00D25BCD" w:rsidP="00BE084C">
      <w:pPr>
        <w:spacing w:line="360" w:lineRule="auto"/>
        <w:rPr>
          <w:rFonts w:ascii="Times New Roman" w:hAnsi="Times New Roman" w:cs="Times New Roman"/>
          <w:sz w:val="22"/>
        </w:rPr>
      </w:pPr>
      <w:r>
        <w:rPr>
          <w:rFonts w:ascii="Times New Roman" w:hAnsi="Times New Roman" w:cs="Times New Roman"/>
          <w:sz w:val="22"/>
        </w:rPr>
        <w:t xml:space="preserve">Appendix </w:t>
      </w:r>
      <w:r w:rsidR="00032DC5">
        <w:rPr>
          <w:rFonts w:ascii="Times New Roman" w:hAnsi="Times New Roman" w:cs="Times New Roman"/>
          <w:sz w:val="22"/>
        </w:rPr>
        <w:t>3</w:t>
      </w:r>
      <w:r>
        <w:rPr>
          <w:rFonts w:ascii="Times New Roman" w:hAnsi="Times New Roman" w:cs="Times New Roman"/>
          <w:sz w:val="22"/>
        </w:rPr>
        <w:t xml:space="preserve">. </w:t>
      </w:r>
      <w:bookmarkStart w:id="0" w:name="_Hlk191558662"/>
      <w:r>
        <w:rPr>
          <w:rFonts w:ascii="Times New Roman" w:hAnsi="Times New Roman" w:cs="Times New Roman"/>
          <w:sz w:val="22"/>
        </w:rPr>
        <w:t>Cochran’s Q-test results for heterogeneity assessment in subgroup analysis</w:t>
      </w:r>
      <w:bookmarkEnd w:id="0"/>
    </w:p>
    <w:p w14:paraId="42EC3CC3" w14:textId="27105B1A" w:rsidR="005C60AB" w:rsidRPr="00D25BCD" w:rsidRDefault="005C60AB" w:rsidP="00BE084C">
      <w:pPr>
        <w:spacing w:line="360" w:lineRule="auto"/>
        <w:rPr>
          <w:rFonts w:ascii="Times New Roman" w:hAnsi="Times New Roman" w:cs="Times New Roman" w:hint="eastAsia"/>
          <w:sz w:val="22"/>
        </w:rPr>
      </w:pPr>
      <w:r>
        <w:rPr>
          <w:rFonts w:ascii="Times New Roman" w:hAnsi="Times New Roman" w:cs="Times New Roman" w:hint="eastAsia"/>
          <w:sz w:val="22"/>
        </w:rPr>
        <w:t>A</w:t>
      </w:r>
      <w:r>
        <w:rPr>
          <w:rFonts w:ascii="Times New Roman" w:hAnsi="Times New Roman" w:cs="Times New Roman"/>
          <w:sz w:val="22"/>
        </w:rPr>
        <w:t>ppendix 4. Outcome measurement results of glaucoma subtypes in the sensitivity analysis</w:t>
      </w:r>
    </w:p>
    <w:p w14:paraId="3FC223BC" w14:textId="77777777" w:rsidR="00BE084C" w:rsidRPr="00E870AA" w:rsidRDefault="00BE084C" w:rsidP="00BE084C">
      <w:pPr>
        <w:widowControl/>
        <w:rPr>
          <w:rFonts w:ascii="Times New Roman" w:hAnsi="Times New Roman" w:cs="Times New Roman"/>
          <w:sz w:val="22"/>
        </w:rPr>
      </w:pPr>
      <w:r w:rsidRPr="00E870AA">
        <w:rPr>
          <w:rFonts w:ascii="Times New Roman" w:hAnsi="Times New Roman" w:cs="Times New Roman"/>
          <w:sz w:val="22"/>
        </w:rPr>
        <w:br w:type="page"/>
      </w:r>
    </w:p>
    <w:p w14:paraId="15E1AA08" w14:textId="77777777" w:rsidR="00BE084C" w:rsidRPr="00E870AA" w:rsidRDefault="00BE084C" w:rsidP="00BE084C">
      <w:pPr>
        <w:spacing w:line="360" w:lineRule="auto"/>
        <w:rPr>
          <w:rFonts w:ascii="Times New Roman" w:hAnsi="Times New Roman" w:cs="Times New Roman"/>
          <w:b/>
          <w:sz w:val="22"/>
        </w:rPr>
      </w:pPr>
      <w:r w:rsidRPr="00E870AA">
        <w:rPr>
          <w:rFonts w:ascii="Times New Roman" w:hAnsi="Times New Roman" w:cs="Times New Roman" w:hint="eastAsia"/>
          <w:b/>
          <w:sz w:val="22"/>
        </w:rPr>
        <w:lastRenderedPageBreak/>
        <w:t>A</w:t>
      </w:r>
      <w:r w:rsidRPr="00E870AA">
        <w:rPr>
          <w:rFonts w:ascii="Times New Roman" w:hAnsi="Times New Roman" w:cs="Times New Roman"/>
          <w:b/>
          <w:sz w:val="22"/>
        </w:rPr>
        <w:t>ppendix 1. Code utilization from various code classification systems</w:t>
      </w:r>
    </w:p>
    <w:tbl>
      <w:tblPr>
        <w:tblStyle w:val="a7"/>
        <w:tblW w:w="0" w:type="auto"/>
        <w:tblLook w:val="04A0" w:firstRow="1" w:lastRow="0" w:firstColumn="1" w:lastColumn="0" w:noHBand="0" w:noVBand="1"/>
      </w:tblPr>
      <w:tblGrid>
        <w:gridCol w:w="3539"/>
        <w:gridCol w:w="4757"/>
      </w:tblGrid>
      <w:tr w:rsidR="00BE084C" w:rsidRPr="00E870AA" w14:paraId="5E2E6194" w14:textId="77777777" w:rsidTr="00E526AF">
        <w:tc>
          <w:tcPr>
            <w:tcW w:w="3539" w:type="dxa"/>
          </w:tcPr>
          <w:p w14:paraId="0D44BA5E"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F</w:t>
            </w:r>
            <w:r w:rsidRPr="00E870AA">
              <w:rPr>
                <w:rFonts w:ascii="Times New Roman" w:hAnsi="Times New Roman" w:cs="Times New Roman"/>
                <w:sz w:val="22"/>
              </w:rPr>
              <w:t>ibromyalgia</w:t>
            </w:r>
          </w:p>
        </w:tc>
        <w:tc>
          <w:tcPr>
            <w:tcW w:w="4757" w:type="dxa"/>
          </w:tcPr>
          <w:p w14:paraId="20AE6A3D"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M79.7</w:t>
            </w:r>
          </w:p>
        </w:tc>
      </w:tr>
      <w:tr w:rsidR="00BE084C" w:rsidRPr="00E870AA" w14:paraId="460E8947" w14:textId="77777777" w:rsidTr="00E526AF">
        <w:tc>
          <w:tcPr>
            <w:tcW w:w="3539" w:type="dxa"/>
          </w:tcPr>
          <w:p w14:paraId="3462462E"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G</w:t>
            </w:r>
            <w:r w:rsidRPr="00E870AA">
              <w:rPr>
                <w:rFonts w:ascii="Times New Roman" w:hAnsi="Times New Roman" w:cs="Times New Roman"/>
                <w:sz w:val="22"/>
              </w:rPr>
              <w:t>laucoma*</w:t>
            </w:r>
          </w:p>
        </w:tc>
        <w:tc>
          <w:tcPr>
            <w:tcW w:w="4757" w:type="dxa"/>
          </w:tcPr>
          <w:p w14:paraId="392B1D44"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H40.1</w:t>
            </w:r>
            <w:r>
              <w:rPr>
                <w:rFonts w:ascii="Times New Roman" w:hAnsi="Times New Roman" w:cs="Times New Roman"/>
                <w:sz w:val="22"/>
              </w:rPr>
              <w:t>, H40.2, H40.6, H40.9</w:t>
            </w:r>
          </w:p>
        </w:tc>
      </w:tr>
      <w:tr w:rsidR="00BE084C" w:rsidRPr="00E870AA" w14:paraId="7374C988" w14:textId="77777777" w:rsidTr="00E526AF">
        <w:tc>
          <w:tcPr>
            <w:tcW w:w="3539" w:type="dxa"/>
          </w:tcPr>
          <w:p w14:paraId="36B53EE3"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ngle-closure glaucoma</w:t>
            </w:r>
          </w:p>
        </w:tc>
        <w:tc>
          <w:tcPr>
            <w:tcW w:w="4757" w:type="dxa"/>
          </w:tcPr>
          <w:p w14:paraId="623A58FD"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H40.2</w:t>
            </w:r>
          </w:p>
        </w:tc>
      </w:tr>
      <w:tr w:rsidR="00BE084C" w:rsidRPr="00E870AA" w14:paraId="68424B66" w14:textId="77777777" w:rsidTr="00E526AF">
        <w:tc>
          <w:tcPr>
            <w:tcW w:w="3539" w:type="dxa"/>
          </w:tcPr>
          <w:p w14:paraId="62646EA0"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O</w:t>
            </w:r>
            <w:r w:rsidRPr="00E870AA">
              <w:rPr>
                <w:rFonts w:ascii="Times New Roman" w:hAnsi="Times New Roman" w:cs="Times New Roman"/>
                <w:sz w:val="22"/>
              </w:rPr>
              <w:t>pen-angle glaucoma</w:t>
            </w:r>
          </w:p>
        </w:tc>
        <w:tc>
          <w:tcPr>
            <w:tcW w:w="4757" w:type="dxa"/>
          </w:tcPr>
          <w:p w14:paraId="41F4D2A8"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H40.1</w:t>
            </w:r>
          </w:p>
        </w:tc>
      </w:tr>
      <w:tr w:rsidR="00BE084C" w:rsidRPr="00E870AA" w14:paraId="68476FEE" w14:textId="77777777" w:rsidTr="00E526AF">
        <w:tc>
          <w:tcPr>
            <w:tcW w:w="3539" w:type="dxa"/>
          </w:tcPr>
          <w:p w14:paraId="52537620" w14:textId="77777777" w:rsidR="00BE084C"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G</w:t>
            </w:r>
            <w:r w:rsidRPr="00E870AA">
              <w:rPr>
                <w:rFonts w:ascii="Times New Roman" w:hAnsi="Times New Roman" w:cs="Times New Roman"/>
                <w:sz w:val="22"/>
              </w:rPr>
              <w:t>laucoma-related interventions</w:t>
            </w:r>
          </w:p>
          <w:p w14:paraId="66E77CF1"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sz w:val="22"/>
              </w:rPr>
              <w:t>were utilized for the exclusion criteria in cohort construction)</w:t>
            </w:r>
          </w:p>
        </w:tc>
        <w:tc>
          <w:tcPr>
            <w:tcW w:w="4757" w:type="dxa"/>
          </w:tcPr>
          <w:p w14:paraId="59B12927"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C</w:t>
            </w:r>
            <w:r w:rsidRPr="00E870AA">
              <w:rPr>
                <w:rFonts w:ascii="Times New Roman" w:hAnsi="Times New Roman" w:cs="Times New Roman"/>
                <w:sz w:val="22"/>
              </w:rPr>
              <w:t>PT:</w:t>
            </w:r>
          </w:p>
          <w:p w14:paraId="7C84A3D1"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65820: Goniotomy</w:t>
            </w:r>
          </w:p>
          <w:p w14:paraId="078D834A"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65850: Trabeculotomy ab </w:t>
            </w:r>
            <w:proofErr w:type="spellStart"/>
            <w:r w:rsidRPr="00E870AA">
              <w:rPr>
                <w:rFonts w:ascii="Times New Roman" w:hAnsi="Times New Roman" w:cs="Times New Roman"/>
                <w:sz w:val="22"/>
              </w:rPr>
              <w:t>externo</w:t>
            </w:r>
            <w:proofErr w:type="spellEnd"/>
          </w:p>
          <w:p w14:paraId="5AF252D2"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65865: Severing adhesions of anterior segment of eye, incisional technique (with or without injection of air or liquid); </w:t>
            </w:r>
            <w:proofErr w:type="spellStart"/>
            <w:r w:rsidRPr="00E870AA">
              <w:rPr>
                <w:rFonts w:ascii="Times New Roman" w:hAnsi="Times New Roman" w:cs="Times New Roman"/>
                <w:sz w:val="22"/>
              </w:rPr>
              <w:t>goniosynechiae</w:t>
            </w:r>
            <w:proofErr w:type="spellEnd"/>
          </w:p>
          <w:p w14:paraId="1D60312F"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66150: </w:t>
            </w:r>
            <w:proofErr w:type="spellStart"/>
            <w:r w:rsidRPr="00E870AA">
              <w:rPr>
                <w:rFonts w:ascii="Times New Roman" w:hAnsi="Times New Roman" w:cs="Times New Roman"/>
                <w:sz w:val="22"/>
              </w:rPr>
              <w:t>Fistulization</w:t>
            </w:r>
            <w:proofErr w:type="spellEnd"/>
            <w:r w:rsidRPr="00E870AA">
              <w:rPr>
                <w:rFonts w:ascii="Times New Roman" w:hAnsi="Times New Roman" w:cs="Times New Roman"/>
                <w:sz w:val="22"/>
              </w:rPr>
              <w:t xml:space="preserve"> of sclera for glaucoma; trephination with iridectomy</w:t>
            </w:r>
          </w:p>
          <w:p w14:paraId="0E4BAB53"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66155: </w:t>
            </w:r>
            <w:proofErr w:type="spellStart"/>
            <w:r w:rsidRPr="00E870AA">
              <w:rPr>
                <w:rFonts w:ascii="Times New Roman" w:hAnsi="Times New Roman" w:cs="Times New Roman"/>
                <w:sz w:val="22"/>
              </w:rPr>
              <w:t>Fistulization</w:t>
            </w:r>
            <w:proofErr w:type="spellEnd"/>
            <w:r w:rsidRPr="00E870AA">
              <w:rPr>
                <w:rFonts w:ascii="Times New Roman" w:hAnsi="Times New Roman" w:cs="Times New Roman"/>
                <w:sz w:val="22"/>
              </w:rPr>
              <w:t xml:space="preserve"> of sclera for glaucoma; </w:t>
            </w:r>
            <w:proofErr w:type="spellStart"/>
            <w:r w:rsidRPr="00E870AA">
              <w:rPr>
                <w:rFonts w:ascii="Times New Roman" w:hAnsi="Times New Roman" w:cs="Times New Roman"/>
                <w:sz w:val="22"/>
              </w:rPr>
              <w:t>thermocauterization</w:t>
            </w:r>
            <w:proofErr w:type="spellEnd"/>
            <w:r w:rsidRPr="00E870AA">
              <w:rPr>
                <w:rFonts w:ascii="Times New Roman" w:hAnsi="Times New Roman" w:cs="Times New Roman"/>
                <w:sz w:val="22"/>
              </w:rPr>
              <w:t xml:space="preserve"> with iridectomy</w:t>
            </w:r>
          </w:p>
          <w:p w14:paraId="07F83B10"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66160: </w:t>
            </w:r>
            <w:proofErr w:type="spellStart"/>
            <w:r w:rsidRPr="00E870AA">
              <w:rPr>
                <w:rFonts w:ascii="Times New Roman" w:hAnsi="Times New Roman" w:cs="Times New Roman"/>
                <w:sz w:val="22"/>
              </w:rPr>
              <w:t>Fistulization</w:t>
            </w:r>
            <w:proofErr w:type="spellEnd"/>
            <w:r w:rsidRPr="00E870AA">
              <w:rPr>
                <w:rFonts w:ascii="Times New Roman" w:hAnsi="Times New Roman" w:cs="Times New Roman"/>
                <w:sz w:val="22"/>
              </w:rPr>
              <w:t xml:space="preserve"> of sclera for glaucoma; sclerectomy with punch or scissors, with iridectomy</w:t>
            </w:r>
          </w:p>
          <w:p w14:paraId="58FE9939"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66170: </w:t>
            </w:r>
            <w:proofErr w:type="spellStart"/>
            <w:r w:rsidRPr="00E870AA">
              <w:rPr>
                <w:rFonts w:ascii="Times New Roman" w:hAnsi="Times New Roman" w:cs="Times New Roman"/>
                <w:sz w:val="22"/>
              </w:rPr>
              <w:t>Fistulization</w:t>
            </w:r>
            <w:proofErr w:type="spellEnd"/>
            <w:r w:rsidRPr="00E870AA">
              <w:rPr>
                <w:rFonts w:ascii="Times New Roman" w:hAnsi="Times New Roman" w:cs="Times New Roman"/>
                <w:sz w:val="22"/>
              </w:rPr>
              <w:t xml:space="preserve"> of sclera for glaucoma; trabeculectomy ab </w:t>
            </w:r>
            <w:proofErr w:type="spellStart"/>
            <w:r w:rsidRPr="00E870AA">
              <w:rPr>
                <w:rFonts w:ascii="Times New Roman" w:hAnsi="Times New Roman" w:cs="Times New Roman"/>
                <w:sz w:val="22"/>
              </w:rPr>
              <w:t>externo</w:t>
            </w:r>
            <w:proofErr w:type="spellEnd"/>
            <w:r w:rsidRPr="00E870AA">
              <w:rPr>
                <w:rFonts w:ascii="Times New Roman" w:hAnsi="Times New Roman" w:cs="Times New Roman"/>
                <w:sz w:val="22"/>
              </w:rPr>
              <w:t xml:space="preserve"> in absence of previous surgery</w:t>
            </w:r>
          </w:p>
          <w:p w14:paraId="3A48F354"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66172: </w:t>
            </w:r>
            <w:proofErr w:type="spellStart"/>
            <w:r w:rsidRPr="00E870AA">
              <w:rPr>
                <w:rFonts w:ascii="Times New Roman" w:hAnsi="Times New Roman" w:cs="Times New Roman"/>
                <w:sz w:val="22"/>
              </w:rPr>
              <w:t>Fistulization</w:t>
            </w:r>
            <w:proofErr w:type="spellEnd"/>
            <w:r w:rsidRPr="00E870AA">
              <w:rPr>
                <w:rFonts w:ascii="Times New Roman" w:hAnsi="Times New Roman" w:cs="Times New Roman"/>
                <w:sz w:val="22"/>
              </w:rPr>
              <w:t xml:space="preserve"> of sclera for glaucoma; trabeculectomy ab </w:t>
            </w:r>
            <w:proofErr w:type="spellStart"/>
            <w:r w:rsidRPr="00E870AA">
              <w:rPr>
                <w:rFonts w:ascii="Times New Roman" w:hAnsi="Times New Roman" w:cs="Times New Roman"/>
                <w:sz w:val="22"/>
              </w:rPr>
              <w:t>externo</w:t>
            </w:r>
            <w:proofErr w:type="spellEnd"/>
            <w:r w:rsidRPr="00E870AA">
              <w:rPr>
                <w:rFonts w:ascii="Times New Roman" w:hAnsi="Times New Roman" w:cs="Times New Roman"/>
                <w:sz w:val="22"/>
              </w:rPr>
              <w:t xml:space="preserve"> with scarring from previous ocular surgery or trauma (includes injection of antifibrotic agents)</w:t>
            </w:r>
          </w:p>
          <w:p w14:paraId="1BABAC45"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lastRenderedPageBreak/>
              <w:t>66174: Transluminal dilation of aqueous outflow canal (e.g., canaloplasty); without retention of device or stent</w:t>
            </w:r>
          </w:p>
          <w:p w14:paraId="23FC82DF"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66175: Transluminal dilation of aqueous outflow canal (e.g., canaloplasty); with retention of device or stent</w:t>
            </w:r>
          </w:p>
          <w:p w14:paraId="29357A82"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66179: Aqueous shunt to extraocular equatorial plate reservoir, external approach; without graft</w:t>
            </w:r>
          </w:p>
          <w:p w14:paraId="03A98A5F"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66180: Aqueous shunt to extraocular equatorial plate reservoir, external approach; with graft</w:t>
            </w:r>
          </w:p>
          <w:p w14:paraId="1A2E1A62"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66183: Insertion of anterior segment aqueous drainage device, without extraocular reservoir, external approach</w:t>
            </w:r>
          </w:p>
          <w:p w14:paraId="75B6DA18"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66184: Revision of aqueous shunt to extraocular equatorial plate reservoir; without graft</w:t>
            </w:r>
          </w:p>
          <w:p w14:paraId="02D9C947"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66185: Revision of aqueous shunt to extraocular equatorial plate reservoir; with graft</w:t>
            </w:r>
          </w:p>
          <w:p w14:paraId="780B5453"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66500: Iridotomy by stab incision (separate procedure); except transfixion</w:t>
            </w:r>
          </w:p>
          <w:p w14:paraId="65AEE272"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66505: Iridotomy by stab incision (separate procedure); with transfixion as for iris bombe</w:t>
            </w:r>
          </w:p>
          <w:p w14:paraId="01322EB9"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66625: Iridectomy, with corneoscleral or corneal section; peripheral for glaucoma (separate procedure)</w:t>
            </w:r>
          </w:p>
          <w:p w14:paraId="7D37139E"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66630: Iridectomy, with corneoscleral or corneal </w:t>
            </w:r>
            <w:r w:rsidRPr="00E870AA">
              <w:rPr>
                <w:rFonts w:ascii="Times New Roman" w:hAnsi="Times New Roman" w:cs="Times New Roman"/>
                <w:sz w:val="22"/>
              </w:rPr>
              <w:lastRenderedPageBreak/>
              <w:t>section; sector for glaucoma (separate procedure)</w:t>
            </w:r>
          </w:p>
          <w:p w14:paraId="44F89F3E"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66711: Ciliary body destruction; cyclophotocoagulation, endoscopic, without concomitant removal of crystalline lens</w:t>
            </w:r>
          </w:p>
          <w:p w14:paraId="1101E2DF"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66987: Extracapsular cataract removal with insertion of intraocular lens prosthesis (1-stage procedure), manual or mechanical technique (e.g., irrigation and aspiration or phacoemulsification), complex, requiring devices or techniques not generally used in routine cataract surgery (e.g., iris expansion device, suture support for intraocular lens, or primary posterior </w:t>
            </w:r>
            <w:proofErr w:type="spellStart"/>
            <w:r w:rsidRPr="00E870AA">
              <w:rPr>
                <w:rFonts w:ascii="Times New Roman" w:hAnsi="Times New Roman" w:cs="Times New Roman"/>
                <w:sz w:val="22"/>
              </w:rPr>
              <w:t>capsulorrhexis</w:t>
            </w:r>
            <w:proofErr w:type="spellEnd"/>
            <w:r w:rsidRPr="00E870AA">
              <w:rPr>
                <w:rFonts w:ascii="Times New Roman" w:hAnsi="Times New Roman" w:cs="Times New Roman"/>
                <w:sz w:val="22"/>
              </w:rPr>
              <w:t>) or performed on patients in the amblyogenic developmental stage; with endoscopic cyclophotocoagulation</w:t>
            </w:r>
          </w:p>
          <w:p w14:paraId="10693438"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66988: Extracapsular cataract removal with insertion of intraocular lens prosthesis (1 stage procedure), manual or mechanical technique (e.g., irrigation and aspiration or phacoemulsification); with endoscopic cyclophotocoagulation</w:t>
            </w:r>
          </w:p>
          <w:p w14:paraId="2F050C74"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67120: Removal of implanted material, posterior segment; extraocular</w:t>
            </w:r>
          </w:p>
          <w:p w14:paraId="6FBB9C3F"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67121: Removal of implanted material, posterior segment; intraocular</w:t>
            </w:r>
          </w:p>
          <w:p w14:paraId="0B66227D"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0191T: Insertion of anterior segment aqueous </w:t>
            </w:r>
            <w:r w:rsidRPr="00E870AA">
              <w:rPr>
                <w:rFonts w:ascii="Times New Roman" w:hAnsi="Times New Roman" w:cs="Times New Roman"/>
                <w:sz w:val="22"/>
              </w:rPr>
              <w:lastRenderedPageBreak/>
              <w:t>drainage device, without extraocular reservoir, internal approach, into the trabecular meshwork; initial insertion (deprecated 2022)</w:t>
            </w:r>
          </w:p>
          <w:p w14:paraId="6845C3CA"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0253T: Insertion of anterior segment aqueous drainage device, without extraocular reservoir, internal approach, into the suprachoroidal space</w:t>
            </w:r>
          </w:p>
          <w:p w14:paraId="577506EE"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0449T: Insertion of aqueous drainage device, without extraocular reservoir, internal approach, into the subconjunctival space; initial device</w:t>
            </w:r>
          </w:p>
          <w:p w14:paraId="3F97BD8A"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0450T: Insertion of aqueous drainage device, without extraocular reservoir, internal approach, into the subconjunctival space; each additional device (List separately in addition to code for primary procedure)</w:t>
            </w:r>
          </w:p>
          <w:p w14:paraId="3B4F323F"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0474T: Insertion of anterior segment aqueous drainage device, with creation of intraocular reservoir, internal approach, into the supraciliary space</w:t>
            </w:r>
          </w:p>
        </w:tc>
      </w:tr>
      <w:tr w:rsidR="00BE084C" w:rsidRPr="00E870AA" w14:paraId="50E8AA57" w14:textId="77777777" w:rsidTr="00E526AF">
        <w:tc>
          <w:tcPr>
            <w:tcW w:w="3539" w:type="dxa"/>
          </w:tcPr>
          <w:p w14:paraId="179DDD86"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lastRenderedPageBreak/>
              <w:t>S</w:t>
            </w:r>
            <w:r w:rsidRPr="00E870AA">
              <w:rPr>
                <w:rFonts w:ascii="Times New Roman" w:hAnsi="Times New Roman" w:cs="Times New Roman"/>
                <w:sz w:val="22"/>
              </w:rPr>
              <w:t>erotonin-norepinephrine reuptake inhibitors (SNRIs)</w:t>
            </w:r>
          </w:p>
        </w:tc>
        <w:tc>
          <w:tcPr>
            <w:tcW w:w="4757" w:type="dxa"/>
          </w:tcPr>
          <w:p w14:paraId="1E480BEA" w14:textId="77777777" w:rsidR="00BE084C" w:rsidRPr="00E870AA" w:rsidRDefault="00BE084C" w:rsidP="00E526AF">
            <w:pPr>
              <w:spacing w:line="360" w:lineRule="auto"/>
              <w:rPr>
                <w:rFonts w:ascii="Times New Roman" w:hAnsi="Times New Roman" w:cs="Times New Roman"/>
                <w:sz w:val="22"/>
              </w:rPr>
            </w:pPr>
            <w:proofErr w:type="spellStart"/>
            <w:r w:rsidRPr="00E870AA">
              <w:rPr>
                <w:rFonts w:ascii="Times New Roman" w:hAnsi="Times New Roman" w:cs="Times New Roman" w:hint="eastAsia"/>
                <w:sz w:val="22"/>
              </w:rPr>
              <w:t>R</w:t>
            </w:r>
            <w:r w:rsidRPr="00E870AA">
              <w:rPr>
                <w:rFonts w:ascii="Times New Roman" w:hAnsi="Times New Roman" w:cs="Times New Roman"/>
                <w:sz w:val="22"/>
              </w:rPr>
              <w:t>xNorm</w:t>
            </w:r>
            <w:proofErr w:type="spellEnd"/>
            <w:r w:rsidRPr="00E870AA">
              <w:rPr>
                <w:rFonts w:ascii="Times New Roman" w:hAnsi="Times New Roman" w:cs="Times New Roman"/>
                <w:sz w:val="22"/>
              </w:rPr>
              <w:t>:</w:t>
            </w:r>
          </w:p>
          <w:p w14:paraId="4CFDC641"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734064: desvenlafaxine</w:t>
            </w:r>
          </w:p>
          <w:p w14:paraId="3EAB98EF"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72625: duloxetine</w:t>
            </w:r>
          </w:p>
          <w:p w14:paraId="5816E330"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 xml:space="preserve">1433212: </w:t>
            </w:r>
            <w:proofErr w:type="spellStart"/>
            <w:r w:rsidRPr="00E870AA">
              <w:rPr>
                <w:rFonts w:ascii="Times New Roman" w:hAnsi="Times New Roman" w:cs="Times New Roman"/>
                <w:sz w:val="22"/>
              </w:rPr>
              <w:t>levomilnacipran</w:t>
            </w:r>
            <w:proofErr w:type="spellEnd"/>
          </w:p>
          <w:p w14:paraId="01168487"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588250: milnacipran</w:t>
            </w:r>
          </w:p>
          <w:p w14:paraId="57E6EB95"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39786: venlafaxine</w:t>
            </w:r>
          </w:p>
        </w:tc>
      </w:tr>
      <w:tr w:rsidR="00BE084C" w:rsidRPr="00E870AA" w14:paraId="5E31D533" w14:textId="77777777" w:rsidTr="00E526AF">
        <w:tc>
          <w:tcPr>
            <w:tcW w:w="3539" w:type="dxa"/>
          </w:tcPr>
          <w:p w14:paraId="08DBB08A" w14:textId="77777777" w:rsidR="00BE084C" w:rsidRPr="00E870AA" w:rsidRDefault="00BE084C" w:rsidP="00E526AF">
            <w:pPr>
              <w:spacing w:line="360" w:lineRule="auto"/>
              <w:rPr>
                <w:rFonts w:ascii="Times New Roman" w:hAnsi="Times New Roman" w:cs="Times New Roman"/>
                <w:sz w:val="22"/>
              </w:rPr>
            </w:pPr>
            <w:proofErr w:type="spellStart"/>
            <w:r w:rsidRPr="00E870AA">
              <w:rPr>
                <w:rFonts w:ascii="Times New Roman" w:hAnsi="Times New Roman" w:cs="Times New Roman" w:hint="eastAsia"/>
                <w:sz w:val="22"/>
              </w:rPr>
              <w:t>G</w:t>
            </w:r>
            <w:r w:rsidRPr="00E870AA">
              <w:rPr>
                <w:rFonts w:ascii="Times New Roman" w:hAnsi="Times New Roman" w:cs="Times New Roman"/>
                <w:sz w:val="22"/>
              </w:rPr>
              <w:t>abapentinoids</w:t>
            </w:r>
            <w:proofErr w:type="spellEnd"/>
          </w:p>
        </w:tc>
        <w:tc>
          <w:tcPr>
            <w:tcW w:w="4757" w:type="dxa"/>
          </w:tcPr>
          <w:p w14:paraId="6F1044F1"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TC: N02BF</w:t>
            </w:r>
          </w:p>
        </w:tc>
      </w:tr>
      <w:tr w:rsidR="00BE084C" w:rsidRPr="00E870AA" w14:paraId="0D14EF97" w14:textId="77777777" w:rsidTr="00E526AF">
        <w:tc>
          <w:tcPr>
            <w:tcW w:w="3539" w:type="dxa"/>
          </w:tcPr>
          <w:p w14:paraId="38CCE4E9"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lastRenderedPageBreak/>
              <w:t>D</w:t>
            </w:r>
            <w:r w:rsidRPr="00E870AA">
              <w:rPr>
                <w:rFonts w:ascii="Times New Roman" w:hAnsi="Times New Roman" w:cs="Times New Roman"/>
                <w:sz w:val="22"/>
              </w:rPr>
              <w:t>iabetes mellitus (DM)</w:t>
            </w:r>
          </w:p>
        </w:tc>
        <w:tc>
          <w:tcPr>
            <w:tcW w:w="4757" w:type="dxa"/>
          </w:tcPr>
          <w:p w14:paraId="2776A141"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E08-E13</w:t>
            </w:r>
          </w:p>
        </w:tc>
      </w:tr>
      <w:tr w:rsidR="00BE084C" w:rsidRPr="00E870AA" w14:paraId="04831E2F" w14:textId="77777777" w:rsidTr="00E526AF">
        <w:tc>
          <w:tcPr>
            <w:tcW w:w="3539" w:type="dxa"/>
          </w:tcPr>
          <w:p w14:paraId="77383770"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P</w:t>
            </w:r>
            <w:r w:rsidRPr="00E870AA">
              <w:rPr>
                <w:rFonts w:ascii="Times New Roman" w:hAnsi="Times New Roman" w:cs="Times New Roman"/>
                <w:sz w:val="22"/>
              </w:rPr>
              <w:t>rimary hypertension</w:t>
            </w:r>
          </w:p>
        </w:tc>
        <w:tc>
          <w:tcPr>
            <w:tcW w:w="4757" w:type="dxa"/>
          </w:tcPr>
          <w:p w14:paraId="42B3BDBF"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I10</w:t>
            </w:r>
          </w:p>
        </w:tc>
      </w:tr>
      <w:tr w:rsidR="00BE084C" w:rsidRPr="00E870AA" w14:paraId="1B2F4BC9" w14:textId="77777777" w:rsidTr="00E526AF">
        <w:tc>
          <w:tcPr>
            <w:tcW w:w="3539" w:type="dxa"/>
          </w:tcPr>
          <w:p w14:paraId="3529A3BA"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D</w:t>
            </w:r>
            <w:r>
              <w:rPr>
                <w:rFonts w:ascii="Times New Roman" w:hAnsi="Times New Roman" w:cs="Times New Roman"/>
                <w:sz w:val="22"/>
              </w:rPr>
              <w:t xml:space="preserve">yslipidemia </w:t>
            </w:r>
          </w:p>
        </w:tc>
        <w:tc>
          <w:tcPr>
            <w:tcW w:w="4757" w:type="dxa"/>
          </w:tcPr>
          <w:p w14:paraId="197AE852"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CD-10-CM: E78</w:t>
            </w:r>
          </w:p>
        </w:tc>
      </w:tr>
      <w:tr w:rsidR="00BE084C" w:rsidRPr="00E870AA" w14:paraId="3231F792" w14:textId="77777777" w:rsidTr="00E526AF">
        <w:tc>
          <w:tcPr>
            <w:tcW w:w="3539" w:type="dxa"/>
          </w:tcPr>
          <w:p w14:paraId="007B2821"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O</w:t>
            </w:r>
            <w:r w:rsidRPr="00E870AA">
              <w:rPr>
                <w:rFonts w:ascii="Times New Roman" w:hAnsi="Times New Roman" w:cs="Times New Roman"/>
                <w:sz w:val="22"/>
              </w:rPr>
              <w:t>verweight and obesity</w:t>
            </w:r>
          </w:p>
        </w:tc>
        <w:tc>
          <w:tcPr>
            <w:tcW w:w="4757" w:type="dxa"/>
          </w:tcPr>
          <w:p w14:paraId="0FBF1FC1"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E66</w:t>
            </w:r>
          </w:p>
        </w:tc>
      </w:tr>
      <w:tr w:rsidR="00BE084C" w:rsidRPr="00E870AA" w14:paraId="5B51D794" w14:textId="77777777" w:rsidTr="00E526AF">
        <w:tc>
          <w:tcPr>
            <w:tcW w:w="3539" w:type="dxa"/>
          </w:tcPr>
          <w:p w14:paraId="41F373D1"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M</w:t>
            </w:r>
            <w:r w:rsidRPr="00E870AA">
              <w:rPr>
                <w:rFonts w:ascii="Times New Roman" w:hAnsi="Times New Roman" w:cs="Times New Roman"/>
                <w:sz w:val="22"/>
              </w:rPr>
              <w:t>igraine</w:t>
            </w:r>
          </w:p>
        </w:tc>
        <w:tc>
          <w:tcPr>
            <w:tcW w:w="4757" w:type="dxa"/>
          </w:tcPr>
          <w:p w14:paraId="33AEFDF8"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G43</w:t>
            </w:r>
          </w:p>
        </w:tc>
      </w:tr>
      <w:tr w:rsidR="00BE084C" w:rsidRPr="00E870AA" w14:paraId="70E94A7A" w14:textId="77777777" w:rsidTr="00E526AF">
        <w:tc>
          <w:tcPr>
            <w:tcW w:w="3539" w:type="dxa"/>
          </w:tcPr>
          <w:p w14:paraId="6DC8235A"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nsomnia</w:t>
            </w:r>
          </w:p>
        </w:tc>
        <w:tc>
          <w:tcPr>
            <w:tcW w:w="4757" w:type="dxa"/>
          </w:tcPr>
          <w:p w14:paraId="320124B0"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CD-10-CM: G47.0</w:t>
            </w:r>
          </w:p>
        </w:tc>
      </w:tr>
      <w:tr w:rsidR="00BE084C" w:rsidRPr="00E870AA" w14:paraId="2D6C2F4F" w14:textId="77777777" w:rsidTr="00E526AF">
        <w:tc>
          <w:tcPr>
            <w:tcW w:w="3539" w:type="dxa"/>
          </w:tcPr>
          <w:p w14:paraId="40DB22A8"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O</w:t>
            </w:r>
            <w:r w:rsidRPr="00E870AA">
              <w:rPr>
                <w:rFonts w:ascii="Times New Roman" w:hAnsi="Times New Roman" w:cs="Times New Roman"/>
                <w:sz w:val="22"/>
              </w:rPr>
              <w:t>bstructive sleep apnea</w:t>
            </w:r>
          </w:p>
        </w:tc>
        <w:tc>
          <w:tcPr>
            <w:tcW w:w="4757" w:type="dxa"/>
          </w:tcPr>
          <w:p w14:paraId="31CD5615"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G47.33</w:t>
            </w:r>
          </w:p>
        </w:tc>
      </w:tr>
      <w:tr w:rsidR="00BE084C" w:rsidRPr="00E870AA" w14:paraId="23E0F8A0" w14:textId="77777777" w:rsidTr="00E526AF">
        <w:tc>
          <w:tcPr>
            <w:tcW w:w="3539" w:type="dxa"/>
          </w:tcPr>
          <w:p w14:paraId="2A5FAEB6" w14:textId="77777777" w:rsidR="00BE084C" w:rsidRPr="00E870AA" w:rsidRDefault="00BE084C" w:rsidP="00E526AF">
            <w:pPr>
              <w:spacing w:line="360" w:lineRule="auto"/>
              <w:rPr>
                <w:rFonts w:ascii="Times New Roman" w:hAnsi="Times New Roman" w:cs="Times New Roman"/>
                <w:sz w:val="22"/>
              </w:rPr>
            </w:pPr>
            <w:r w:rsidRPr="00370CAA">
              <w:rPr>
                <w:rFonts w:ascii="Times New Roman" w:hAnsi="Times New Roman" w:cs="Times New Roman"/>
                <w:sz w:val="22"/>
              </w:rPr>
              <w:t>Diseases of arteries, arterioles and capillaries</w:t>
            </w:r>
          </w:p>
        </w:tc>
        <w:tc>
          <w:tcPr>
            <w:tcW w:w="4757" w:type="dxa"/>
          </w:tcPr>
          <w:p w14:paraId="33BE3AC2"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CD-10-CM: I70-I79</w:t>
            </w:r>
          </w:p>
        </w:tc>
      </w:tr>
      <w:tr w:rsidR="00BE084C" w:rsidRPr="00E870AA" w14:paraId="3E5CABC6" w14:textId="77777777" w:rsidTr="00E526AF">
        <w:tc>
          <w:tcPr>
            <w:tcW w:w="3539" w:type="dxa"/>
          </w:tcPr>
          <w:p w14:paraId="08AEC4EE"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R</w:t>
            </w:r>
            <w:r w:rsidRPr="00E870AA">
              <w:rPr>
                <w:rFonts w:ascii="Times New Roman" w:hAnsi="Times New Roman" w:cs="Times New Roman"/>
                <w:sz w:val="22"/>
              </w:rPr>
              <w:t>heumatoid arthritis</w:t>
            </w:r>
          </w:p>
        </w:tc>
        <w:tc>
          <w:tcPr>
            <w:tcW w:w="4757" w:type="dxa"/>
          </w:tcPr>
          <w:p w14:paraId="33C597C8"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M05 (Rheumatoid arthritis with rheumatoid factors), M06 (Other rheumatoid arthritis)</w:t>
            </w:r>
          </w:p>
        </w:tc>
      </w:tr>
      <w:tr w:rsidR="00BE084C" w:rsidRPr="00E870AA" w14:paraId="1D59A26B" w14:textId="77777777" w:rsidTr="00E526AF">
        <w:tc>
          <w:tcPr>
            <w:tcW w:w="3539" w:type="dxa"/>
          </w:tcPr>
          <w:p w14:paraId="043695C9"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S</w:t>
            </w:r>
            <w:r w:rsidRPr="00E870AA">
              <w:rPr>
                <w:rFonts w:ascii="Times New Roman" w:hAnsi="Times New Roman" w:cs="Times New Roman"/>
                <w:sz w:val="22"/>
              </w:rPr>
              <w:t xml:space="preserve">ystemic lupus erythematosus </w:t>
            </w:r>
          </w:p>
        </w:tc>
        <w:tc>
          <w:tcPr>
            <w:tcW w:w="4757" w:type="dxa"/>
          </w:tcPr>
          <w:p w14:paraId="3D1D051B"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I</w:t>
            </w:r>
            <w:r w:rsidRPr="00E870AA">
              <w:rPr>
                <w:rFonts w:ascii="Times New Roman" w:hAnsi="Times New Roman" w:cs="Times New Roman"/>
                <w:sz w:val="22"/>
              </w:rPr>
              <w:t>CD-10-CM: M32</w:t>
            </w:r>
          </w:p>
        </w:tc>
      </w:tr>
      <w:tr w:rsidR="00BE084C" w:rsidRPr="00E870AA" w14:paraId="57F4E618" w14:textId="77777777" w:rsidTr="00E526AF">
        <w:tc>
          <w:tcPr>
            <w:tcW w:w="3539" w:type="dxa"/>
          </w:tcPr>
          <w:p w14:paraId="12B8B2E6"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hronic kidney disease, stage III</w:t>
            </w:r>
          </w:p>
        </w:tc>
        <w:tc>
          <w:tcPr>
            <w:tcW w:w="4757" w:type="dxa"/>
          </w:tcPr>
          <w:p w14:paraId="52B3D4BB"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CD-10-CM: N18.3</w:t>
            </w:r>
          </w:p>
        </w:tc>
      </w:tr>
      <w:tr w:rsidR="00BE084C" w:rsidRPr="00E870AA" w14:paraId="4A5814C1" w14:textId="77777777" w:rsidTr="00E526AF">
        <w:tc>
          <w:tcPr>
            <w:tcW w:w="3539" w:type="dxa"/>
          </w:tcPr>
          <w:p w14:paraId="692C1097"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hronic kidney disease, stage IV</w:t>
            </w:r>
          </w:p>
        </w:tc>
        <w:tc>
          <w:tcPr>
            <w:tcW w:w="4757" w:type="dxa"/>
          </w:tcPr>
          <w:p w14:paraId="5A8563F2"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CD-10-CM: N18.4</w:t>
            </w:r>
          </w:p>
        </w:tc>
      </w:tr>
      <w:tr w:rsidR="00BE084C" w:rsidRPr="00E870AA" w14:paraId="412F6B5F" w14:textId="77777777" w:rsidTr="00E526AF">
        <w:tc>
          <w:tcPr>
            <w:tcW w:w="3539" w:type="dxa"/>
          </w:tcPr>
          <w:p w14:paraId="302101C9"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hronic kidney disease, stage V</w:t>
            </w:r>
          </w:p>
        </w:tc>
        <w:tc>
          <w:tcPr>
            <w:tcW w:w="4757" w:type="dxa"/>
          </w:tcPr>
          <w:p w14:paraId="7D4E5568" w14:textId="77777777" w:rsidR="00BE084C" w:rsidRPr="00050682" w:rsidRDefault="00BE084C" w:rsidP="00E526AF">
            <w:pPr>
              <w:spacing w:line="360" w:lineRule="auto"/>
              <w:rPr>
                <w:rFonts w:ascii="Times New Roman" w:hAnsi="Times New Roman" w:cs="Times New Roman"/>
                <w:sz w:val="22"/>
              </w:rPr>
            </w:pPr>
            <w:r>
              <w:rPr>
                <w:rFonts w:ascii="Times New Roman" w:hAnsi="Times New Roman" w:cs="Times New Roman"/>
                <w:sz w:val="22"/>
              </w:rPr>
              <w:t>ICD-10-CM: N18.5</w:t>
            </w:r>
          </w:p>
        </w:tc>
      </w:tr>
      <w:tr w:rsidR="00BE084C" w:rsidRPr="00E870AA" w14:paraId="138EDF19" w14:textId="77777777" w:rsidTr="00E526AF">
        <w:tc>
          <w:tcPr>
            <w:tcW w:w="3539" w:type="dxa"/>
          </w:tcPr>
          <w:p w14:paraId="5336E743"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hronic kidney disease, end stage</w:t>
            </w:r>
          </w:p>
        </w:tc>
        <w:tc>
          <w:tcPr>
            <w:tcW w:w="4757" w:type="dxa"/>
          </w:tcPr>
          <w:p w14:paraId="7C52E7AD" w14:textId="77777777" w:rsidR="00BE084C" w:rsidRPr="00E870AA" w:rsidRDefault="00BE084C" w:rsidP="00E526AF">
            <w:pPr>
              <w:spacing w:line="360" w:lineRule="auto"/>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CD-10-CM: N18.6</w:t>
            </w:r>
          </w:p>
        </w:tc>
      </w:tr>
      <w:tr w:rsidR="00BE084C" w:rsidRPr="00E870AA" w14:paraId="435B5133" w14:textId="77777777" w:rsidTr="00E526AF">
        <w:tc>
          <w:tcPr>
            <w:tcW w:w="3539" w:type="dxa"/>
          </w:tcPr>
          <w:p w14:paraId="6B11704F" w14:textId="77777777" w:rsidR="00BE084C" w:rsidRDefault="00BE084C" w:rsidP="00E526AF">
            <w:pPr>
              <w:spacing w:line="360" w:lineRule="auto"/>
              <w:rPr>
                <w:rFonts w:ascii="Times New Roman" w:hAnsi="Times New Roman" w:cs="Times New Roman"/>
                <w:sz w:val="22"/>
              </w:rPr>
            </w:pPr>
            <w:proofErr w:type="spellStart"/>
            <w:r w:rsidRPr="00E870AA">
              <w:rPr>
                <w:rFonts w:ascii="Times New Roman" w:hAnsi="Times New Roman" w:cs="Times New Roman"/>
                <w:sz w:val="22"/>
              </w:rPr>
              <w:t>Corticalsteroids</w:t>
            </w:r>
            <w:proofErr w:type="spellEnd"/>
            <w:r w:rsidRPr="00E870AA">
              <w:rPr>
                <w:rFonts w:ascii="Times New Roman" w:hAnsi="Times New Roman" w:cs="Times New Roman"/>
                <w:sz w:val="22"/>
              </w:rPr>
              <w:t xml:space="preserve"> </w:t>
            </w:r>
          </w:p>
          <w:p w14:paraId="170E89AD"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(dermatological preparations)</w:t>
            </w:r>
          </w:p>
        </w:tc>
        <w:tc>
          <w:tcPr>
            <w:tcW w:w="4757" w:type="dxa"/>
          </w:tcPr>
          <w:p w14:paraId="23C478CF"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TC: D07</w:t>
            </w:r>
          </w:p>
        </w:tc>
      </w:tr>
      <w:tr w:rsidR="00BE084C" w:rsidRPr="00E870AA" w14:paraId="2FAA2866" w14:textId="77777777" w:rsidTr="00E526AF">
        <w:tc>
          <w:tcPr>
            <w:tcW w:w="3539" w:type="dxa"/>
          </w:tcPr>
          <w:p w14:paraId="2146ED9E" w14:textId="77777777" w:rsidR="00BE084C" w:rsidRPr="00E870AA" w:rsidRDefault="00BE084C" w:rsidP="00E526AF">
            <w:pPr>
              <w:spacing w:line="360" w:lineRule="auto"/>
              <w:rPr>
                <w:rFonts w:ascii="Times New Roman" w:hAnsi="Times New Roman" w:cs="Times New Roman"/>
                <w:sz w:val="22"/>
              </w:rPr>
            </w:pPr>
            <w:proofErr w:type="spellStart"/>
            <w:r w:rsidRPr="00E870AA">
              <w:rPr>
                <w:rFonts w:ascii="Times New Roman" w:hAnsi="Times New Roman" w:cs="Times New Roman"/>
                <w:sz w:val="22"/>
              </w:rPr>
              <w:t>Corticalsteroids</w:t>
            </w:r>
            <w:proofErr w:type="spellEnd"/>
            <w:r w:rsidRPr="00E870AA">
              <w:rPr>
                <w:rFonts w:ascii="Times New Roman" w:hAnsi="Times New Roman" w:cs="Times New Roman"/>
                <w:sz w:val="22"/>
              </w:rPr>
              <w:t xml:space="preserve"> for systemic use</w:t>
            </w:r>
          </w:p>
        </w:tc>
        <w:tc>
          <w:tcPr>
            <w:tcW w:w="4757" w:type="dxa"/>
          </w:tcPr>
          <w:p w14:paraId="391682F1"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TC: H02</w:t>
            </w:r>
          </w:p>
        </w:tc>
      </w:tr>
      <w:tr w:rsidR="00BE084C" w:rsidRPr="00E870AA" w14:paraId="14BCBA39" w14:textId="77777777" w:rsidTr="00E526AF">
        <w:tc>
          <w:tcPr>
            <w:tcW w:w="3539" w:type="dxa"/>
          </w:tcPr>
          <w:p w14:paraId="2DDCAA85"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Antihistamines for systemic use</w:t>
            </w:r>
          </w:p>
        </w:tc>
        <w:tc>
          <w:tcPr>
            <w:tcW w:w="4757" w:type="dxa"/>
          </w:tcPr>
          <w:p w14:paraId="05868584"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TC: R06</w:t>
            </w:r>
          </w:p>
        </w:tc>
      </w:tr>
      <w:tr w:rsidR="00BE084C" w:rsidRPr="00E870AA" w14:paraId="42CD087A" w14:textId="77777777" w:rsidTr="00E526AF">
        <w:tc>
          <w:tcPr>
            <w:tcW w:w="3539" w:type="dxa"/>
          </w:tcPr>
          <w:p w14:paraId="2740E910"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Antihistamines for topical use</w:t>
            </w:r>
          </w:p>
        </w:tc>
        <w:tc>
          <w:tcPr>
            <w:tcW w:w="4757" w:type="dxa"/>
          </w:tcPr>
          <w:p w14:paraId="0039C1D0"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TC: D04AA</w:t>
            </w:r>
          </w:p>
        </w:tc>
      </w:tr>
      <w:tr w:rsidR="00BE084C" w:rsidRPr="00E870AA" w14:paraId="22F7E0A0" w14:textId="77777777" w:rsidTr="00E526AF">
        <w:tc>
          <w:tcPr>
            <w:tcW w:w="3539" w:type="dxa"/>
          </w:tcPr>
          <w:p w14:paraId="4ECB07D6"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Anticholinergics (inhalants)</w:t>
            </w:r>
          </w:p>
        </w:tc>
        <w:tc>
          <w:tcPr>
            <w:tcW w:w="4757" w:type="dxa"/>
          </w:tcPr>
          <w:p w14:paraId="5DF88AF6"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TC: R03BB</w:t>
            </w:r>
          </w:p>
        </w:tc>
      </w:tr>
      <w:tr w:rsidR="00BE084C" w:rsidRPr="00E870AA" w14:paraId="6FE7E5B5" w14:textId="77777777" w:rsidTr="00E526AF">
        <w:tc>
          <w:tcPr>
            <w:tcW w:w="3539" w:type="dxa"/>
          </w:tcPr>
          <w:p w14:paraId="1A712B20"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Anticholinergics</w:t>
            </w:r>
            <w:r>
              <w:rPr>
                <w:rFonts w:ascii="Times New Roman" w:hAnsi="Times New Roman" w:cs="Times New Roman"/>
                <w:sz w:val="22"/>
              </w:rPr>
              <w:t xml:space="preserve"> </w:t>
            </w:r>
            <w:r w:rsidRPr="00E870AA">
              <w:rPr>
                <w:rFonts w:ascii="Times New Roman" w:hAnsi="Times New Roman" w:cs="Times New Roman"/>
                <w:sz w:val="22"/>
              </w:rPr>
              <w:t>(</w:t>
            </w:r>
            <w:proofErr w:type="spellStart"/>
            <w:r w:rsidRPr="00E870AA">
              <w:rPr>
                <w:rFonts w:ascii="Times New Roman" w:hAnsi="Times New Roman" w:cs="Times New Roman"/>
                <w:sz w:val="22"/>
              </w:rPr>
              <w:t>ophthalmologicals</w:t>
            </w:r>
            <w:proofErr w:type="spellEnd"/>
            <w:r w:rsidRPr="00E870AA">
              <w:rPr>
                <w:rFonts w:ascii="Times New Roman" w:hAnsi="Times New Roman" w:cs="Times New Roman"/>
                <w:sz w:val="22"/>
              </w:rPr>
              <w:t>)</w:t>
            </w:r>
          </w:p>
        </w:tc>
        <w:tc>
          <w:tcPr>
            <w:tcW w:w="4757" w:type="dxa"/>
          </w:tcPr>
          <w:p w14:paraId="02902BAB"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TC: S01FA</w:t>
            </w:r>
          </w:p>
        </w:tc>
      </w:tr>
      <w:tr w:rsidR="00BE084C" w:rsidRPr="00E870AA" w14:paraId="2786F5E2" w14:textId="77777777" w:rsidTr="00E526AF">
        <w:tc>
          <w:tcPr>
            <w:tcW w:w="3539" w:type="dxa"/>
          </w:tcPr>
          <w:p w14:paraId="2E643F80"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Anticholinergic agents (oral)</w:t>
            </w:r>
          </w:p>
        </w:tc>
        <w:tc>
          <w:tcPr>
            <w:tcW w:w="4757" w:type="dxa"/>
          </w:tcPr>
          <w:p w14:paraId="56E4EDE3"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TC: N04A</w:t>
            </w:r>
          </w:p>
        </w:tc>
      </w:tr>
      <w:tr w:rsidR="00BE084C" w:rsidRPr="00E870AA" w14:paraId="4BA50C6C" w14:textId="77777777" w:rsidTr="00E526AF">
        <w:tc>
          <w:tcPr>
            <w:tcW w:w="3539" w:type="dxa"/>
          </w:tcPr>
          <w:p w14:paraId="7F939F76"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lastRenderedPageBreak/>
              <w:t>Selective serotonin reuptake inhibitors (SSRIs)</w:t>
            </w:r>
          </w:p>
        </w:tc>
        <w:tc>
          <w:tcPr>
            <w:tcW w:w="4757" w:type="dxa"/>
          </w:tcPr>
          <w:p w14:paraId="5D597331"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A</w:t>
            </w:r>
            <w:r w:rsidRPr="00E870AA">
              <w:rPr>
                <w:rFonts w:ascii="Times New Roman" w:hAnsi="Times New Roman" w:cs="Times New Roman"/>
                <w:sz w:val="22"/>
              </w:rPr>
              <w:t>TC: N06AB</w:t>
            </w:r>
          </w:p>
        </w:tc>
      </w:tr>
      <w:tr w:rsidR="00BE084C" w:rsidRPr="00E870AA" w14:paraId="3884EC56" w14:textId="77777777" w:rsidTr="00E526AF">
        <w:tc>
          <w:tcPr>
            <w:tcW w:w="3539" w:type="dxa"/>
          </w:tcPr>
          <w:p w14:paraId="15DA5B1C"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sz w:val="22"/>
              </w:rPr>
              <w:t>Tricyclic antidepressants (TCAs)</w:t>
            </w:r>
          </w:p>
        </w:tc>
        <w:tc>
          <w:tcPr>
            <w:tcW w:w="4757" w:type="dxa"/>
          </w:tcPr>
          <w:p w14:paraId="74E60CC6" w14:textId="77777777" w:rsidR="00BE084C" w:rsidRPr="00E870AA" w:rsidRDefault="00BE084C" w:rsidP="00E526AF">
            <w:pPr>
              <w:spacing w:line="360" w:lineRule="auto"/>
              <w:rPr>
                <w:rFonts w:ascii="Times New Roman" w:hAnsi="Times New Roman" w:cs="Times New Roman"/>
                <w:sz w:val="22"/>
              </w:rPr>
            </w:pPr>
            <w:r w:rsidRPr="00E870AA">
              <w:rPr>
                <w:rFonts w:ascii="Times New Roman" w:hAnsi="Times New Roman" w:cs="Times New Roman" w:hint="eastAsia"/>
                <w:sz w:val="22"/>
              </w:rPr>
              <w:t>V</w:t>
            </w:r>
            <w:r w:rsidRPr="00E870AA">
              <w:rPr>
                <w:rFonts w:ascii="Times New Roman" w:hAnsi="Times New Roman" w:cs="Times New Roman"/>
                <w:sz w:val="22"/>
              </w:rPr>
              <w:t>A: CN601</w:t>
            </w:r>
          </w:p>
        </w:tc>
      </w:tr>
    </w:tbl>
    <w:p w14:paraId="5E6B6200" w14:textId="77777777" w:rsidR="00BE084C" w:rsidRDefault="00BE084C" w:rsidP="002E6986">
      <w:pPr>
        <w:spacing w:line="480" w:lineRule="auto"/>
        <w:rPr>
          <w:rFonts w:ascii="Times New Roman" w:hAnsi="Times New Roman" w:cs="Times New Roman"/>
          <w:sz w:val="22"/>
        </w:rPr>
      </w:pPr>
    </w:p>
    <w:p w14:paraId="01C35151" w14:textId="44BC70A7" w:rsidR="00BE084C" w:rsidRDefault="00BE084C" w:rsidP="002E6986">
      <w:pPr>
        <w:spacing w:line="480" w:lineRule="auto"/>
        <w:rPr>
          <w:rFonts w:ascii="Times New Roman" w:hAnsi="Times New Roman" w:cs="Times New Roman"/>
          <w:sz w:val="22"/>
        </w:rPr>
      </w:pPr>
      <w:r w:rsidRPr="00E870AA">
        <w:rPr>
          <w:rFonts w:ascii="Times New Roman" w:hAnsi="Times New Roman" w:cs="Times New Roman" w:hint="eastAsia"/>
          <w:sz w:val="22"/>
        </w:rPr>
        <w:t>*</w:t>
      </w:r>
      <w:r w:rsidRPr="00E870AA">
        <w:rPr>
          <w:rFonts w:ascii="Times New Roman" w:hAnsi="Times New Roman" w:cs="Times New Roman"/>
          <w:sz w:val="22"/>
        </w:rPr>
        <w:t>For exclusion criteria in cohort construction, patients with previous records of H40.1 to H40.9 were all excluded. However, the primary outcome of glaucoma only encompassed ICD-10 codes of H40.1 (open-angle glaucoma), H40.2 (primary angle-closure glaucoma), H40.6 (glaucoma secondary to drugs), and H40.9 (unspecified glaucoma), in order to reflect the real-world scenario.</w:t>
      </w:r>
    </w:p>
    <w:p w14:paraId="79CFDC92" w14:textId="77777777" w:rsidR="00BE084C" w:rsidRDefault="00BE084C" w:rsidP="002E6986">
      <w:pPr>
        <w:spacing w:line="480" w:lineRule="auto"/>
        <w:rPr>
          <w:rFonts w:ascii="Times New Roman" w:hAnsi="Times New Roman" w:cs="Times New Roman"/>
          <w:sz w:val="22"/>
        </w:rPr>
      </w:pPr>
    </w:p>
    <w:p w14:paraId="6BC81688" w14:textId="77777777" w:rsidR="004C6A2E" w:rsidRDefault="00887371" w:rsidP="00887371">
      <w:pPr>
        <w:spacing w:line="480" w:lineRule="auto"/>
        <w:rPr>
          <w:rFonts w:ascii="Times New Roman" w:hAnsi="Times New Roman" w:cs="Times New Roman"/>
          <w:sz w:val="22"/>
        </w:rPr>
        <w:sectPr w:rsidR="004C6A2E">
          <w:pgSz w:w="11906" w:h="16838"/>
          <w:pgMar w:top="1440" w:right="1800" w:bottom="1440" w:left="1800" w:header="851" w:footer="992" w:gutter="0"/>
          <w:cols w:space="425"/>
          <w:docGrid w:type="lines" w:linePitch="360"/>
        </w:sectPr>
      </w:pPr>
      <w:r>
        <w:rPr>
          <w:rFonts w:ascii="Times New Roman" w:hAnsi="Times New Roman" w:cs="Times New Roman"/>
          <w:sz w:val="22"/>
        </w:rPr>
        <w:t>*</w:t>
      </w:r>
      <w:r w:rsidR="00BE084C" w:rsidRPr="00887371">
        <w:rPr>
          <w:rFonts w:ascii="Times New Roman" w:hAnsi="Times New Roman" w:cs="Times New Roman"/>
          <w:sz w:val="22"/>
        </w:rPr>
        <w:t>Data extraction was done on 2025/01/13 with all analyses performed on the same day.</w:t>
      </w:r>
    </w:p>
    <w:p w14:paraId="65DE2255" w14:textId="220472A7" w:rsidR="004C6A2E" w:rsidRDefault="004C6A2E" w:rsidP="004C6A2E">
      <w:pPr>
        <w:spacing w:line="480" w:lineRule="auto"/>
        <w:jc w:val="center"/>
        <w:rPr>
          <w:rFonts w:ascii="Times New Roman" w:hAnsi="Times New Roman" w:cs="Times New Roman" w:hint="eastAsia"/>
          <w:b/>
          <w:sz w:val="22"/>
        </w:rPr>
      </w:pPr>
      <w:r w:rsidRPr="004C6A2E">
        <w:rPr>
          <w:rFonts w:ascii="Times New Roman" w:hAnsi="Times New Roman" w:cs="Times New Roman" w:hint="eastAsia"/>
          <w:b/>
          <w:sz w:val="22"/>
        </w:rPr>
        <w:lastRenderedPageBreak/>
        <w:t>A</w:t>
      </w:r>
      <w:r w:rsidRPr="004C6A2E">
        <w:rPr>
          <w:rFonts w:ascii="Times New Roman" w:hAnsi="Times New Roman" w:cs="Times New Roman"/>
          <w:b/>
          <w:sz w:val="22"/>
        </w:rPr>
        <w:t>ppendix 2. Outcome measurement results of glaucoma subtypes in the primary analysis</w:t>
      </w:r>
    </w:p>
    <w:p w14:paraId="2EA800D7" w14:textId="77777777" w:rsidR="004C6A2E" w:rsidRDefault="004C6A2E" w:rsidP="004C6A2E">
      <w:pPr>
        <w:spacing w:line="480" w:lineRule="auto"/>
        <w:jc w:val="center"/>
        <w:rPr>
          <w:rFonts w:ascii="Times New Roman" w:hAnsi="Times New Roman" w:cs="Times New Roman"/>
          <w:b/>
          <w:sz w:val="22"/>
        </w:rPr>
      </w:pPr>
      <w:r>
        <w:rPr>
          <w:rFonts w:ascii="Times New Roman" w:hAnsi="Times New Roman" w:cs="Times New Roman" w:hint="eastAsia"/>
          <w:b/>
          <w:noProof/>
          <w:sz w:val="22"/>
        </w:rPr>
        <w:drawing>
          <wp:inline distT="0" distB="0" distL="0" distR="0" wp14:anchorId="2366653D" wp14:editId="2427F511">
            <wp:extent cx="7268988" cy="5080000"/>
            <wp:effectExtent l="0" t="0" r="8255"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 - primary.pdf.tiff"/>
                    <pic:cNvPicPr/>
                  </pic:nvPicPr>
                  <pic:blipFill rotWithShape="1">
                    <a:blip r:embed="rId7" cstate="print">
                      <a:extLst>
                        <a:ext uri="{28A0092B-C50C-407E-A947-70E740481C1C}">
                          <a14:useLocalDpi xmlns:a14="http://schemas.microsoft.com/office/drawing/2010/main" val="0"/>
                        </a:ext>
                      </a:extLst>
                    </a:blip>
                    <a:srcRect l="4653" t="5505" r="4028" b="4130"/>
                    <a:stretch/>
                  </pic:blipFill>
                  <pic:spPr bwMode="auto">
                    <a:xfrm>
                      <a:off x="0" y="0"/>
                      <a:ext cx="7293554" cy="5097169"/>
                    </a:xfrm>
                    <a:prstGeom prst="rect">
                      <a:avLst/>
                    </a:prstGeom>
                    <a:ln>
                      <a:noFill/>
                    </a:ln>
                    <a:extLst>
                      <a:ext uri="{53640926-AAD7-44D8-BBD7-CCE9431645EC}">
                        <a14:shadowObscured xmlns:a14="http://schemas.microsoft.com/office/drawing/2010/main"/>
                      </a:ext>
                    </a:extLst>
                  </pic:spPr>
                </pic:pic>
              </a:graphicData>
            </a:graphic>
          </wp:inline>
        </w:drawing>
      </w:r>
    </w:p>
    <w:p w14:paraId="762D9BC5" w14:textId="77777777" w:rsidR="004C6A2E" w:rsidRDefault="004C6A2E" w:rsidP="00C037BE">
      <w:pPr>
        <w:spacing w:line="480" w:lineRule="auto"/>
        <w:rPr>
          <w:rFonts w:ascii="Times New Roman" w:hAnsi="Times New Roman" w:cs="Times New Roman"/>
          <w:sz w:val="22"/>
        </w:rPr>
        <w:sectPr w:rsidR="004C6A2E" w:rsidSect="004C6A2E">
          <w:pgSz w:w="16838" w:h="11906" w:orient="landscape"/>
          <w:pgMar w:top="720" w:right="720" w:bottom="720" w:left="720" w:header="851" w:footer="992" w:gutter="0"/>
          <w:cols w:space="425"/>
          <w:docGrid w:type="lines" w:linePitch="360"/>
        </w:sectPr>
      </w:pPr>
      <w:r w:rsidRPr="004C6A2E">
        <w:rPr>
          <w:rFonts w:ascii="Times New Roman" w:hAnsi="Times New Roman" w:cs="Times New Roman"/>
          <w:sz w:val="22"/>
        </w:rPr>
        <w:t>It should be noted that due to the relatively small sample size, the results are associated with wide 95% confidence intervals. Therefore, caution is warranted when interpreting these findings.</w:t>
      </w:r>
    </w:p>
    <w:p w14:paraId="501E52FF" w14:textId="14F96B95" w:rsidR="00C037BE" w:rsidRDefault="00C037BE" w:rsidP="00C037BE">
      <w:pPr>
        <w:spacing w:line="480" w:lineRule="auto"/>
        <w:rPr>
          <w:rFonts w:ascii="Times New Roman" w:hAnsi="Times New Roman" w:cs="Times New Roman"/>
          <w:b/>
          <w:sz w:val="20"/>
          <w:szCs w:val="20"/>
        </w:rPr>
      </w:pPr>
      <w:r>
        <w:rPr>
          <w:rFonts w:ascii="Times New Roman" w:hAnsi="Times New Roman" w:cs="Times New Roman"/>
          <w:b/>
          <w:sz w:val="20"/>
          <w:szCs w:val="20"/>
        </w:rPr>
        <w:lastRenderedPageBreak/>
        <w:t xml:space="preserve">Appendix </w:t>
      </w:r>
      <w:r w:rsidR="004C6A2E">
        <w:rPr>
          <w:rFonts w:ascii="Times New Roman" w:hAnsi="Times New Roman" w:cs="Times New Roman"/>
          <w:b/>
          <w:sz w:val="20"/>
          <w:szCs w:val="20"/>
        </w:rPr>
        <w:t>3</w:t>
      </w:r>
      <w:r w:rsidRPr="006D325A">
        <w:rPr>
          <w:rFonts w:ascii="Times New Roman" w:hAnsi="Times New Roman" w:cs="Times New Roman"/>
          <w:b/>
          <w:sz w:val="20"/>
          <w:szCs w:val="20"/>
        </w:rPr>
        <w:t xml:space="preserve">. </w:t>
      </w:r>
      <w:r w:rsidRPr="00C037BE">
        <w:rPr>
          <w:rFonts w:ascii="Times New Roman" w:hAnsi="Times New Roman" w:cs="Times New Roman"/>
          <w:b/>
          <w:sz w:val="20"/>
          <w:szCs w:val="20"/>
        </w:rPr>
        <w:t>Cochran’s Q-test results for heterogeneity assessment in subgroup analysis</w:t>
      </w:r>
    </w:p>
    <w:p w14:paraId="3662E2CB" w14:textId="77777777" w:rsidR="00C037BE" w:rsidRDefault="00C037BE" w:rsidP="00C037BE">
      <w:pPr>
        <w:spacing w:line="480" w:lineRule="auto"/>
        <w:rPr>
          <w:rFonts w:ascii="Times New Roman" w:hAnsi="Times New Roman" w:cs="Times New Roman"/>
          <w:b/>
          <w:sz w:val="20"/>
          <w:szCs w:val="20"/>
        </w:rPr>
      </w:pPr>
    </w:p>
    <w:p w14:paraId="0AA35DA4" w14:textId="72846A69" w:rsidR="00C037BE" w:rsidRPr="0048698E" w:rsidRDefault="00C037BE" w:rsidP="00C037BE">
      <w:pPr>
        <w:spacing w:line="480" w:lineRule="auto"/>
        <w:rPr>
          <w:rFonts w:ascii="Times New Roman" w:hAnsi="Times New Roman" w:cs="Times New Roman"/>
          <w:sz w:val="20"/>
          <w:szCs w:val="20"/>
        </w:rPr>
      </w:pPr>
      <w:r>
        <w:rPr>
          <w:rFonts w:ascii="Times New Roman" w:hAnsi="Times New Roman" w:cs="Times New Roman"/>
          <w:sz w:val="20"/>
          <w:szCs w:val="20"/>
        </w:rPr>
        <w:t>Sex (male, female):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 = 0.</w:t>
      </w:r>
      <w:r w:rsidR="009D2A0F">
        <w:rPr>
          <w:rFonts w:ascii="Times New Roman" w:hAnsi="Times New Roman" w:cs="Times New Roman"/>
          <w:sz w:val="20"/>
          <w:szCs w:val="20"/>
        </w:rPr>
        <w:t>268</w:t>
      </w:r>
    </w:p>
    <w:p w14:paraId="384C1287" w14:textId="20D60F00" w:rsidR="00C037BE" w:rsidRPr="0048698E" w:rsidRDefault="00C037BE" w:rsidP="00C037BE">
      <w:pPr>
        <w:spacing w:line="480" w:lineRule="auto"/>
        <w:rPr>
          <w:rFonts w:ascii="Times New Roman" w:hAnsi="Times New Roman" w:cs="Times New Roman"/>
          <w:sz w:val="20"/>
          <w:szCs w:val="20"/>
        </w:rPr>
      </w:pPr>
      <w:r w:rsidRPr="0048698E">
        <w:rPr>
          <w:rFonts w:ascii="Times New Roman" w:hAnsi="Times New Roman" w:cs="Times New Roman"/>
          <w:sz w:val="20"/>
          <w:szCs w:val="20"/>
        </w:rPr>
        <w:t>Age (</w:t>
      </w:r>
      <w:r w:rsidR="009D2A0F">
        <w:rPr>
          <w:rFonts w:ascii="Times New Roman" w:hAnsi="Times New Roman" w:cs="Times New Roman"/>
          <w:sz w:val="20"/>
          <w:szCs w:val="20"/>
        </w:rPr>
        <w:t>20-39</w:t>
      </w:r>
      <w:r>
        <w:rPr>
          <w:rFonts w:ascii="Times New Roman" w:hAnsi="Times New Roman" w:cs="Times New Roman"/>
          <w:sz w:val="20"/>
          <w:szCs w:val="20"/>
        </w:rPr>
        <w:t xml:space="preserve">, </w:t>
      </w:r>
      <w:r w:rsidR="009D2A0F">
        <w:rPr>
          <w:rFonts w:ascii="Times New Roman" w:hAnsi="Times New Roman" w:cs="Times New Roman"/>
          <w:sz w:val="20"/>
          <w:szCs w:val="20"/>
        </w:rPr>
        <w:t>40-59</w:t>
      </w:r>
      <w:r>
        <w:rPr>
          <w:rFonts w:ascii="Times New Roman" w:hAnsi="Times New Roman" w:cs="Times New Roman"/>
          <w:sz w:val="20"/>
          <w:szCs w:val="20"/>
        </w:rPr>
        <w:t>, &gt;</w:t>
      </w:r>
      <w:r w:rsidR="009D2A0F">
        <w:rPr>
          <w:rFonts w:ascii="Times New Roman" w:hAnsi="Times New Roman" w:cs="Times New Roman"/>
          <w:sz w:val="20"/>
          <w:szCs w:val="20"/>
        </w:rPr>
        <w:t>59</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sidR="009D2A0F">
        <w:rPr>
          <w:rFonts w:ascii="Times New Roman" w:hAnsi="Times New Roman" w:cs="Times New Roman"/>
          <w:sz w:val="20"/>
          <w:szCs w:val="20"/>
        </w:rPr>
        <w:tab/>
      </w:r>
      <w:r>
        <w:rPr>
          <w:rFonts w:ascii="Times New Roman" w:hAnsi="Times New Roman" w:cs="Times New Roman"/>
          <w:sz w:val="20"/>
          <w:szCs w:val="20"/>
        </w:rPr>
        <w:t xml:space="preserve">p = </w:t>
      </w:r>
      <w:r w:rsidR="009D2A0F">
        <w:rPr>
          <w:rFonts w:ascii="Times New Roman" w:hAnsi="Times New Roman" w:cs="Times New Roman"/>
          <w:sz w:val="20"/>
          <w:szCs w:val="20"/>
        </w:rPr>
        <w:t>0.789</w:t>
      </w:r>
    </w:p>
    <w:p w14:paraId="596F967D" w14:textId="2A74AC29" w:rsidR="00C037BE" w:rsidRDefault="00C037BE" w:rsidP="00C037BE">
      <w:pPr>
        <w:spacing w:line="480" w:lineRule="auto"/>
        <w:rPr>
          <w:rFonts w:ascii="Times New Roman" w:hAnsi="Times New Roman" w:cs="Times New Roman"/>
          <w:sz w:val="20"/>
          <w:szCs w:val="20"/>
        </w:rPr>
      </w:pPr>
      <w:r>
        <w:rPr>
          <w:rFonts w:ascii="Times New Roman" w:hAnsi="Times New Roman" w:cs="Times New Roman"/>
          <w:sz w:val="20"/>
          <w:szCs w:val="20"/>
        </w:rPr>
        <w:t>Ethnic background (White, Black or African American,</w:t>
      </w:r>
      <w:r>
        <w:rPr>
          <w:rFonts w:ascii="Times New Roman" w:hAnsi="Times New Roman" w:cs="Times New Roman" w:hint="eastAsia"/>
          <w:sz w:val="20"/>
          <w:szCs w:val="20"/>
        </w:rPr>
        <w:t xml:space="preserve"> </w:t>
      </w:r>
      <w:r w:rsidR="00D65BEE">
        <w:rPr>
          <w:rFonts w:ascii="Times New Roman" w:hAnsi="Times New Roman" w:cs="Times New Roman"/>
          <w:sz w:val="20"/>
          <w:szCs w:val="20"/>
        </w:rPr>
        <w:t>Asian, o</w:t>
      </w:r>
      <w:r>
        <w:rPr>
          <w:rFonts w:ascii="Times New Roman" w:hAnsi="Times New Roman" w:cs="Times New Roman"/>
          <w:sz w:val="20"/>
          <w:szCs w:val="20"/>
        </w:rPr>
        <w:t>thers):</w:t>
      </w:r>
      <w:r>
        <w:rPr>
          <w:rFonts w:ascii="Times New Roman" w:hAnsi="Times New Roman" w:cs="Times New Roman"/>
          <w:sz w:val="20"/>
          <w:szCs w:val="20"/>
        </w:rPr>
        <w:tab/>
      </w:r>
      <w:r>
        <w:rPr>
          <w:rFonts w:ascii="Times New Roman" w:hAnsi="Times New Roman" w:cs="Times New Roman"/>
          <w:sz w:val="20"/>
          <w:szCs w:val="20"/>
        </w:rPr>
        <w:tab/>
        <w:t>p = 0</w:t>
      </w:r>
      <w:r w:rsidR="00D65BEE">
        <w:rPr>
          <w:rFonts w:ascii="Times New Roman" w:hAnsi="Times New Roman" w:cs="Times New Roman"/>
          <w:sz w:val="20"/>
          <w:szCs w:val="20"/>
        </w:rPr>
        <w:t>.587</w:t>
      </w:r>
    </w:p>
    <w:p w14:paraId="2C94D291" w14:textId="440AAD5B" w:rsidR="00C037BE" w:rsidRDefault="00D65BEE" w:rsidP="00C037BE">
      <w:pPr>
        <w:spacing w:line="480" w:lineRule="auto"/>
        <w:rPr>
          <w:rFonts w:ascii="Times New Roman" w:hAnsi="Times New Roman" w:cs="Times New Roman"/>
          <w:sz w:val="20"/>
          <w:szCs w:val="20"/>
        </w:rPr>
      </w:pPr>
      <w:r>
        <w:rPr>
          <w:rFonts w:ascii="Times New Roman" w:hAnsi="Times New Roman" w:cs="Times New Roman"/>
          <w:sz w:val="20"/>
          <w:szCs w:val="20"/>
        </w:rPr>
        <w:t>Primary hypertension</w:t>
      </w:r>
      <w:r w:rsidR="00C037BE">
        <w:rPr>
          <w:rFonts w:ascii="Times New Roman" w:hAnsi="Times New Roman" w:cs="Times New Roman"/>
          <w:sz w:val="20"/>
          <w:szCs w:val="20"/>
        </w:rPr>
        <w:t xml:space="preserve"> (yes, no):</w:t>
      </w:r>
      <w:r w:rsidR="00C037BE">
        <w:rPr>
          <w:rFonts w:ascii="Times New Roman" w:hAnsi="Times New Roman" w:cs="Times New Roman"/>
          <w:sz w:val="20"/>
          <w:szCs w:val="20"/>
        </w:rPr>
        <w:tab/>
      </w:r>
      <w:r w:rsidR="00C037BE">
        <w:rPr>
          <w:rFonts w:ascii="Times New Roman" w:hAnsi="Times New Roman" w:cs="Times New Roman"/>
          <w:sz w:val="20"/>
          <w:szCs w:val="20"/>
        </w:rPr>
        <w:tab/>
      </w:r>
      <w:r>
        <w:rPr>
          <w:rFonts w:ascii="Times New Roman" w:hAnsi="Times New Roman" w:cs="Times New Roman"/>
          <w:sz w:val="20"/>
          <w:szCs w:val="20"/>
        </w:rPr>
        <w:t>p = 0.002</w:t>
      </w:r>
    </w:p>
    <w:p w14:paraId="68A95479" w14:textId="2934CCCC" w:rsidR="00D65BEE" w:rsidRDefault="00D65BEE" w:rsidP="00C037BE">
      <w:pPr>
        <w:spacing w:line="480" w:lineRule="auto"/>
        <w:rPr>
          <w:rFonts w:ascii="Times New Roman" w:hAnsi="Times New Roman" w:cs="Times New Roman"/>
          <w:sz w:val="20"/>
          <w:szCs w:val="20"/>
        </w:rPr>
      </w:pPr>
      <w:r>
        <w:rPr>
          <w:rFonts w:ascii="Times New Roman" w:hAnsi="Times New Roman" w:cs="Times New Roman" w:hint="eastAsia"/>
          <w:sz w:val="20"/>
          <w:szCs w:val="20"/>
        </w:rPr>
        <w:t>D</w:t>
      </w:r>
      <w:r>
        <w:rPr>
          <w:rFonts w:ascii="Times New Roman" w:hAnsi="Times New Roman" w:cs="Times New Roman"/>
          <w:sz w:val="20"/>
          <w:szCs w:val="20"/>
        </w:rPr>
        <w:t>iabetes mellitus (yes, no):</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 = 0.046</w:t>
      </w:r>
    </w:p>
    <w:p w14:paraId="645ECF4D" w14:textId="046ACC27" w:rsidR="00C037BE" w:rsidRDefault="00D65BEE" w:rsidP="00C037BE">
      <w:pPr>
        <w:spacing w:line="480" w:lineRule="auto"/>
        <w:rPr>
          <w:rFonts w:ascii="Times New Roman" w:hAnsi="Times New Roman" w:cs="Times New Roman"/>
          <w:sz w:val="20"/>
          <w:szCs w:val="20"/>
        </w:rPr>
      </w:pPr>
      <w:r>
        <w:rPr>
          <w:rFonts w:ascii="Times New Roman" w:hAnsi="Times New Roman" w:cs="Times New Roman"/>
          <w:sz w:val="20"/>
          <w:szCs w:val="20"/>
        </w:rPr>
        <w:t>Dyslipidemia</w:t>
      </w:r>
      <w:r w:rsidR="00C037BE">
        <w:rPr>
          <w:rFonts w:ascii="Times New Roman" w:hAnsi="Times New Roman" w:cs="Times New Roman"/>
          <w:sz w:val="20"/>
          <w:szCs w:val="20"/>
        </w:rPr>
        <w:t xml:space="preserve"> (yes, no):</w:t>
      </w:r>
      <w:r w:rsidR="00C037BE">
        <w:rPr>
          <w:rFonts w:ascii="Times New Roman" w:hAnsi="Times New Roman" w:cs="Times New Roman"/>
          <w:sz w:val="20"/>
          <w:szCs w:val="20"/>
        </w:rPr>
        <w:tab/>
      </w:r>
      <w:r w:rsidR="00C037BE">
        <w:rPr>
          <w:rFonts w:ascii="Times New Roman" w:hAnsi="Times New Roman" w:cs="Times New Roman"/>
          <w:sz w:val="20"/>
          <w:szCs w:val="20"/>
        </w:rPr>
        <w:tab/>
      </w:r>
      <w:r w:rsidR="00C037BE">
        <w:rPr>
          <w:rFonts w:ascii="Times New Roman" w:hAnsi="Times New Roman" w:cs="Times New Roman"/>
          <w:sz w:val="20"/>
          <w:szCs w:val="20"/>
        </w:rPr>
        <w:tab/>
      </w:r>
      <w:r>
        <w:rPr>
          <w:rFonts w:ascii="Times New Roman" w:hAnsi="Times New Roman" w:cs="Times New Roman"/>
          <w:sz w:val="20"/>
          <w:szCs w:val="20"/>
        </w:rPr>
        <w:tab/>
        <w:t>p = 0.73</w:t>
      </w:r>
    </w:p>
    <w:p w14:paraId="73B94D7D" w14:textId="77777777" w:rsidR="00607AA0" w:rsidRDefault="00D65BEE" w:rsidP="00C037BE">
      <w:pPr>
        <w:spacing w:line="480" w:lineRule="auto"/>
        <w:rPr>
          <w:rFonts w:ascii="Times New Roman" w:hAnsi="Times New Roman" w:cs="Times New Roman"/>
          <w:sz w:val="20"/>
          <w:szCs w:val="20"/>
        </w:rPr>
      </w:pPr>
      <w:r>
        <w:rPr>
          <w:rFonts w:ascii="Times New Roman" w:hAnsi="Times New Roman" w:cs="Times New Roman"/>
          <w:sz w:val="20"/>
          <w:szCs w:val="20"/>
        </w:rPr>
        <w:t>Corticosteroids</w:t>
      </w:r>
      <w:r w:rsidR="00C037BE">
        <w:rPr>
          <w:rFonts w:ascii="Times New Roman" w:hAnsi="Times New Roman" w:cs="Times New Roman"/>
          <w:sz w:val="20"/>
          <w:szCs w:val="20"/>
        </w:rPr>
        <w:t xml:space="preserve"> (yes, no):</w:t>
      </w:r>
      <w:r w:rsidR="00C037BE">
        <w:rPr>
          <w:rFonts w:ascii="Times New Roman" w:hAnsi="Times New Roman" w:cs="Times New Roman"/>
          <w:sz w:val="20"/>
          <w:szCs w:val="20"/>
        </w:rPr>
        <w:tab/>
      </w:r>
      <w:r w:rsidR="00C037BE">
        <w:rPr>
          <w:rFonts w:ascii="Times New Roman" w:hAnsi="Times New Roman" w:cs="Times New Roman"/>
          <w:sz w:val="20"/>
          <w:szCs w:val="20"/>
        </w:rPr>
        <w:tab/>
      </w:r>
      <w:r w:rsidR="00C037BE">
        <w:rPr>
          <w:rFonts w:ascii="Times New Roman" w:hAnsi="Times New Roman" w:cs="Times New Roman"/>
          <w:sz w:val="20"/>
          <w:szCs w:val="20"/>
        </w:rPr>
        <w:tab/>
        <w:t>p = 0.</w:t>
      </w:r>
      <w:r>
        <w:rPr>
          <w:rFonts w:ascii="Times New Roman" w:hAnsi="Times New Roman" w:cs="Times New Roman"/>
          <w:sz w:val="20"/>
          <w:szCs w:val="20"/>
        </w:rPr>
        <w:t>583</w:t>
      </w:r>
    </w:p>
    <w:p w14:paraId="553EBEB5" w14:textId="18A973DB" w:rsidR="00C037BE" w:rsidRDefault="00607AA0" w:rsidP="00C037BE">
      <w:pPr>
        <w:spacing w:line="480" w:lineRule="auto"/>
        <w:rPr>
          <w:rFonts w:ascii="Times New Roman" w:hAnsi="Times New Roman" w:cs="Times New Roman"/>
          <w:sz w:val="20"/>
          <w:szCs w:val="20"/>
        </w:rPr>
      </w:pPr>
      <w:r>
        <w:rPr>
          <w:rFonts w:ascii="Times New Roman" w:hAnsi="Times New Roman" w:cs="Times New Roman"/>
          <w:sz w:val="20"/>
          <w:szCs w:val="20"/>
        </w:rPr>
        <w:t>Selective-serotonin</w:t>
      </w:r>
      <w:r w:rsidR="00C037BE">
        <w:rPr>
          <w:rFonts w:ascii="Times New Roman" w:hAnsi="Times New Roman" w:cs="Times New Roman"/>
          <w:sz w:val="20"/>
          <w:szCs w:val="20"/>
        </w:rPr>
        <w:t xml:space="preserve"> </w:t>
      </w:r>
      <w:r>
        <w:rPr>
          <w:rFonts w:ascii="Times New Roman" w:hAnsi="Times New Roman" w:cs="Times New Roman"/>
          <w:sz w:val="20"/>
          <w:szCs w:val="20"/>
        </w:rPr>
        <w:t xml:space="preserve">reuptake inhibitors </w:t>
      </w:r>
      <w:r w:rsidR="00C037BE">
        <w:rPr>
          <w:rFonts w:ascii="Times New Roman" w:hAnsi="Times New Roman" w:cs="Times New Roman"/>
          <w:sz w:val="20"/>
          <w:szCs w:val="20"/>
        </w:rPr>
        <w:t>(yes, no)</w:t>
      </w:r>
      <w:r w:rsidR="00C037BE">
        <w:rPr>
          <w:rFonts w:ascii="Times New Roman" w:hAnsi="Times New Roman" w:cs="Times New Roman"/>
          <w:sz w:val="20"/>
          <w:szCs w:val="20"/>
        </w:rPr>
        <w:tab/>
      </w:r>
      <w:r>
        <w:rPr>
          <w:rFonts w:ascii="Times New Roman" w:hAnsi="Times New Roman" w:cs="Times New Roman"/>
          <w:sz w:val="20"/>
          <w:szCs w:val="20"/>
        </w:rPr>
        <w:tab/>
      </w:r>
      <w:r w:rsidR="00C037BE">
        <w:rPr>
          <w:rFonts w:ascii="Times New Roman" w:hAnsi="Times New Roman" w:cs="Times New Roman" w:hint="eastAsia"/>
          <w:sz w:val="20"/>
          <w:szCs w:val="20"/>
        </w:rPr>
        <w:t>p</w:t>
      </w:r>
      <w:r w:rsidR="00C037BE">
        <w:rPr>
          <w:rFonts w:ascii="Times New Roman" w:hAnsi="Times New Roman" w:cs="Times New Roman"/>
          <w:sz w:val="20"/>
          <w:szCs w:val="20"/>
        </w:rPr>
        <w:t xml:space="preserve"> = 0.</w:t>
      </w:r>
      <w:r>
        <w:rPr>
          <w:rFonts w:ascii="Times New Roman" w:hAnsi="Times New Roman" w:cs="Times New Roman"/>
          <w:sz w:val="20"/>
          <w:szCs w:val="20"/>
        </w:rPr>
        <w:t>151</w:t>
      </w:r>
    </w:p>
    <w:p w14:paraId="37CE6510" w14:textId="7882DC8E" w:rsidR="00607AA0" w:rsidRDefault="00607AA0" w:rsidP="00C037BE">
      <w:pPr>
        <w:spacing w:line="480" w:lineRule="auto"/>
        <w:rPr>
          <w:rFonts w:ascii="Times New Roman" w:hAnsi="Times New Roman" w:cs="Times New Roman"/>
          <w:sz w:val="20"/>
          <w:szCs w:val="20"/>
        </w:rPr>
      </w:pPr>
      <w:r>
        <w:rPr>
          <w:rFonts w:ascii="Times New Roman" w:hAnsi="Times New Roman" w:cs="Times New Roman" w:hint="eastAsia"/>
          <w:sz w:val="20"/>
          <w:szCs w:val="20"/>
        </w:rPr>
        <w:t>A</w:t>
      </w:r>
      <w:r>
        <w:rPr>
          <w:rFonts w:ascii="Times New Roman" w:hAnsi="Times New Roman" w:cs="Times New Roman"/>
          <w:sz w:val="20"/>
          <w:szCs w:val="20"/>
        </w:rPr>
        <w:t>ntihistamines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 = 0.856</w:t>
      </w:r>
    </w:p>
    <w:p w14:paraId="63271B04" w14:textId="77777777" w:rsidR="00C037BE" w:rsidRPr="00607AA0" w:rsidRDefault="00C037BE" w:rsidP="00C037BE">
      <w:pPr>
        <w:spacing w:line="480" w:lineRule="auto"/>
        <w:rPr>
          <w:rFonts w:ascii="Times New Roman" w:hAnsi="Times New Roman" w:cs="Times New Roman"/>
          <w:sz w:val="20"/>
          <w:szCs w:val="20"/>
        </w:rPr>
      </w:pPr>
    </w:p>
    <w:p w14:paraId="6E444C8E" w14:textId="6EBE42DA" w:rsidR="00C037BE" w:rsidRDefault="00C037BE" w:rsidP="00C037BE">
      <w:pPr>
        <w:spacing w:line="480" w:lineRule="auto"/>
      </w:pPr>
      <w:r>
        <w:rPr>
          <w:rFonts w:ascii="Times New Roman" w:hAnsi="Times New Roman" w:cs="Times New Roman"/>
          <w:sz w:val="20"/>
          <w:szCs w:val="20"/>
        </w:rPr>
        <w:tab/>
        <w:t>The statistical significance threshold of Cochran’s Q-test p-value for heterogeneity assessments of results in outcome measurements is set at 0.</w:t>
      </w:r>
      <w:r>
        <w:rPr>
          <w:rFonts w:ascii="Times New Roman" w:hAnsi="Times New Roman" w:cs="Times New Roman" w:hint="eastAsia"/>
          <w:sz w:val="20"/>
          <w:szCs w:val="20"/>
        </w:rPr>
        <w:t>05 f</w:t>
      </w:r>
      <w:r>
        <w:rPr>
          <w:rFonts w:ascii="Times New Roman" w:hAnsi="Times New Roman" w:cs="Times New Roman"/>
          <w:sz w:val="20"/>
          <w:szCs w:val="20"/>
        </w:rPr>
        <w:t xml:space="preserve">or consistency with the elaboration on Kaplan Meier analysis results. </w:t>
      </w:r>
      <w:r w:rsidR="00962173">
        <w:rPr>
          <w:rFonts w:ascii="Times New Roman" w:hAnsi="Times New Roman" w:cs="Times New Roman"/>
          <w:sz w:val="20"/>
          <w:szCs w:val="20"/>
        </w:rPr>
        <w:t>Heterogeneity of results in adjustments over primary hypertension and diabetes mellitus were significant</w:t>
      </w:r>
      <w:r>
        <w:rPr>
          <w:rFonts w:ascii="Times New Roman" w:hAnsi="Times New Roman" w:cs="Times New Roman"/>
          <w:sz w:val="20"/>
          <w:szCs w:val="20"/>
        </w:rPr>
        <w:t>. Detailed process of conducting the Cochran’s Q tests is provided in the link below:</w:t>
      </w:r>
      <w:r>
        <w:rPr>
          <w:rFonts w:ascii="Times New Roman" w:hAnsi="Times New Roman" w:cs="Times New Roman" w:hint="eastAsia"/>
          <w:sz w:val="20"/>
          <w:szCs w:val="20"/>
        </w:rPr>
        <w:t xml:space="preserve"> </w:t>
      </w:r>
      <w:hyperlink r:id="rId8" w:history="1">
        <w:r w:rsidRPr="008804E4">
          <w:rPr>
            <w:rStyle w:val="a8"/>
            <w:rFonts w:ascii="Times New Roman" w:hAnsi="Times New Roman" w:cs="Times New Roman"/>
            <w:sz w:val="20"/>
            <w:szCs w:val="20"/>
          </w:rPr>
          <w:t>https://training.cochrane.org/handbook/current/statistical-methods-revman5</w:t>
        </w:r>
      </w:hyperlink>
    </w:p>
    <w:p w14:paraId="1FE41CC5" w14:textId="77777777" w:rsidR="000758A8" w:rsidRDefault="000758A8" w:rsidP="00BE084C">
      <w:pPr>
        <w:sectPr w:rsidR="000758A8" w:rsidSect="004C6A2E">
          <w:pgSz w:w="11906" w:h="16838"/>
          <w:pgMar w:top="1440" w:right="1800" w:bottom="1440" w:left="1800" w:header="851" w:footer="992" w:gutter="0"/>
          <w:cols w:space="425"/>
          <w:docGrid w:type="lines" w:linePitch="360"/>
        </w:sectPr>
      </w:pPr>
    </w:p>
    <w:p w14:paraId="0E95F5FD" w14:textId="1393C69A" w:rsidR="001B446D" w:rsidRDefault="001B446D" w:rsidP="001B446D">
      <w:pPr>
        <w:spacing w:line="480" w:lineRule="auto"/>
        <w:jc w:val="center"/>
        <w:rPr>
          <w:rFonts w:ascii="Times New Roman" w:hAnsi="Times New Roman" w:cs="Times New Roman"/>
          <w:b/>
          <w:sz w:val="22"/>
        </w:rPr>
      </w:pPr>
      <w:r w:rsidRPr="004C6A2E">
        <w:rPr>
          <w:rFonts w:ascii="Times New Roman" w:hAnsi="Times New Roman" w:cs="Times New Roman" w:hint="eastAsia"/>
          <w:b/>
          <w:sz w:val="22"/>
        </w:rPr>
        <w:lastRenderedPageBreak/>
        <w:t>A</w:t>
      </w:r>
      <w:r w:rsidRPr="004C6A2E">
        <w:rPr>
          <w:rFonts w:ascii="Times New Roman" w:hAnsi="Times New Roman" w:cs="Times New Roman"/>
          <w:b/>
          <w:sz w:val="22"/>
        </w:rPr>
        <w:t xml:space="preserve">ppendix </w:t>
      </w:r>
      <w:r>
        <w:rPr>
          <w:rFonts w:ascii="Times New Roman" w:hAnsi="Times New Roman" w:cs="Times New Roman"/>
          <w:b/>
          <w:sz w:val="22"/>
        </w:rPr>
        <w:t>4</w:t>
      </w:r>
      <w:r w:rsidRPr="004C6A2E">
        <w:rPr>
          <w:rFonts w:ascii="Times New Roman" w:hAnsi="Times New Roman" w:cs="Times New Roman"/>
          <w:b/>
          <w:sz w:val="22"/>
        </w:rPr>
        <w:t xml:space="preserve">. Outcome measurement results of glaucoma subtypes in the </w:t>
      </w:r>
      <w:r>
        <w:rPr>
          <w:rFonts w:ascii="Times New Roman" w:hAnsi="Times New Roman" w:cs="Times New Roman"/>
          <w:b/>
          <w:sz w:val="22"/>
        </w:rPr>
        <w:t>sensitivity</w:t>
      </w:r>
      <w:r w:rsidRPr="004C6A2E">
        <w:rPr>
          <w:rFonts w:ascii="Times New Roman" w:hAnsi="Times New Roman" w:cs="Times New Roman"/>
          <w:b/>
          <w:sz w:val="22"/>
        </w:rPr>
        <w:t xml:space="preserve"> analysis</w:t>
      </w:r>
    </w:p>
    <w:p w14:paraId="0E40AF5A" w14:textId="3563B058" w:rsidR="007279D6" w:rsidRDefault="001B446D" w:rsidP="00F5720B">
      <w:pPr>
        <w:spacing w:line="360" w:lineRule="auto"/>
        <w:jc w:val="center"/>
      </w:pPr>
      <w:r>
        <w:rPr>
          <w:rFonts w:hint="eastAsia"/>
          <w:noProof/>
        </w:rPr>
        <w:drawing>
          <wp:inline distT="0" distB="0" distL="0" distR="0" wp14:anchorId="61623D7E" wp14:editId="4308A61B">
            <wp:extent cx="9102631" cy="450215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 - sensitivity.pdf.tiff"/>
                    <pic:cNvPicPr/>
                  </pic:nvPicPr>
                  <pic:blipFill rotWithShape="1">
                    <a:blip r:embed="rId9" cstate="print">
                      <a:extLst>
                        <a:ext uri="{28A0092B-C50C-407E-A947-70E740481C1C}">
                          <a14:useLocalDpi xmlns:a14="http://schemas.microsoft.com/office/drawing/2010/main" val="0"/>
                        </a:ext>
                      </a:extLst>
                    </a:blip>
                    <a:srcRect l="4931" t="18650" r="5069" b="17758"/>
                    <a:stretch/>
                  </pic:blipFill>
                  <pic:spPr bwMode="auto">
                    <a:xfrm>
                      <a:off x="0" y="0"/>
                      <a:ext cx="9109259" cy="4505428"/>
                    </a:xfrm>
                    <a:prstGeom prst="rect">
                      <a:avLst/>
                    </a:prstGeom>
                    <a:ln>
                      <a:noFill/>
                    </a:ln>
                    <a:extLst>
                      <a:ext uri="{53640926-AAD7-44D8-BBD7-CCE9431645EC}">
                        <a14:shadowObscured xmlns:a14="http://schemas.microsoft.com/office/drawing/2010/main"/>
                      </a:ext>
                    </a:extLst>
                  </pic:spPr>
                </pic:pic>
              </a:graphicData>
            </a:graphic>
          </wp:inline>
        </w:drawing>
      </w:r>
    </w:p>
    <w:p w14:paraId="4C70FD8E" w14:textId="77777777" w:rsidR="00F5720B" w:rsidRDefault="00F5720B" w:rsidP="00F5720B">
      <w:pPr>
        <w:spacing w:line="360" w:lineRule="auto"/>
        <w:jc w:val="center"/>
        <w:rPr>
          <w:rFonts w:hint="eastAsia"/>
        </w:rPr>
      </w:pPr>
      <w:bookmarkStart w:id="1" w:name="_GoBack"/>
      <w:bookmarkEnd w:id="1"/>
    </w:p>
    <w:p w14:paraId="470CADAE" w14:textId="72D2E25A" w:rsidR="00F5720B" w:rsidRPr="00F5720B" w:rsidRDefault="00F5720B" w:rsidP="00F5720B">
      <w:pPr>
        <w:spacing w:line="360" w:lineRule="auto"/>
        <w:rPr>
          <w:rFonts w:ascii="Times New Roman" w:hAnsi="Times New Roman" w:cs="Times New Roman"/>
          <w:sz w:val="22"/>
        </w:rPr>
      </w:pPr>
      <w:r w:rsidRPr="00F5720B">
        <w:rPr>
          <w:rFonts w:ascii="Times New Roman" w:hAnsi="Times New Roman" w:cs="Times New Roman"/>
          <w:sz w:val="22"/>
        </w:rPr>
        <w:t>It should be noted that due to the relatively small sample size, the results are associated with wide 95% confidence intervals. Therefore, caution is warranted when interpreting these findings.</w:t>
      </w:r>
    </w:p>
    <w:sectPr w:rsidR="00F5720B" w:rsidRPr="00F5720B" w:rsidSect="000758A8">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0BD22" w14:textId="77777777" w:rsidR="0012346B" w:rsidRDefault="0012346B" w:rsidP="00BE084C">
      <w:r>
        <w:separator/>
      </w:r>
    </w:p>
  </w:endnote>
  <w:endnote w:type="continuationSeparator" w:id="0">
    <w:p w14:paraId="69F8C525" w14:textId="77777777" w:rsidR="0012346B" w:rsidRDefault="0012346B" w:rsidP="00BE0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B528B" w14:textId="77777777" w:rsidR="0012346B" w:rsidRDefault="0012346B" w:rsidP="00BE084C">
      <w:r>
        <w:separator/>
      </w:r>
    </w:p>
  </w:footnote>
  <w:footnote w:type="continuationSeparator" w:id="0">
    <w:p w14:paraId="44AE2685" w14:textId="77777777" w:rsidR="0012346B" w:rsidRDefault="0012346B" w:rsidP="00BE0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42750B"/>
    <w:multiLevelType w:val="hybridMultilevel"/>
    <w:tmpl w:val="D7381AAC"/>
    <w:lvl w:ilvl="0" w:tplc="1B54A950">
      <w:start w:val="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6DC14C93"/>
    <w:multiLevelType w:val="hybridMultilevel"/>
    <w:tmpl w:val="9AFAF102"/>
    <w:lvl w:ilvl="0" w:tplc="C0DC7220">
      <w:start w:val="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AEB"/>
    <w:rsid w:val="00032DC5"/>
    <w:rsid w:val="000758A8"/>
    <w:rsid w:val="0012346B"/>
    <w:rsid w:val="001B331F"/>
    <w:rsid w:val="001B446D"/>
    <w:rsid w:val="002E6986"/>
    <w:rsid w:val="003328B5"/>
    <w:rsid w:val="004C6A2E"/>
    <w:rsid w:val="005C60AB"/>
    <w:rsid w:val="00607AA0"/>
    <w:rsid w:val="007C4B93"/>
    <w:rsid w:val="00887371"/>
    <w:rsid w:val="00935AEB"/>
    <w:rsid w:val="00962173"/>
    <w:rsid w:val="009D2A0F"/>
    <w:rsid w:val="00A22D5C"/>
    <w:rsid w:val="00A82CE0"/>
    <w:rsid w:val="00BE084C"/>
    <w:rsid w:val="00C037BE"/>
    <w:rsid w:val="00C46077"/>
    <w:rsid w:val="00D25BCD"/>
    <w:rsid w:val="00D65BEE"/>
    <w:rsid w:val="00F5720B"/>
    <w:rsid w:val="00F572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3FA57"/>
  <w15:chartTrackingRefBased/>
  <w15:docId w15:val="{369403E5-77BD-44DC-B170-AB4BEDCB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084C"/>
    <w:pPr>
      <w:tabs>
        <w:tab w:val="center" w:pos="4153"/>
        <w:tab w:val="right" w:pos="8306"/>
      </w:tabs>
      <w:snapToGrid w:val="0"/>
    </w:pPr>
    <w:rPr>
      <w:sz w:val="20"/>
      <w:szCs w:val="20"/>
    </w:rPr>
  </w:style>
  <w:style w:type="character" w:customStyle="1" w:styleId="a4">
    <w:name w:val="頁首 字元"/>
    <w:basedOn w:val="a0"/>
    <w:link w:val="a3"/>
    <w:uiPriority w:val="99"/>
    <w:rsid w:val="00BE084C"/>
    <w:rPr>
      <w:sz w:val="20"/>
      <w:szCs w:val="20"/>
    </w:rPr>
  </w:style>
  <w:style w:type="paragraph" w:styleId="a5">
    <w:name w:val="footer"/>
    <w:basedOn w:val="a"/>
    <w:link w:val="a6"/>
    <w:uiPriority w:val="99"/>
    <w:unhideWhenUsed/>
    <w:rsid w:val="00BE084C"/>
    <w:pPr>
      <w:tabs>
        <w:tab w:val="center" w:pos="4153"/>
        <w:tab w:val="right" w:pos="8306"/>
      </w:tabs>
      <w:snapToGrid w:val="0"/>
    </w:pPr>
    <w:rPr>
      <w:sz w:val="20"/>
      <w:szCs w:val="20"/>
    </w:rPr>
  </w:style>
  <w:style w:type="character" w:customStyle="1" w:styleId="a6">
    <w:name w:val="頁尾 字元"/>
    <w:basedOn w:val="a0"/>
    <w:link w:val="a5"/>
    <w:uiPriority w:val="99"/>
    <w:rsid w:val="00BE084C"/>
    <w:rPr>
      <w:sz w:val="20"/>
      <w:szCs w:val="20"/>
    </w:rPr>
  </w:style>
  <w:style w:type="table" w:styleId="a7">
    <w:name w:val="Table Grid"/>
    <w:basedOn w:val="a1"/>
    <w:uiPriority w:val="39"/>
    <w:rsid w:val="00BE0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037BE"/>
    <w:rPr>
      <w:color w:val="0563C1" w:themeColor="hyperlink"/>
      <w:u w:val="single"/>
    </w:rPr>
  </w:style>
  <w:style w:type="paragraph" w:styleId="a9">
    <w:name w:val="List Paragraph"/>
    <w:basedOn w:val="a"/>
    <w:uiPriority w:val="34"/>
    <w:qFormat/>
    <w:rsid w:val="0088737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ining.cochrane.org/handbook/current/statistical-methods-revman5"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1141</Words>
  <Characters>6507</Characters>
  <Application>Microsoft Office Word</Application>
  <DocSecurity>0</DocSecurity>
  <Lines>54</Lines>
  <Paragraphs>15</Paragraphs>
  <ScaleCrop>false</ScaleCrop>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2025-02-25T07:56:00Z</dcterms:created>
  <dcterms:modified xsi:type="dcterms:W3CDTF">2025-06-11T02:41:00Z</dcterms:modified>
</cp:coreProperties>
</file>