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65960" w14:textId="77777777" w:rsidR="0046563E" w:rsidRDefault="0046563E" w:rsidP="0046563E">
      <w:pPr>
        <w:pStyle w:val="NormalWeb"/>
        <w:jc w:val="both"/>
      </w:pPr>
      <w:r>
        <w:rPr>
          <w:noProof/>
        </w:rPr>
        <w:drawing>
          <wp:inline distT="0" distB="0" distL="0" distR="0" wp14:anchorId="3304A187" wp14:editId="7534D918">
            <wp:extent cx="5846736" cy="3136900"/>
            <wp:effectExtent l="0" t="0" r="0" b="0"/>
            <wp:docPr id="15" name="Picture 15" descr="A circular object with orange and red labe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circular object with orange and red labe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149" cy="3140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F84C0" w14:textId="77777777" w:rsidR="0046563E" w:rsidRDefault="0046563E" w:rsidP="0046563E">
      <w:pPr>
        <w:pStyle w:val="NormalWeb"/>
      </w:pPr>
      <w:r>
        <w:rPr>
          <w:rStyle w:val="Strong"/>
        </w:rPr>
        <w:t>Supplementary Figure S1: cytoscape_network.tiff</w:t>
      </w:r>
      <w:r>
        <w:t xml:space="preserve"> - PPI Network Visualized in Cytoscape with Prefuse Force-Directed Layout, Showing Community Clusters and High-Degree Nodes.</w:t>
      </w:r>
    </w:p>
    <w:p w14:paraId="52C508B7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63E"/>
    <w:rsid w:val="003C2EF4"/>
    <w:rsid w:val="00446799"/>
    <w:rsid w:val="0046563E"/>
    <w:rsid w:val="006A7E07"/>
    <w:rsid w:val="00701021"/>
    <w:rsid w:val="00B74216"/>
    <w:rsid w:val="00D47ED1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0A304"/>
  <w15:chartTrackingRefBased/>
  <w15:docId w15:val="{B0CF967E-003A-47F8-9F21-7EAA0D87A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56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6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6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6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6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6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6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6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6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6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6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6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6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6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6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6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6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6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6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6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6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6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6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6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6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6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6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6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63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656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656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Springer Nature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2025-10-03T16:07:00Z</dcterms:created>
  <dcterms:modified xsi:type="dcterms:W3CDTF">2025-10-03T16:07:00Z</dcterms:modified>
</cp:coreProperties>
</file>