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media/image4.png" ContentType="image/png"/>
  <Override PartName="/word/media/image3.png" ContentType="image/png"/>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widowControl/>
        <w:pBdr/>
        <w:shd w:val="clear" w:color="auto" w:fill="auto"/>
        <w:spacing w:lineRule="auto" w:line="360" w:before="76" w:after="0"/>
        <w:ind w:left="0" w:right="0" w:hanging="0"/>
        <w:jc w:val="center"/>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Bee responses to landscape composition on coupled and decoupled multiscale approaches</w:t>
      </w:r>
    </w:p>
    <w:p>
      <w:pPr>
        <w:pStyle w:val="Normal"/>
        <w:keepNext w:val="false"/>
        <w:keepLines w:val="false"/>
        <w:widowControl/>
        <w:pBdr/>
        <w:shd w:val="clear" w:color="auto" w:fill="auto"/>
        <w:spacing w:lineRule="auto" w:line="360" w:before="76" w:after="0"/>
        <w:ind w:left="510" w:right="454" w:hanging="0"/>
        <w:jc w:val="center"/>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Lázaro da Silva Carneiro, Milton Cezar Ribeiro, Willian Moura de Aguiar, Camila de Fatima Priante, Wilson Frantine-Silva, Maria Cristina Gaglianone</w:t>
      </w:r>
    </w:p>
    <w:p>
      <w:pPr>
        <w:pStyle w:val="Normal"/>
        <w:shd w:val="clear" w:color="auto" w:fill="auto"/>
        <w:spacing w:lineRule="auto" w:line="360" w:before="76" w:after="0"/>
        <w:ind w:left="510" w:right="454" w:hanging="0"/>
        <w:jc w:val="center"/>
        <w:rPr>
          <w:rFonts w:ascii="Times New Roman" w:hAnsi="Times New Roman" w:eastAsia="Times New Roman" w:cs="Times New Roman"/>
          <w:b w:val="false"/>
          <w:b w:val="false"/>
          <w:bCs w:val="false"/>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keepNext w:val="false"/>
        <w:keepLines w:val="false"/>
        <w:widowControl/>
        <w:pBdr/>
        <w:shd w:val="clear" w:color="auto" w:fill="auto"/>
        <w:spacing w:lineRule="auto" w:line="360" w:before="76" w:after="0"/>
        <w:ind w:left="116" w:right="421" w:hanging="0"/>
        <w:jc w:val="center"/>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 xml:space="preserve">Supplementary Material </w:t>
      </w:r>
    </w:p>
    <w:p>
      <w:pPr>
        <w:pStyle w:val="Normal"/>
        <w:shd w:val="clear" w:color="auto" w:fill="auto"/>
        <w:spacing w:lineRule="auto" w:line="360" w:before="76" w:after="0"/>
        <w:ind w:left="116" w:right="421" w:hanging="0"/>
        <w:jc w:val="center"/>
        <w:rPr>
          <w:rFonts w:ascii="Times New Roman" w:hAnsi="Times New Roman" w:eastAsia="Times New Roman" w:cs="Times New Roman"/>
          <w:b/>
          <w:b/>
          <w:bCs/>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bCs/>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keepNext w:val="false"/>
        <w:keepLines w:val="false"/>
        <w:widowControl/>
        <w:pBdr/>
        <w:shd w:val="clear" w:color="auto" w:fill="auto"/>
        <w:spacing w:lineRule="auto" w:line="360" w:before="76" w:after="0"/>
        <w:ind w:left="116" w:right="421" w:hanging="0"/>
        <w:jc w:val="center"/>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drawing>
          <wp:inline distT="0" distB="0" distL="0" distR="0">
            <wp:extent cx="5944870" cy="2665730"/>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2"/>
                    <a:stretch>
                      <a:fillRect/>
                    </a:stretch>
                  </pic:blipFill>
                  <pic:spPr bwMode="auto">
                    <a:xfrm>
                      <a:off x="0" y="0"/>
                      <a:ext cx="5944870" cy="2665730"/>
                    </a:xfrm>
                    <a:prstGeom prst="rect">
                      <a:avLst/>
                    </a:prstGeom>
                  </pic:spPr>
                </pic:pic>
              </a:graphicData>
            </a:graphic>
          </wp:inline>
        </w:drawing>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Figure S1. Scatter plot and correlation matrix between forest cover (pct) and landscape heterogeneity (shdi) quantified at coupled local scales (i.e. nested) in 15 landscapes from southeast Brazil. The above right matrix represents the Pearson's correlation (r)  between each landscape metric pairwise. The diagonal matrix is the frequency histogram of landscape metrics. The lower left matrix represents the fit of the correlation between forest cover and heterogeneity at each spatial scale.</w:t>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drawing>
          <wp:inline distT="0" distB="0" distL="0" distR="0">
            <wp:extent cx="6193155" cy="2776855"/>
            <wp:effectExtent l="0" t="0" r="0" b="0"/>
            <wp:docPr id="2"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descr=""/>
                    <pic:cNvPicPr>
                      <a:picLocks noChangeAspect="1" noChangeArrowheads="1"/>
                    </pic:cNvPicPr>
                  </pic:nvPicPr>
                  <pic:blipFill>
                    <a:blip r:embed="rId3"/>
                    <a:stretch>
                      <a:fillRect/>
                    </a:stretch>
                  </pic:blipFill>
                  <pic:spPr bwMode="auto">
                    <a:xfrm>
                      <a:off x="0" y="0"/>
                      <a:ext cx="6193155" cy="2776855"/>
                    </a:xfrm>
                    <a:prstGeom prst="rect">
                      <a:avLst/>
                    </a:prstGeom>
                  </pic:spPr>
                </pic:pic>
              </a:graphicData>
            </a:graphic>
          </wp:inline>
        </w:drawing>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Figure S2. Scatter plot and correlation matrix between forest cover (pct) and landscape heterogeneity (shdi) quantified at decoupled regional scales in 15 landscapes in southeast Brazil. The above right matrix represents the Pearson's correlation (r)  between each landscape metric pairwise. The diagonal matrix is the frequency histogram of landscape metrics. The lower left matrix represents the fit of the correlation between forest cover and heterogeneity at each spatial scale.</w:t>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themeColor="text1" w:themeShade="ff" w:themeTint="ff"/>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themeColor="text1" w:themeShade="ff" w:themeTint="ff"/>
          <w:position w:val="0"/>
          <w:sz w:val="24"/>
          <w:sz w:val="24"/>
          <w:szCs w:val="24"/>
          <w:u w:val="none"/>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bookmarkStart w:id="0" w:name="_gjdgxs"/>
      <w:bookmarkEnd w:id="0"/>
      <w:r>
        <w:rPr/>
        <w:drawing>
          <wp:inline distT="0" distB="0" distL="0" distR="0">
            <wp:extent cx="5939155" cy="2665730"/>
            <wp:effectExtent l="0" t="0" r="0" b="0"/>
            <wp:docPr id="3"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
                    <pic:cNvPicPr>
                      <a:picLocks noChangeAspect="1" noChangeArrowheads="1"/>
                    </pic:cNvPicPr>
                  </pic:nvPicPr>
                  <pic:blipFill>
                    <a:blip r:embed="rId4"/>
                    <a:stretch>
                      <a:fillRect/>
                    </a:stretch>
                  </pic:blipFill>
                  <pic:spPr bwMode="auto">
                    <a:xfrm>
                      <a:off x="0" y="0"/>
                      <a:ext cx="5939155" cy="2665730"/>
                    </a:xfrm>
                    <a:prstGeom prst="rect">
                      <a:avLst/>
                    </a:prstGeom>
                  </pic:spPr>
                </pic:pic>
              </a:graphicData>
            </a:graphic>
          </wp:inline>
        </w:drawing>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Figure S3. Scatter plot and correlation matrix between forest cover (pct) and landscape heterogeneity (shdi) quantified at coupled local (mult)</w:t>
      </w:r>
      <w:r>
        <w:rPr>
          <w:rFonts w:eastAsia="Times New Roman" w:cs="Times New Roman" w:ascii="Times New Roman" w:hAnsi="Times New Roman"/>
        </w:rPr>
        <w:t xml:space="preserve">, and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decoupled regional (extract) scales in 15 landscapes in southeast Brazil. The above right matrix represents the Pearson's correlation (r)  between each landscape metric pairwise. The diagonal matrix is the frequency histogram of landscape metrics. The lower left matrix represents the fit of the correlation between forest cover and heterogeneity at each spatial scale.</w:t>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Figure S4. Scatter plot and final correlation matrix between forest cover (pct) and landscape heterogeneity (shdi) quantified at coupled local (mult)</w:t>
      </w:r>
      <w:r>
        <w:rPr>
          <w:rFonts w:eastAsia="Times New Roman" w:cs="Times New Roman" w:ascii="Times New Roman" w:hAnsi="Times New Roman"/>
        </w:rPr>
        <w:t xml:space="preserve">, and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rawing>
          <wp:anchor behindDoc="0" distT="0" distB="0" distL="0" distR="0" simplePos="0" locked="0" layoutInCell="1" allowOverlap="1" relativeHeight="2">
            <wp:simplePos x="0" y="0"/>
            <wp:positionH relativeFrom="column">
              <wp:posOffset>133350</wp:posOffset>
            </wp:positionH>
            <wp:positionV relativeFrom="paragraph">
              <wp:posOffset>161290</wp:posOffset>
            </wp:positionV>
            <wp:extent cx="5815965" cy="2609850"/>
            <wp:effectExtent l="0" t="0" r="0" b="0"/>
            <wp:wrapTopAndBottom/>
            <wp:docPr id="4"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descr=""/>
                    <pic:cNvPicPr>
                      <a:picLocks noChangeAspect="1" noChangeArrowheads="1"/>
                    </pic:cNvPicPr>
                  </pic:nvPicPr>
                  <pic:blipFill>
                    <a:blip r:embed="rId5"/>
                    <a:stretch>
                      <a:fillRect/>
                    </a:stretch>
                  </pic:blipFill>
                  <pic:spPr bwMode="auto">
                    <a:xfrm>
                      <a:off x="0" y="0"/>
                      <a:ext cx="5815965" cy="2609850"/>
                    </a:xfrm>
                    <a:prstGeom prst="rect">
                      <a:avLst/>
                    </a:prstGeom>
                  </pic:spPr>
                </pic:pic>
              </a:graphicData>
            </a:graphic>
          </wp:anchor>
        </w:drawing>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decoupled regional (extract) scales in 15 landscapes in southeast Brazil. The above right matrix represents the Pearson's correlation (r)  between each landscape metric pairwise. The diagonal matrix is the frequency histogram of landscape metrics. The lower left matrix represents the fit of the correlation between forest cover and heterogeneity at each spatial scale.</w:t>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4"/>
          <w:sz w:val="24"/>
          <w:szCs w:val="24"/>
          <w:u w:val="none"/>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fill="auto"/>
        <w:spacing w:lineRule="auto" w:line="360" w:before="76" w:after="0"/>
        <w:ind w:left="116" w:right="421"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fill="auto"/>
        <w:spacing w:lineRule="auto" w:line="360" w:before="76" w:after="0"/>
        <w:ind w:left="116" w:right="421"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fill="auto"/>
        <w:spacing w:lineRule="auto" w:line="360" w:before="76" w:after="0"/>
        <w:ind w:left="116" w:right="421"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shd w:val="clear" w:fill="auto"/>
        <w:spacing w:lineRule="auto" w:line="360" w:before="76" w:after="0"/>
        <w:ind w:left="116" w:right="421"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sectPr>
          <w:type w:val="nextPage"/>
          <w:pgSz w:w="11906" w:h="16838"/>
          <w:pgMar w:left="1134" w:right="1134" w:header="0" w:top="1134" w:footer="0" w:bottom="1134" w:gutter="0"/>
          <w:pgNumType w:start="1" w:fmt="decimal"/>
          <w:formProt w:val="false"/>
          <w:textDirection w:val="lrTb"/>
          <w:docGrid w:type="default" w:linePitch="100" w:charSpace="0"/>
        </w:sectPr>
        <w:pStyle w:val="Normal"/>
        <w:keepNext w:val="false"/>
        <w:keepLines w:val="false"/>
        <w:widowControl/>
        <w:pBdr/>
        <w:shd w:val="clear" w:fill="auto"/>
        <w:spacing w:lineRule="auto" w:line="360" w:before="76" w:after="0"/>
        <w:ind w:left="116" w:right="421"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Normal"/>
        <w:keepNext w:val="false"/>
        <w:keepLines w:val="false"/>
        <w:widowControl/>
        <w:pBdr/>
        <w:bidi w:val="0"/>
        <w:spacing w:lineRule="auto" w:line="360" w:before="76" w:after="0"/>
        <w:ind w:left="113" w:right="-57" w:hanging="0"/>
        <w:jc w:val="left"/>
        <w:rPr/>
      </w:pPr>
      <w:r>
        <w:rPr>
          <w:rFonts w:eastAsia="Times New Roman" w:cs="Times New Roman" w:ascii="Times New Roman" w:hAnsi="Times New Roman"/>
          <w:sz w:val="24"/>
          <w:szCs w:val="24"/>
        </w:rPr>
        <w:t>Table S1. Coefficient of determination (</w:t>
      </w:r>
      <w:r>
        <w:rPr>
          <w:rFonts w:eastAsia="Times New Roman" w:cs="Times New Roman" w:ascii="Times New Roman" w:hAnsi="Times New Roman"/>
          <w:i/>
          <w:iCs/>
          <w:sz w:val="24"/>
          <w:szCs w:val="24"/>
        </w:rPr>
        <w:t>R²</w:t>
      </w:r>
      <w:r>
        <w:rPr>
          <w:rFonts w:eastAsia="Times New Roman" w:cs="Times New Roman" w:ascii="Times New Roman" w:hAnsi="Times New Roman"/>
          <w:sz w:val="24"/>
          <w:szCs w:val="24"/>
        </w:rPr>
        <w:t>) of Linear Models (LMs) between response variables (richness, residual richness, total abundance, residual total abundance (log10), total abundance (log10), residual total abundance (log10)), and the landscape attributes in coupled local scales and decoupled regional scales, besides altitude. The choice of the response variable for the analysis is shown in table (</w:t>
      </w:r>
      <w:r>
        <w:rPr>
          <w:rFonts w:eastAsia="Times New Roman" w:cs="Times New Roman" w:ascii="Times New Roman" w:hAnsi="Times New Roman"/>
          <w:b/>
          <w:bCs/>
          <w:sz w:val="24"/>
          <w:szCs w:val="24"/>
        </w:rPr>
        <w:t>X</w:t>
      </w:r>
      <w:r>
        <w:rPr>
          <w:rFonts w:eastAsia="Times New Roman" w:cs="Times New Roman" w:ascii="Times New Roman" w:hAnsi="Times New Roman"/>
          <w:sz w:val="24"/>
          <w:szCs w:val="24"/>
        </w:rPr>
        <w:t xml:space="preserve">). We selected LMs with </w:t>
      </w:r>
      <w:r>
        <w:rPr>
          <w:rFonts w:eastAsia="Times New Roman" w:cs="Times New Roman" w:ascii="Times New Roman" w:hAnsi="Times New Roman"/>
          <w:i/>
          <w:iCs/>
          <w:sz w:val="24"/>
          <w:szCs w:val="24"/>
        </w:rPr>
        <w:t>R</w:t>
      </w:r>
      <w:r>
        <w:rPr>
          <w:rFonts w:eastAsia="Times New Roman" w:cs="Times New Roman" w:ascii="Times New Roman" w:hAnsi="Times New Roman"/>
          <w:sz w:val="24"/>
          <w:szCs w:val="24"/>
        </w:rPr>
        <w:t>² &gt; 0.1 for analysis with Generalized Linear Models - GLMs.</w:t>
      </w:r>
    </w:p>
    <w:tbl>
      <w:tblPr>
        <w:tblW w:w="14820" w:type="dxa"/>
        <w:jc w:val="left"/>
        <w:tblInd w:w="-215" w:type="dxa"/>
        <w:tblBorders>
          <w:top w:val="single" w:sz="8" w:space="0" w:color="000000"/>
          <w:bottom w:val="single" w:sz="6" w:space="0" w:color="000000"/>
          <w:insideH w:val="single" w:sz="6" w:space="0" w:color="000000"/>
        </w:tblBorders>
        <w:tblCellMar>
          <w:top w:w="0" w:type="dxa"/>
          <w:left w:w="40" w:type="dxa"/>
          <w:bottom w:w="0" w:type="dxa"/>
          <w:right w:w="40" w:type="dxa"/>
        </w:tblCellMar>
        <w:tblLook w:noVBand="1" w:val="0600" w:noHBand="1" w:lastColumn="0" w:firstColumn="0" w:lastRow="0" w:firstRow="0"/>
      </w:tblPr>
      <w:tblGrid>
        <w:gridCol w:w="3030"/>
        <w:gridCol w:w="1186"/>
        <w:gridCol w:w="1500"/>
        <w:gridCol w:w="1649"/>
        <w:gridCol w:w="2159"/>
        <w:gridCol w:w="2220"/>
        <w:gridCol w:w="3075"/>
      </w:tblGrid>
      <w:tr>
        <w:trPr>
          <w:trHeight w:val="555" w:hRule="atLeast"/>
        </w:trPr>
        <w:tc>
          <w:tcPr>
            <w:tcW w:w="3030"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Local Coupled Scales</w:t>
            </w:r>
          </w:p>
        </w:tc>
        <w:tc>
          <w:tcPr>
            <w:tcW w:w="1186"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Richness</w:t>
            </w:r>
          </w:p>
        </w:tc>
        <w:tc>
          <w:tcPr>
            <w:tcW w:w="1500"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Richness</w:t>
            </w:r>
          </w:p>
        </w:tc>
        <w:tc>
          <w:tcPr>
            <w:tcW w:w="1649"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Total Abundance</w:t>
            </w:r>
          </w:p>
        </w:tc>
        <w:tc>
          <w:tcPr>
            <w:tcW w:w="2159"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Total Abundance</w:t>
            </w:r>
          </w:p>
        </w:tc>
        <w:tc>
          <w:tcPr>
            <w:tcW w:w="2220"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Total Abundance (log10)</w:t>
            </w:r>
          </w:p>
        </w:tc>
        <w:tc>
          <w:tcPr>
            <w:tcW w:w="3075" w:type="dxa"/>
            <w:tcBorders>
              <w:top w:val="single" w:sz="8"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Total Abundance (log10)</w:t>
            </w:r>
          </w:p>
        </w:tc>
      </w:tr>
      <w:tr>
        <w:trPr>
          <w:trHeight w:val="300" w:hRule="atLeast"/>
        </w:trPr>
        <w:tc>
          <w:tcPr>
            <w:tcW w:w="3030"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500 m</w:t>
            </w:r>
          </w:p>
        </w:tc>
        <w:tc>
          <w:tcPr>
            <w:tcW w:w="1186"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0.194</w:t>
            </w:r>
          </w:p>
        </w:tc>
        <w:tc>
          <w:tcPr>
            <w:tcW w:w="1500"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0.195</w:t>
            </w:r>
          </w:p>
        </w:tc>
        <w:tc>
          <w:tcPr>
            <w:tcW w:w="1649"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0.087</w:t>
            </w:r>
          </w:p>
        </w:tc>
        <w:tc>
          <w:tcPr>
            <w:tcW w:w="2159"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R²=0.135</w:t>
            </w:r>
          </w:p>
        </w:tc>
        <w:tc>
          <w:tcPr>
            <w:tcW w:w="2220"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R²=0.140</w:t>
            </w:r>
          </w:p>
        </w:tc>
        <w:tc>
          <w:tcPr>
            <w:tcW w:w="3075"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R²=0.441</w:t>
            </w:r>
          </w:p>
        </w:tc>
      </w:tr>
      <w:tr>
        <w:trPr>
          <w:trHeight w:val="300" w:hRule="atLeast"/>
        </w:trPr>
        <w:tc>
          <w:tcPr>
            <w:tcW w:w="303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1000 m</w:t>
            </w:r>
          </w:p>
        </w:tc>
        <w:tc>
          <w:tcPr>
            <w:tcW w:w="1186"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0.062</w:t>
            </w:r>
          </w:p>
        </w:tc>
        <w:tc>
          <w:tcPr>
            <w:tcW w:w="150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0.034</w:t>
            </w:r>
          </w:p>
        </w:tc>
        <w:tc>
          <w:tcPr>
            <w:tcW w:w="1649"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0.062</w:t>
            </w:r>
          </w:p>
        </w:tc>
        <w:tc>
          <w:tcPr>
            <w:tcW w:w="2159"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R²=0.394</w:t>
            </w:r>
          </w:p>
        </w:tc>
        <w:tc>
          <w:tcPr>
            <w:tcW w:w="222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R²=0.001</w:t>
            </w:r>
          </w:p>
        </w:tc>
        <w:tc>
          <w:tcPr>
            <w:tcW w:w="307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R²=0.268</w:t>
            </w:r>
          </w:p>
        </w:tc>
      </w:tr>
      <w:tr>
        <w:trPr>
          <w:trHeight w:val="300" w:hRule="atLeast"/>
        </w:trPr>
        <w:tc>
          <w:tcPr>
            <w:tcW w:w="303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Regional Decoupled Scales</w:t>
            </w:r>
          </w:p>
        </w:tc>
        <w:tc>
          <w:tcPr>
            <w:tcW w:w="1186"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0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c>
          <w:tcPr>
            <w:tcW w:w="1649"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159"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22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307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r>
      <w:tr>
        <w:trPr>
          <w:trHeight w:val="300" w:hRule="atLeast"/>
        </w:trPr>
        <w:tc>
          <w:tcPr>
            <w:tcW w:w="30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1000 m</w:t>
            </w:r>
          </w:p>
        </w:tc>
        <w:tc>
          <w:tcPr>
            <w:tcW w:w="118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0.032</w:t>
            </w:r>
          </w:p>
        </w:tc>
        <w:tc>
          <w:tcPr>
            <w:tcW w:w="150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0.144</w:t>
            </w:r>
          </w:p>
        </w:tc>
        <w:tc>
          <w:tcPr>
            <w:tcW w:w="164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0.080</w:t>
            </w:r>
          </w:p>
        </w:tc>
        <w:tc>
          <w:tcPr>
            <w:tcW w:w="215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R²=0.055</w:t>
            </w:r>
          </w:p>
        </w:tc>
        <w:tc>
          <w:tcPr>
            <w:tcW w:w="222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R²=0.085</w:t>
            </w:r>
          </w:p>
        </w:tc>
        <w:tc>
          <w:tcPr>
            <w:tcW w:w="30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R²=0.244</w:t>
            </w:r>
          </w:p>
        </w:tc>
      </w:tr>
      <w:tr>
        <w:trPr>
          <w:trHeight w:val="300" w:hRule="atLeast"/>
        </w:trPr>
        <w:tc>
          <w:tcPr>
            <w:tcW w:w="30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1500 m</w:t>
            </w:r>
          </w:p>
        </w:tc>
        <w:tc>
          <w:tcPr>
            <w:tcW w:w="118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0.278</w:t>
            </w:r>
          </w:p>
        </w:tc>
        <w:tc>
          <w:tcPr>
            <w:tcW w:w="150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0.253</w:t>
            </w:r>
          </w:p>
        </w:tc>
        <w:tc>
          <w:tcPr>
            <w:tcW w:w="164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0.076</w:t>
            </w:r>
          </w:p>
        </w:tc>
        <w:tc>
          <w:tcPr>
            <w:tcW w:w="215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0.33</w:t>
            </w:r>
          </w:p>
        </w:tc>
        <w:tc>
          <w:tcPr>
            <w:tcW w:w="222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R²=0.007</w:t>
            </w:r>
          </w:p>
        </w:tc>
        <w:tc>
          <w:tcPr>
            <w:tcW w:w="30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R²=0.011</w:t>
            </w:r>
          </w:p>
        </w:tc>
      </w:tr>
      <w:tr>
        <w:trPr>
          <w:trHeight w:val="300" w:hRule="atLeast"/>
        </w:trPr>
        <w:tc>
          <w:tcPr>
            <w:tcW w:w="30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2000 m</w:t>
            </w:r>
          </w:p>
        </w:tc>
        <w:tc>
          <w:tcPr>
            <w:tcW w:w="118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0.294</w:t>
            </w:r>
          </w:p>
        </w:tc>
        <w:tc>
          <w:tcPr>
            <w:tcW w:w="150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0.165</w:t>
            </w:r>
          </w:p>
        </w:tc>
        <w:tc>
          <w:tcPr>
            <w:tcW w:w="164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0.129</w:t>
            </w:r>
          </w:p>
        </w:tc>
        <w:tc>
          <w:tcPr>
            <w:tcW w:w="2159"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0.000</w:t>
            </w:r>
          </w:p>
        </w:tc>
        <w:tc>
          <w:tcPr>
            <w:tcW w:w="222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 339</w:t>
            </w:r>
          </w:p>
        </w:tc>
        <w:tc>
          <w:tcPr>
            <w:tcW w:w="30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R²=0.069</w:t>
            </w:r>
          </w:p>
        </w:tc>
      </w:tr>
      <w:tr>
        <w:trPr>
          <w:trHeight w:val="300" w:hRule="atLeast"/>
        </w:trPr>
        <w:tc>
          <w:tcPr>
            <w:tcW w:w="303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3000 m</w:t>
            </w:r>
          </w:p>
        </w:tc>
        <w:tc>
          <w:tcPr>
            <w:tcW w:w="1186"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0.131</w:t>
            </w:r>
          </w:p>
        </w:tc>
        <w:tc>
          <w:tcPr>
            <w:tcW w:w="150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0.007</w:t>
            </w:r>
          </w:p>
        </w:tc>
        <w:tc>
          <w:tcPr>
            <w:tcW w:w="1649"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0.381</w:t>
            </w:r>
          </w:p>
        </w:tc>
        <w:tc>
          <w:tcPr>
            <w:tcW w:w="2159"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R²=0.009</w:t>
            </w:r>
          </w:p>
        </w:tc>
        <w:tc>
          <w:tcPr>
            <w:tcW w:w="222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R²=0.723</w:t>
            </w:r>
          </w:p>
        </w:tc>
        <w:tc>
          <w:tcPr>
            <w:tcW w:w="307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R²=0.004</w:t>
            </w:r>
          </w:p>
        </w:tc>
      </w:tr>
      <w:tr>
        <w:trPr>
          <w:trHeight w:val="300" w:hRule="atLeast"/>
        </w:trPr>
        <w:tc>
          <w:tcPr>
            <w:tcW w:w="303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Altitude</w:t>
            </w:r>
          </w:p>
        </w:tc>
        <w:tc>
          <w:tcPr>
            <w:tcW w:w="1186"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0.089</w:t>
            </w:r>
          </w:p>
        </w:tc>
        <w:tc>
          <w:tcPr>
            <w:tcW w:w="150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1649"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0.535</w:t>
            </w:r>
          </w:p>
        </w:tc>
        <w:tc>
          <w:tcPr>
            <w:tcW w:w="2159"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222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R²=0.767</w:t>
            </w:r>
          </w:p>
        </w:tc>
        <w:tc>
          <w:tcPr>
            <w:tcW w:w="307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r>
      <w:tr>
        <w:trPr>
          <w:trHeight w:val="300" w:hRule="atLeast"/>
        </w:trPr>
        <w:tc>
          <w:tcPr>
            <w:tcW w:w="303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Decision</w:t>
            </w:r>
          </w:p>
        </w:tc>
        <w:tc>
          <w:tcPr>
            <w:tcW w:w="1186"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X</w:t>
            </w:r>
          </w:p>
        </w:tc>
        <w:tc>
          <w:tcPr>
            <w:tcW w:w="150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649"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159"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22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307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X</w:t>
            </w:r>
          </w:p>
        </w:tc>
      </w:tr>
    </w:tbl>
    <w:p>
      <w:pPr>
        <w:pStyle w:val="Normal"/>
        <w:keepNext w:val="false"/>
        <w:keepLines w:val="false"/>
        <w:widowControl/>
        <w:pBdr/>
        <w:shd w:val="clear" w:color="auto" w:fill="auto"/>
        <w:spacing w:lineRule="auto" w:line="360" w:before="76" w:after="0"/>
        <w:ind w:left="116" w:right="-33" w:hanging="116"/>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116"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widowControl/>
        <w:bidi w:val="0"/>
        <w:spacing w:lineRule="auto" w:line="360" w:before="76" w:after="0"/>
        <w:ind w:left="113" w:right="-57" w:hanging="0"/>
        <w:jc w:val="left"/>
        <w:rPr/>
      </w:pPr>
      <w:r>
        <w:rPr>
          <w:rFonts w:eastAsia="Times New Roman" w:cs="Times New Roman" w:ascii="Times New Roman" w:hAnsi="Times New Roman"/>
          <w:sz w:val="24"/>
          <w:szCs w:val="24"/>
        </w:rPr>
        <w:t>Table S2. Coefficient of determination (</w:t>
      </w:r>
      <w:r>
        <w:rPr>
          <w:rFonts w:eastAsia="Times New Roman" w:cs="Times New Roman" w:ascii="Times New Roman" w:hAnsi="Times New Roman"/>
          <w:i/>
          <w:iCs/>
          <w:sz w:val="24"/>
          <w:szCs w:val="24"/>
        </w:rPr>
        <w:t>R²</w:t>
      </w:r>
      <w:r>
        <w:rPr>
          <w:rFonts w:eastAsia="Times New Roman" w:cs="Times New Roman" w:ascii="Times New Roman" w:hAnsi="Times New Roman"/>
          <w:sz w:val="24"/>
          <w:szCs w:val="24"/>
        </w:rPr>
        <w:t>) of Linear Models (LMs) between response variables (Common Species Abundance, Residual Common Species Abundance, Common Species Abundance (log10), Residual Common Species Abundance (log10), Intermediate Species Abundance, Residual Intermediate Species Abundance, Intermediate Species Abundance (log10), Residual Species Abundance (log10)), and the landscape attributes in coupled local scales and decoupled regional scales, besides altitude. The choice of the response variable for the analysis is shown in table (</w:t>
      </w:r>
      <w:r>
        <w:rPr>
          <w:rFonts w:eastAsia="Times New Roman" w:cs="Times New Roman" w:ascii="Times New Roman" w:hAnsi="Times New Roman"/>
          <w:b/>
          <w:bCs/>
          <w:sz w:val="24"/>
          <w:szCs w:val="24"/>
        </w:rPr>
        <w:t>X</w:t>
      </w:r>
      <w:r>
        <w:rPr>
          <w:rFonts w:eastAsia="Times New Roman" w:cs="Times New Roman" w:ascii="Times New Roman" w:hAnsi="Times New Roman"/>
          <w:sz w:val="24"/>
          <w:szCs w:val="24"/>
        </w:rPr>
        <w:t xml:space="preserve">). We selected LMs with </w:t>
      </w:r>
      <w:r>
        <w:rPr>
          <w:rFonts w:eastAsia="Times New Roman" w:cs="Times New Roman" w:ascii="Times New Roman" w:hAnsi="Times New Roman"/>
          <w:i/>
          <w:iCs/>
          <w:sz w:val="24"/>
          <w:szCs w:val="24"/>
        </w:rPr>
        <w:t>R</w:t>
      </w:r>
      <w:r>
        <w:rPr>
          <w:rFonts w:eastAsia="Times New Roman" w:cs="Times New Roman" w:ascii="Times New Roman" w:hAnsi="Times New Roman"/>
          <w:sz w:val="24"/>
          <w:szCs w:val="24"/>
        </w:rPr>
        <w:t>² &gt; 0.1 for analysis with Generalized Linear Models - GLMs.</w:t>
      </w:r>
    </w:p>
    <w:tbl>
      <w:tblPr>
        <w:tblW w:w="14565" w:type="dxa"/>
        <w:jc w:val="left"/>
        <w:tblInd w:w="0" w:type="dxa"/>
        <w:tblBorders>
          <w:top w:val="single" w:sz="6" w:space="0" w:color="000000"/>
          <w:bottom w:val="single" w:sz="6" w:space="0" w:color="000000"/>
          <w:insideH w:val="single" w:sz="6" w:space="0" w:color="000000"/>
        </w:tblBorders>
        <w:tblCellMar>
          <w:top w:w="0" w:type="dxa"/>
          <w:left w:w="40" w:type="dxa"/>
          <w:bottom w:w="0" w:type="dxa"/>
          <w:right w:w="40" w:type="dxa"/>
        </w:tblCellMar>
        <w:tblLook w:noVBand="1" w:val="0600" w:noHBand="1" w:lastColumn="0" w:firstColumn="0" w:lastRow="0" w:firstRow="0"/>
      </w:tblPr>
      <w:tblGrid>
        <w:gridCol w:w="2474"/>
        <w:gridCol w:w="1336"/>
        <w:gridCol w:w="1214"/>
        <w:gridCol w:w="1830"/>
        <w:gridCol w:w="1574"/>
        <w:gridCol w:w="1455"/>
        <w:gridCol w:w="1575"/>
        <w:gridCol w:w="1560"/>
        <w:gridCol w:w="1545"/>
      </w:tblGrid>
      <w:tr>
        <w:trPr>
          <w:trHeight w:val="825" w:hRule="atLeast"/>
        </w:trPr>
        <w:tc>
          <w:tcPr>
            <w:tcW w:w="2474"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Local Coupled Scales</w:t>
            </w:r>
          </w:p>
        </w:tc>
        <w:tc>
          <w:tcPr>
            <w:tcW w:w="1336"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Common Species</w:t>
            </w:r>
          </w:p>
        </w:tc>
        <w:tc>
          <w:tcPr>
            <w:tcW w:w="1214"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Ab. Common Species</w:t>
            </w:r>
          </w:p>
        </w:tc>
        <w:tc>
          <w:tcPr>
            <w:tcW w:w="1830"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Common Species (log10)</w:t>
            </w:r>
          </w:p>
        </w:tc>
        <w:tc>
          <w:tcPr>
            <w:tcW w:w="1574"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Ab. Common Species (log10)</w:t>
            </w:r>
          </w:p>
        </w:tc>
        <w:tc>
          <w:tcPr>
            <w:tcW w:w="1455"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Intermediate Species</w:t>
            </w:r>
          </w:p>
        </w:tc>
        <w:tc>
          <w:tcPr>
            <w:tcW w:w="1575"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Ab. Intermediate Species</w:t>
            </w:r>
          </w:p>
        </w:tc>
        <w:tc>
          <w:tcPr>
            <w:tcW w:w="1560"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Inter. Species (log10)</w:t>
            </w:r>
          </w:p>
        </w:tc>
        <w:tc>
          <w:tcPr>
            <w:tcW w:w="1545" w:type="dxa"/>
            <w:tcBorders>
              <w:top w:val="single" w:sz="6" w:space="0" w:color="000000"/>
              <w:bottom w:val="single" w:sz="6" w:space="0" w:color="000000"/>
              <w:insideH w:val="single" w:sz="6" w:space="0" w:color="000000"/>
            </w:tcBorders>
            <w:shd w:fill="auto" w:val="clear"/>
            <w:vAlign w:val="center"/>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Ab. Inter. Species (log10)</w:t>
            </w:r>
          </w:p>
        </w:tc>
      </w:tr>
      <w:tr>
        <w:trPr>
          <w:trHeight w:val="300" w:hRule="atLeast"/>
        </w:trPr>
        <w:tc>
          <w:tcPr>
            <w:tcW w:w="2474"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500 m</w:t>
            </w:r>
          </w:p>
        </w:tc>
        <w:tc>
          <w:tcPr>
            <w:tcW w:w="1336"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0.077</w:t>
            </w:r>
          </w:p>
        </w:tc>
        <w:tc>
          <w:tcPr>
            <w:tcW w:w="1214"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0.115</w:t>
            </w:r>
          </w:p>
        </w:tc>
        <w:tc>
          <w:tcPr>
            <w:tcW w:w="1830"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R²=0.117</w:t>
            </w:r>
          </w:p>
        </w:tc>
        <w:tc>
          <w:tcPr>
            <w:tcW w:w="1574"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R²=0.348</w:t>
            </w:r>
          </w:p>
        </w:tc>
        <w:tc>
          <w:tcPr>
            <w:tcW w:w="1455"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0.261</w:t>
            </w:r>
          </w:p>
        </w:tc>
        <w:tc>
          <w:tcPr>
            <w:tcW w:w="1575"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0.259</w:t>
            </w:r>
          </w:p>
        </w:tc>
        <w:tc>
          <w:tcPr>
            <w:tcW w:w="1560"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R²=0.265</w:t>
            </w:r>
          </w:p>
        </w:tc>
        <w:tc>
          <w:tcPr>
            <w:tcW w:w="1545"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R²=0.271</w:t>
            </w:r>
          </w:p>
        </w:tc>
      </w:tr>
      <w:tr>
        <w:trPr>
          <w:trHeight w:val="300" w:hRule="atLeast"/>
        </w:trPr>
        <w:tc>
          <w:tcPr>
            <w:tcW w:w="247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1000 m</w:t>
            </w:r>
          </w:p>
        </w:tc>
        <w:tc>
          <w:tcPr>
            <w:tcW w:w="1336"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0.06</w:t>
            </w:r>
          </w:p>
        </w:tc>
        <w:tc>
          <w:tcPr>
            <w:tcW w:w="121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0.372</w:t>
            </w:r>
          </w:p>
        </w:tc>
        <w:tc>
          <w:tcPr>
            <w:tcW w:w="183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R²=0.000</w:t>
            </w:r>
          </w:p>
        </w:tc>
        <w:tc>
          <w:tcPr>
            <w:tcW w:w="157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R²=0.207</w:t>
            </w:r>
          </w:p>
        </w:tc>
        <w:tc>
          <w:tcPr>
            <w:tcW w:w="145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0.084</w:t>
            </w:r>
          </w:p>
        </w:tc>
        <w:tc>
          <w:tcPr>
            <w:tcW w:w="157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0.123</w:t>
            </w:r>
          </w:p>
        </w:tc>
        <w:tc>
          <w:tcPr>
            <w:tcW w:w="156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R²=0.044</w:t>
            </w:r>
          </w:p>
        </w:tc>
        <w:tc>
          <w:tcPr>
            <w:tcW w:w="154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R²=0.089</w:t>
            </w:r>
          </w:p>
        </w:tc>
      </w:tr>
      <w:tr>
        <w:trPr>
          <w:trHeight w:val="300" w:hRule="atLeast"/>
        </w:trPr>
        <w:tc>
          <w:tcPr>
            <w:tcW w:w="2474"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Regional Decoupled Scales</w:t>
            </w:r>
          </w:p>
        </w:tc>
        <w:tc>
          <w:tcPr>
            <w:tcW w:w="1336"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214"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83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74"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c>
          <w:tcPr>
            <w:tcW w:w="145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7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6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4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r>
      <w:tr>
        <w:trPr>
          <w:trHeight w:val="300" w:hRule="atLeast"/>
        </w:trPr>
        <w:tc>
          <w:tcPr>
            <w:tcW w:w="24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1000 m</w:t>
            </w:r>
          </w:p>
        </w:tc>
        <w:tc>
          <w:tcPr>
            <w:tcW w:w="133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0.083</w:t>
            </w:r>
          </w:p>
        </w:tc>
        <w:tc>
          <w:tcPr>
            <w:tcW w:w="121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0.047</w:t>
            </w:r>
          </w:p>
        </w:tc>
        <w:tc>
          <w:tcPr>
            <w:tcW w:w="18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0.076</w:t>
            </w:r>
          </w:p>
        </w:tc>
        <w:tc>
          <w:tcPr>
            <w:tcW w:w="15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R²=0.265</w:t>
            </w:r>
          </w:p>
        </w:tc>
        <w:tc>
          <w:tcPr>
            <w:tcW w:w="145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0.016</w:t>
            </w:r>
          </w:p>
        </w:tc>
        <w:tc>
          <w:tcPr>
            <w:tcW w:w="15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0.071</w:t>
            </w:r>
          </w:p>
        </w:tc>
        <w:tc>
          <w:tcPr>
            <w:tcW w:w="156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R²=0.010</w:t>
            </w:r>
          </w:p>
        </w:tc>
        <w:tc>
          <w:tcPr>
            <w:tcW w:w="154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R²=0.090</w:t>
            </w:r>
          </w:p>
        </w:tc>
      </w:tr>
      <w:tr>
        <w:trPr>
          <w:trHeight w:val="300" w:hRule="atLeast"/>
        </w:trPr>
        <w:tc>
          <w:tcPr>
            <w:tcW w:w="24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1500 m</w:t>
            </w:r>
          </w:p>
        </w:tc>
        <w:tc>
          <w:tcPr>
            <w:tcW w:w="133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R²=0.083</w:t>
            </w:r>
          </w:p>
        </w:tc>
        <w:tc>
          <w:tcPr>
            <w:tcW w:w="121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0.343</w:t>
            </w:r>
          </w:p>
        </w:tc>
        <w:tc>
          <w:tcPr>
            <w:tcW w:w="18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R²=0.010</w:t>
            </w:r>
          </w:p>
        </w:tc>
        <w:tc>
          <w:tcPr>
            <w:tcW w:w="15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R²=0.005</w:t>
            </w:r>
          </w:p>
        </w:tc>
        <w:tc>
          <w:tcPr>
            <w:tcW w:w="145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0.050</w:t>
            </w:r>
          </w:p>
        </w:tc>
        <w:tc>
          <w:tcPr>
            <w:tcW w:w="15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0.038</w:t>
            </w:r>
          </w:p>
        </w:tc>
        <w:tc>
          <w:tcPr>
            <w:tcW w:w="156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R²=0.023</w:t>
            </w:r>
          </w:p>
        </w:tc>
        <w:tc>
          <w:tcPr>
            <w:tcW w:w="154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R²=0.012</w:t>
            </w:r>
          </w:p>
        </w:tc>
      </w:tr>
      <w:tr>
        <w:trPr>
          <w:trHeight w:val="300" w:hRule="atLeast"/>
        </w:trPr>
        <w:tc>
          <w:tcPr>
            <w:tcW w:w="24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2000 m</w:t>
            </w:r>
          </w:p>
        </w:tc>
        <w:tc>
          <w:tcPr>
            <w:tcW w:w="1336"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0.121</w:t>
            </w:r>
          </w:p>
        </w:tc>
        <w:tc>
          <w:tcPr>
            <w:tcW w:w="121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0.001</w:t>
            </w:r>
          </w:p>
        </w:tc>
        <w:tc>
          <w:tcPr>
            <w:tcW w:w="183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R²=0.331</w:t>
            </w:r>
          </w:p>
        </w:tc>
        <w:tc>
          <w:tcPr>
            <w:tcW w:w="1574"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R²=0.062</w:t>
            </w:r>
          </w:p>
        </w:tc>
        <w:tc>
          <w:tcPr>
            <w:tcW w:w="145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0.080</w:t>
            </w:r>
          </w:p>
        </w:tc>
        <w:tc>
          <w:tcPr>
            <w:tcW w:w="15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0.030</w:t>
            </w:r>
          </w:p>
        </w:tc>
        <w:tc>
          <w:tcPr>
            <w:tcW w:w="1560"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R²=0.059</w:t>
            </w:r>
          </w:p>
        </w:tc>
        <w:tc>
          <w:tcPr>
            <w:tcW w:w="154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R²=0.008</w:t>
            </w:r>
          </w:p>
        </w:tc>
      </w:tr>
      <w:tr>
        <w:trPr>
          <w:trHeight w:val="300" w:hRule="atLeast"/>
        </w:trPr>
        <w:tc>
          <w:tcPr>
            <w:tcW w:w="247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3000 m</w:t>
            </w:r>
          </w:p>
        </w:tc>
        <w:tc>
          <w:tcPr>
            <w:tcW w:w="1336"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0.364</w:t>
            </w:r>
          </w:p>
        </w:tc>
        <w:tc>
          <w:tcPr>
            <w:tcW w:w="121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0.011</w:t>
            </w:r>
          </w:p>
        </w:tc>
        <w:tc>
          <w:tcPr>
            <w:tcW w:w="183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R²=0.699</w:t>
            </w:r>
          </w:p>
        </w:tc>
        <w:tc>
          <w:tcPr>
            <w:tcW w:w="1574"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R²=0.001</w:t>
            </w:r>
          </w:p>
        </w:tc>
        <w:tc>
          <w:tcPr>
            <w:tcW w:w="145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0.149</w:t>
            </w:r>
          </w:p>
        </w:tc>
        <w:tc>
          <w:tcPr>
            <w:tcW w:w="157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0.035</w:t>
            </w:r>
          </w:p>
        </w:tc>
        <w:tc>
          <w:tcPr>
            <w:tcW w:w="1560"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R²=0.213</w:t>
            </w:r>
          </w:p>
        </w:tc>
        <w:tc>
          <w:tcPr>
            <w:tcW w:w="154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R²=0.034</w:t>
            </w:r>
          </w:p>
        </w:tc>
      </w:tr>
      <w:tr>
        <w:trPr>
          <w:trHeight w:val="300" w:hRule="atLeast"/>
        </w:trPr>
        <w:tc>
          <w:tcPr>
            <w:tcW w:w="247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Altitude</w:t>
            </w:r>
          </w:p>
        </w:tc>
        <w:tc>
          <w:tcPr>
            <w:tcW w:w="1336"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0.524</w:t>
            </w:r>
          </w:p>
        </w:tc>
        <w:tc>
          <w:tcPr>
            <w:tcW w:w="121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183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R²=0.760</w:t>
            </w:r>
          </w:p>
        </w:tc>
        <w:tc>
          <w:tcPr>
            <w:tcW w:w="157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45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0.046</w:t>
            </w:r>
          </w:p>
        </w:tc>
        <w:tc>
          <w:tcPr>
            <w:tcW w:w="157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156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R²=0.092</w:t>
            </w:r>
          </w:p>
        </w:tc>
        <w:tc>
          <w:tcPr>
            <w:tcW w:w="154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r>
      <w:tr>
        <w:trPr>
          <w:trHeight w:val="315" w:hRule="atLeast"/>
        </w:trPr>
        <w:tc>
          <w:tcPr>
            <w:tcW w:w="247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Decision</w:t>
            </w:r>
          </w:p>
        </w:tc>
        <w:tc>
          <w:tcPr>
            <w:tcW w:w="1336"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21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83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7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X</w:t>
            </w:r>
          </w:p>
        </w:tc>
        <w:tc>
          <w:tcPr>
            <w:tcW w:w="145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7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560"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X</w:t>
            </w:r>
          </w:p>
        </w:tc>
        <w:tc>
          <w:tcPr>
            <w:tcW w:w="154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r>
    </w:tbl>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widowControl/>
        <w:bidi w:val="0"/>
        <w:spacing w:lineRule="auto" w:line="360" w:before="76" w:after="0"/>
        <w:ind w:left="113" w:right="-57" w:hanging="0"/>
        <w:jc w:val="left"/>
        <w:rPr/>
      </w:pPr>
      <w:r>
        <w:rPr>
          <w:rFonts w:eastAsia="Times New Roman" w:cs="Times New Roman" w:ascii="Times New Roman" w:hAnsi="Times New Roman"/>
          <w:sz w:val="24"/>
          <w:szCs w:val="24"/>
        </w:rPr>
        <w:t>Table S3. Coefficient of determination (</w:t>
      </w:r>
      <w:r>
        <w:rPr>
          <w:rFonts w:eastAsia="Times New Roman" w:cs="Times New Roman" w:ascii="Times New Roman" w:hAnsi="Times New Roman"/>
          <w:i/>
          <w:iCs/>
          <w:sz w:val="24"/>
          <w:szCs w:val="24"/>
        </w:rPr>
        <w:t>R²</w:t>
      </w:r>
      <w:r>
        <w:rPr>
          <w:rFonts w:eastAsia="Times New Roman" w:cs="Times New Roman" w:ascii="Times New Roman" w:hAnsi="Times New Roman"/>
          <w:sz w:val="24"/>
          <w:szCs w:val="24"/>
        </w:rPr>
        <w:t>) of Linear Models (LMs) between response variables (Rare Species Abundance, Residual Rare Species Abundance, Rare Species Abundance (log10), Residual Rare Species Abundance (log10)), and the landscape attributes in coupled local scales and decoupled regional scales, besides altitude. The choice of the response variable for the analysis is shown in table (</w:t>
      </w:r>
      <w:r>
        <w:rPr>
          <w:rFonts w:eastAsia="Times New Roman" w:cs="Times New Roman" w:ascii="Times New Roman" w:hAnsi="Times New Roman"/>
          <w:b/>
          <w:bCs/>
          <w:sz w:val="24"/>
          <w:szCs w:val="24"/>
        </w:rPr>
        <w:t>X</w:t>
      </w:r>
      <w:r>
        <w:rPr>
          <w:rFonts w:eastAsia="Times New Roman" w:cs="Times New Roman" w:ascii="Times New Roman" w:hAnsi="Times New Roman"/>
          <w:sz w:val="24"/>
          <w:szCs w:val="24"/>
        </w:rPr>
        <w:t xml:space="preserve">). We selected LMs with </w:t>
      </w:r>
      <w:r>
        <w:rPr>
          <w:rFonts w:eastAsia="Times New Roman" w:cs="Times New Roman" w:ascii="Times New Roman" w:hAnsi="Times New Roman"/>
          <w:i/>
          <w:iCs/>
          <w:sz w:val="24"/>
          <w:szCs w:val="24"/>
        </w:rPr>
        <w:t>R</w:t>
      </w:r>
      <w:r>
        <w:rPr>
          <w:rFonts w:eastAsia="Times New Roman" w:cs="Times New Roman" w:ascii="Times New Roman" w:hAnsi="Times New Roman"/>
          <w:sz w:val="24"/>
          <w:szCs w:val="24"/>
        </w:rPr>
        <w:t>² &gt; 0.1 for analysis with Generalized Linear Models - GLMs.</w:t>
      </w:r>
    </w:p>
    <w:tbl>
      <w:tblPr>
        <w:tblW w:w="14520" w:type="dxa"/>
        <w:jc w:val="left"/>
        <w:tblInd w:w="0" w:type="dxa"/>
        <w:tblBorders>
          <w:top w:val="single" w:sz="6" w:space="0" w:color="000000"/>
          <w:bottom w:val="single" w:sz="6" w:space="0" w:color="000000"/>
          <w:insideH w:val="single" w:sz="6" w:space="0" w:color="000000"/>
        </w:tblBorders>
        <w:tblCellMar>
          <w:top w:w="0" w:type="dxa"/>
          <w:left w:w="40" w:type="dxa"/>
          <w:bottom w:w="0" w:type="dxa"/>
          <w:right w:w="40" w:type="dxa"/>
        </w:tblCellMar>
        <w:tblLook w:noVBand="1" w:val="0600" w:noHBand="1" w:lastColumn="0" w:firstColumn="0" w:lastRow="0" w:firstRow="0"/>
      </w:tblPr>
      <w:tblGrid>
        <w:gridCol w:w="3060"/>
        <w:gridCol w:w="2204"/>
        <w:gridCol w:w="2685"/>
        <w:gridCol w:w="2925"/>
        <w:gridCol w:w="3646"/>
      </w:tblGrid>
      <w:tr>
        <w:trPr>
          <w:trHeight w:val="555" w:hRule="atLeast"/>
        </w:trPr>
        <w:tc>
          <w:tcPr>
            <w:tcW w:w="3060" w:type="dxa"/>
            <w:tcBorders>
              <w:top w:val="single" w:sz="6" w:space="0" w:color="000000"/>
              <w:bottom w:val="single" w:sz="6" w:space="0" w:color="000000"/>
              <w:insideH w:val="single" w:sz="6" w:space="0" w:color="000000"/>
            </w:tcBorders>
            <w:shd w:fill="auto" w:val="clear"/>
            <w:vAlign w:val="center"/>
          </w:tcPr>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Local Coupled Scales</w:t>
            </w:r>
          </w:p>
        </w:tc>
        <w:tc>
          <w:tcPr>
            <w:tcW w:w="2204" w:type="dxa"/>
            <w:tcBorders>
              <w:top w:val="single" w:sz="6" w:space="0" w:color="000000"/>
              <w:bottom w:val="single" w:sz="6" w:space="0" w:color="000000"/>
              <w:insideH w:val="single" w:sz="6" w:space="0" w:color="000000"/>
            </w:tcBorders>
            <w:shd w:fill="auto" w:val="clear"/>
            <w:vAlign w:val="center"/>
          </w:tcPr>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Rare Species</w:t>
            </w:r>
          </w:p>
        </w:tc>
        <w:tc>
          <w:tcPr>
            <w:tcW w:w="2685" w:type="dxa"/>
            <w:tcBorders>
              <w:top w:val="single" w:sz="6" w:space="0" w:color="000000"/>
              <w:bottom w:val="single" w:sz="6" w:space="0" w:color="000000"/>
              <w:insideH w:val="single" w:sz="6" w:space="0" w:color="000000"/>
            </w:tcBorders>
            <w:shd w:fill="auto" w:val="clear"/>
            <w:vAlign w:val="center"/>
          </w:tcPr>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 Ab. Rare Species</w:t>
            </w:r>
          </w:p>
        </w:tc>
        <w:tc>
          <w:tcPr>
            <w:tcW w:w="2925" w:type="dxa"/>
            <w:tcBorders>
              <w:top w:val="single" w:sz="6" w:space="0" w:color="000000"/>
              <w:bottom w:val="single" w:sz="6" w:space="0" w:color="000000"/>
              <w:insideH w:val="single" w:sz="6" w:space="0" w:color="000000"/>
            </w:tcBorders>
            <w:shd w:fill="auto" w:val="clear"/>
            <w:vAlign w:val="center"/>
          </w:tcPr>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Ab. Rare Species (log10)</w:t>
            </w:r>
          </w:p>
        </w:tc>
        <w:tc>
          <w:tcPr>
            <w:tcW w:w="3646" w:type="dxa"/>
            <w:tcBorders>
              <w:top w:val="single" w:sz="6" w:space="0" w:color="000000"/>
              <w:bottom w:val="single" w:sz="6" w:space="0" w:color="000000"/>
              <w:insideH w:val="single" w:sz="6" w:space="0" w:color="000000"/>
            </w:tcBorders>
            <w:shd w:fill="auto" w:val="clear"/>
            <w:vAlign w:val="center"/>
          </w:tcPr>
          <w:p>
            <w:pPr>
              <w:pStyle w:val="Normal"/>
              <w:spacing w:lineRule="auto" w:line="240"/>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Res. Ab. Rare Species (log10)</w:t>
            </w:r>
          </w:p>
        </w:tc>
      </w:tr>
      <w:tr>
        <w:trPr>
          <w:trHeight w:val="315" w:hRule="atLeast"/>
        </w:trPr>
        <w:tc>
          <w:tcPr>
            <w:tcW w:w="306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500 m</w:t>
            </w:r>
          </w:p>
        </w:tc>
        <w:tc>
          <w:tcPr>
            <w:tcW w:w="2204"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0.006</w:t>
            </w:r>
          </w:p>
        </w:tc>
        <w:tc>
          <w:tcPr>
            <w:tcW w:w="268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0.021</w:t>
            </w:r>
          </w:p>
        </w:tc>
        <w:tc>
          <w:tcPr>
            <w:tcW w:w="292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R²=0.002</w:t>
            </w:r>
          </w:p>
        </w:tc>
        <w:tc>
          <w:tcPr>
            <w:tcW w:w="3646"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R²=0.011</w:t>
            </w:r>
          </w:p>
        </w:tc>
      </w:tr>
      <w:tr>
        <w:trPr>
          <w:trHeight w:val="315" w:hRule="atLeast"/>
        </w:trPr>
        <w:tc>
          <w:tcPr>
            <w:tcW w:w="3060"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1000 m</w:t>
            </w:r>
          </w:p>
        </w:tc>
        <w:tc>
          <w:tcPr>
            <w:tcW w:w="2204"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0.345</w:t>
            </w:r>
          </w:p>
        </w:tc>
        <w:tc>
          <w:tcPr>
            <w:tcW w:w="2685"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0.303</w:t>
            </w:r>
          </w:p>
        </w:tc>
        <w:tc>
          <w:tcPr>
            <w:tcW w:w="2925"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R²=0.315</w:t>
            </w:r>
          </w:p>
        </w:tc>
        <w:tc>
          <w:tcPr>
            <w:tcW w:w="3646"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R²=0.272</w:t>
            </w:r>
          </w:p>
        </w:tc>
      </w:tr>
      <w:tr>
        <w:trPr>
          <w:trHeight w:val="315" w:hRule="atLeast"/>
        </w:trPr>
        <w:tc>
          <w:tcPr>
            <w:tcW w:w="3060"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Regional Decoupled Scales</w:t>
            </w:r>
          </w:p>
        </w:tc>
        <w:tc>
          <w:tcPr>
            <w:tcW w:w="2204"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c>
          <w:tcPr>
            <w:tcW w:w="268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925"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c>
          <w:tcPr>
            <w:tcW w:w="3646" w:type="dxa"/>
            <w:tcBorders>
              <w:top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r>
      <w:tr>
        <w:trPr>
          <w:trHeight w:val="315" w:hRule="atLeast"/>
        </w:trPr>
        <w:tc>
          <w:tcPr>
            <w:tcW w:w="3060"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1000 m</w:t>
            </w:r>
          </w:p>
        </w:tc>
        <w:tc>
          <w:tcPr>
            <w:tcW w:w="2204"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0.113</w:t>
            </w:r>
          </w:p>
        </w:tc>
        <w:tc>
          <w:tcPr>
            <w:tcW w:w="268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0.000</w:t>
            </w:r>
          </w:p>
        </w:tc>
        <w:tc>
          <w:tcPr>
            <w:tcW w:w="292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R²=0.106</w:t>
            </w:r>
          </w:p>
        </w:tc>
        <w:tc>
          <w:tcPr>
            <w:tcW w:w="3646"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R²=0.002</w:t>
            </w:r>
          </w:p>
        </w:tc>
      </w:tr>
      <w:tr>
        <w:trPr>
          <w:trHeight w:val="315" w:hRule="atLeast"/>
        </w:trPr>
        <w:tc>
          <w:tcPr>
            <w:tcW w:w="3060"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1500 m</w:t>
            </w:r>
          </w:p>
        </w:tc>
        <w:tc>
          <w:tcPr>
            <w:tcW w:w="2204"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0.113</w:t>
            </w:r>
          </w:p>
        </w:tc>
        <w:tc>
          <w:tcPr>
            <w:tcW w:w="268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0.091</w:t>
            </w:r>
          </w:p>
        </w:tc>
        <w:tc>
          <w:tcPr>
            <w:tcW w:w="292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R²=0.130</w:t>
            </w:r>
          </w:p>
        </w:tc>
        <w:tc>
          <w:tcPr>
            <w:tcW w:w="3646"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R²=0.111</w:t>
            </w:r>
          </w:p>
        </w:tc>
      </w:tr>
      <w:tr>
        <w:trPr>
          <w:trHeight w:val="315" w:hRule="atLeast"/>
        </w:trPr>
        <w:tc>
          <w:tcPr>
            <w:tcW w:w="3060"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Heterogeneity 2000 m</w:t>
            </w:r>
          </w:p>
        </w:tc>
        <w:tc>
          <w:tcPr>
            <w:tcW w:w="2204"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0.145</w:t>
            </w:r>
          </w:p>
        </w:tc>
        <w:tc>
          <w:tcPr>
            <w:tcW w:w="268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0.007</w:t>
            </w:r>
          </w:p>
        </w:tc>
        <w:tc>
          <w:tcPr>
            <w:tcW w:w="2925"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R²=0.193</w:t>
            </w:r>
          </w:p>
        </w:tc>
        <w:tc>
          <w:tcPr>
            <w:tcW w:w="3646" w:type="dxa"/>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R²=0.024</w:t>
            </w:r>
          </w:p>
        </w:tc>
      </w:tr>
      <w:tr>
        <w:trPr>
          <w:trHeight w:val="315" w:hRule="atLeast"/>
        </w:trPr>
        <w:tc>
          <w:tcPr>
            <w:tcW w:w="3060"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Forest 3000 m</w:t>
            </w:r>
          </w:p>
        </w:tc>
        <w:tc>
          <w:tcPr>
            <w:tcW w:w="2204"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0.237</w:t>
            </w:r>
          </w:p>
        </w:tc>
        <w:tc>
          <w:tcPr>
            <w:tcW w:w="2685"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 0.007</w:t>
            </w:r>
          </w:p>
        </w:tc>
        <w:tc>
          <w:tcPr>
            <w:tcW w:w="2925"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R²=0.247</w:t>
            </w:r>
          </w:p>
        </w:tc>
        <w:tc>
          <w:tcPr>
            <w:tcW w:w="3646" w:type="dxa"/>
            <w:tcBorders>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R²=0.008</w:t>
            </w:r>
          </w:p>
        </w:tc>
      </w:tr>
      <w:tr>
        <w:trPr>
          <w:trHeight w:val="315" w:hRule="atLeast"/>
        </w:trPr>
        <w:tc>
          <w:tcPr>
            <w:tcW w:w="3060"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Altitude</w:t>
            </w:r>
          </w:p>
        </w:tc>
        <w:tc>
          <w:tcPr>
            <w:tcW w:w="2204"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 0.355</w:t>
            </w:r>
          </w:p>
        </w:tc>
        <w:tc>
          <w:tcPr>
            <w:tcW w:w="2685"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2925"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R²=0.370</w:t>
            </w:r>
          </w:p>
        </w:tc>
        <w:tc>
          <w:tcPr>
            <w:tcW w:w="3646"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r>
      <w:tr>
        <w:trPr>
          <w:trHeight w:val="315" w:hRule="atLeast"/>
        </w:trPr>
        <w:tc>
          <w:tcPr>
            <w:tcW w:w="3060"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Decision</w:t>
            </w:r>
          </w:p>
        </w:tc>
        <w:tc>
          <w:tcPr>
            <w:tcW w:w="2204"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685" w:type="dxa"/>
            <w:tcBorders>
              <w:top w:val="single" w:sz="6" w:space="0" w:color="000000"/>
              <w:bottom w:val="single" w:sz="6" w:space="0" w:color="000000"/>
              <w:insideH w:val="single" w:sz="6" w:space="0" w:color="000000"/>
            </w:tcBorders>
            <w:shd w:fill="auto" w:val="clear"/>
            <w:vAlign w:val="bottom"/>
          </w:tcPr>
          <w:p>
            <w:pPr>
              <w:pStyle w:val="Normal"/>
              <w:spacing w:lineRule="auto" w:line="276"/>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925"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X</w:t>
            </w:r>
          </w:p>
        </w:tc>
        <w:tc>
          <w:tcPr>
            <w:tcW w:w="3646" w:type="dxa"/>
            <w:tcBorders>
              <w:top w:val="single" w:sz="6" w:space="0" w:color="000000"/>
              <w:bottom w:val="single" w:sz="6" w:space="0" w:color="000000"/>
              <w:insideH w:val="single" w:sz="6" w:space="0" w:color="000000"/>
            </w:tcBorders>
            <w:shd w:fill="auto" w:val="clear"/>
            <w:vAlign w:val="bottom"/>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tc>
      </w:tr>
    </w:tbl>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jc w:val="both"/>
        <w:rPr>
          <w:rFonts w:ascii="Times New Roman" w:hAnsi="Times New Roman" w:eastAsia="Times New Roman" w:cs="Times New Roman"/>
          <w:b w:val="false"/>
          <w:b w:val="false"/>
          <w:bCs w:val="false"/>
          <w:sz w:val="24"/>
          <w:szCs w:val="24"/>
        </w:rPr>
      </w:pPr>
      <w:r>
        <w:rPr>
          <w:rFonts w:eastAsia="Times New Roman" w:cs="Times New Roman" w:ascii="Times New Roman" w:hAnsi="Times New Roman"/>
          <w:sz w:val="24"/>
          <w:szCs w:val="24"/>
        </w:rPr>
        <w:t xml:space="preserve">Table S4. Models used to explain the parameters of the Euglossini bee communities (richness, residual total abundance (log10), residual common species abundance (log10), intermediate species abundance (log10), rare species abundance (log10)) from forest cover (%) (FOR) and landscape heterogeneity (HET) quantified in coupled local (L) and </w:t>
      </w:r>
      <w:r>
        <w:rPr>
          <w:rFonts w:eastAsia="Times New Roman" w:cs="Times New Roman" w:ascii="Times New Roman" w:hAnsi="Times New Roman"/>
          <w:sz w:val="24"/>
          <w:szCs w:val="24"/>
        </w:rPr>
        <w:t>de</w:t>
      </w:r>
      <w:r>
        <w:rPr>
          <w:rFonts w:eastAsia="Times New Roman" w:cs="Times New Roman" w:ascii="Times New Roman" w:hAnsi="Times New Roman"/>
          <w:sz w:val="24"/>
          <w:szCs w:val="24"/>
        </w:rPr>
        <w:t>coupled regional (R) scales. The plausible models (</w:t>
      </w:r>
      <w:r>
        <w:rPr>
          <w:rFonts w:eastAsia="Times New Roman" w:cs="Times New Roman" w:ascii="Times New Roman" w:hAnsi="Times New Roman"/>
          <w:b w:val="false"/>
          <w:bCs w:val="false"/>
          <w:sz w:val="24"/>
          <w:szCs w:val="24"/>
        </w:rPr>
        <w:t>ΔAICc &lt; 2.0 and wi &gt; 0.1) are in bold. The degrees of freedom of the models are represented by "df'', and the model weight  by “wi”.</w:t>
      </w:r>
    </w:p>
    <w:tbl>
      <w:tblPr>
        <w:tblStyle w:val="Table3"/>
        <w:tblW w:w="14569" w:type="dxa"/>
        <w:jc w:val="left"/>
        <w:tblInd w:w="0" w:type="dxa"/>
        <w:tblBorders>
          <w:top w:val="single" w:sz="6" w:space="0" w:color="000000"/>
          <w:bottom w:val="single" w:sz="6" w:space="0" w:color="000000"/>
          <w:insideH w:val="single" w:sz="6" w:space="0" w:color="000000"/>
        </w:tblBorders>
        <w:tblCellMar>
          <w:top w:w="0" w:type="dxa"/>
          <w:left w:w="40" w:type="dxa"/>
          <w:bottom w:w="0" w:type="dxa"/>
          <w:right w:w="40" w:type="dxa"/>
        </w:tblCellMar>
        <w:tblLook w:val="0600"/>
      </w:tblPr>
      <w:tblGrid>
        <w:gridCol w:w="4194"/>
        <w:gridCol w:w="3772"/>
        <w:gridCol w:w="2197"/>
        <w:gridCol w:w="1875"/>
        <w:gridCol w:w="2531"/>
      </w:tblGrid>
      <w:tr>
        <w:trPr>
          <w:trHeight w:val="300" w:hRule="atLeast"/>
        </w:trPr>
        <w:tc>
          <w:tcPr>
            <w:tcW w:w="4194"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Response Variables</w:t>
            </w:r>
          </w:p>
        </w:tc>
        <w:tc>
          <w:tcPr>
            <w:tcW w:w="3772"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Models</w:t>
            </w:r>
          </w:p>
        </w:tc>
        <w:tc>
          <w:tcPr>
            <w:tcW w:w="2197"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ΔAICc</w:t>
            </w:r>
          </w:p>
        </w:tc>
        <w:tc>
          <w:tcPr>
            <w:tcW w:w="1875"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df</w:t>
            </w:r>
          </w:p>
        </w:tc>
        <w:tc>
          <w:tcPr>
            <w:tcW w:w="2531" w:type="dxa"/>
            <w:tcBorders>
              <w:top w:val="single" w:sz="6" w:space="0" w:color="000000"/>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wi</w:t>
            </w:r>
          </w:p>
        </w:tc>
      </w:tr>
      <w:tr>
        <w:trPr>
          <w:trHeight w:val="300" w:hRule="atLeast"/>
        </w:trPr>
        <w:tc>
          <w:tcPr>
            <w:tcW w:w="4194" w:type="dxa"/>
            <w:vMerge w:val="restart"/>
            <w:tcBorders>
              <w:top w:val="single" w:sz="6" w:space="0" w:color="000000"/>
              <w:bottom w:val="dashed" w:sz="6" w:space="0" w:color="000000"/>
              <w:insideH w:val="dashed" w:sz="6" w:space="0" w:color="000000"/>
            </w:tcBorders>
            <w:shd w:fill="auto" w:val="clear"/>
          </w:tcPr>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Richness</w:t>
            </w:r>
          </w:p>
        </w:tc>
        <w:tc>
          <w:tcPr>
            <w:tcW w:w="3772"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~NULL</w:t>
            </w:r>
          </w:p>
        </w:tc>
        <w:tc>
          <w:tcPr>
            <w:tcW w:w="2197"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w:t>
            </w:r>
          </w:p>
        </w:tc>
        <w:tc>
          <w:tcPr>
            <w:tcW w:w="1875"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w:t>
            </w:r>
          </w:p>
        </w:tc>
        <w:tc>
          <w:tcPr>
            <w:tcW w:w="2531" w:type="dxa"/>
            <w:tcBorders>
              <w:top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0.260124074596419</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0.97750462705266</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0.159557827862236</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~HET_R1500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1.12446560086921</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0.148253838073301</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1.65431383654114</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0.113749857934489</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1.9379566043501</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0.0987094241836496</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~FOR_L500+HET_R1500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3.58615993900856</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0.0432968012293618</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~FOR_R500 + 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3.80744942938171</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0.0387617529784634</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~HET_R1500+ 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3.8291259659969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0.0383439111308851</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~HET_R1500+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4.00794216076583</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0.0350644447431606</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~HET_R2000+FOR_R3000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4.12662403206188</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0.0330442215423268</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~FOR_L500+FOR_R3000</w:t>
            </w:r>
          </w:p>
        </w:tc>
        <w:tc>
          <w:tcPr>
            <w:tcW w:w="2197"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4.2482976284068</w:t>
            </w:r>
          </w:p>
        </w:tc>
        <w:tc>
          <w:tcPr>
            <w:tcW w:w="1875"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0.0310938457257086</w:t>
            </w:r>
          </w:p>
        </w:tc>
      </w:tr>
      <w:tr>
        <w:trPr>
          <w:trHeight w:val="300" w:hRule="atLeast"/>
        </w:trPr>
        <w:tc>
          <w:tcPr>
            <w:tcW w:w="4194" w:type="dxa"/>
            <w:vMerge w:val="restart"/>
            <w:tcBorders>
              <w:top w:val="single" w:sz="6" w:space="0" w:color="CCCCCC"/>
              <w:bottom w:val="dashed" w:sz="6" w:space="0" w:color="000000"/>
              <w:insideH w:val="dashed" w:sz="6" w:space="0" w:color="000000"/>
            </w:tcBorders>
            <w:shd w:fill="auto" w:val="clear"/>
          </w:tcPr>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Res. Total Abundance (log10)</w:t>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Res. Total Abundance (log10)</w:t>
            </w:r>
          </w:p>
        </w:tc>
        <w:tc>
          <w:tcPr>
            <w:tcW w:w="3772"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w:t>
            </w:r>
          </w:p>
        </w:tc>
        <w:tc>
          <w:tcPr>
            <w:tcW w:w="2197"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w:t>
            </w:r>
          </w:p>
        </w:tc>
        <w:tc>
          <w:tcPr>
            <w:tcW w:w="1875"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0.497448874133865</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 +HET_L1000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1.81577759140239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0.200658406075494</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~FOR_L500 +FOR_R1000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2.87415407291613</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0.118204449643294</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4.038275552644</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0.0660462338351558</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4.5339598701635</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0.0515479710429161</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~FOR_R1000 +HET_L1000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5.29998653225737</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0.035145603058274</w:t>
            </w:r>
          </w:p>
        </w:tc>
      </w:tr>
      <w:tr>
        <w:trPr>
          <w:trHeight w:val="300"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~NULL</w:t>
            </w:r>
          </w:p>
        </w:tc>
        <w:tc>
          <w:tcPr>
            <w:tcW w:w="2197"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5.55433894819493</w:t>
            </w:r>
          </w:p>
        </w:tc>
        <w:tc>
          <w:tcPr>
            <w:tcW w:w="1875"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w:t>
            </w:r>
          </w:p>
        </w:tc>
        <w:tc>
          <w:tcPr>
            <w:tcW w:w="2531"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0.030948462211001</w:t>
            </w:r>
          </w:p>
        </w:tc>
      </w:tr>
      <w:tr>
        <w:trPr>
          <w:trHeight w:val="300" w:hRule="atLeast"/>
        </w:trPr>
        <w:tc>
          <w:tcPr>
            <w:tcW w:w="4194" w:type="dxa"/>
            <w:vMerge w:val="restart"/>
            <w:tcBorders>
              <w:top w:val="dashed" w:sz="6" w:space="0" w:color="CCCCCC"/>
              <w:bottom w:val="dashed" w:sz="6" w:space="0" w:color="000000"/>
              <w:insideH w:val="dashed" w:sz="6" w:space="0" w:color="000000"/>
            </w:tcBorders>
            <w:shd w:fill="auto" w:val="clear"/>
          </w:tcPr>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Res. Ab. Common Species (log10)</w:t>
            </w:r>
          </w:p>
        </w:tc>
        <w:tc>
          <w:tcPr>
            <w:tcW w:w="3772"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w:t>
            </w:r>
          </w:p>
        </w:tc>
        <w:tc>
          <w:tcPr>
            <w:tcW w:w="2197"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w:t>
            </w:r>
          </w:p>
        </w:tc>
        <w:tc>
          <w:tcPr>
            <w:tcW w:w="1875"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0.385830773148392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~FOR_R1000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1.79350899564909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0.157377025683082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~FOR_L500+ FOR_R1000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2.27603779401834</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0.123640722990556</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~FOR_L500+ 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2.56410325966395</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0.1070554829132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2.9435167693908</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0.0885564743819792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~NULL</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3.24344861361973</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0.0762238613684145</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 + FOR_R1000</w:t>
            </w:r>
          </w:p>
        </w:tc>
        <w:tc>
          <w:tcPr>
            <w:tcW w:w="2197"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3.67872718895727</w:t>
            </w:r>
          </w:p>
        </w:tc>
        <w:tc>
          <w:tcPr>
            <w:tcW w:w="1875"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0.061315659514377</w:t>
            </w:r>
          </w:p>
        </w:tc>
      </w:tr>
      <w:tr>
        <w:trPr>
          <w:trHeight w:val="315" w:hRule="atLeast"/>
        </w:trPr>
        <w:tc>
          <w:tcPr>
            <w:tcW w:w="4194" w:type="dxa"/>
            <w:vMerge w:val="restart"/>
            <w:tcBorders>
              <w:top w:val="single" w:sz="6" w:space="0" w:color="CCCCCC"/>
              <w:bottom w:val="dashed" w:sz="6" w:space="0" w:color="000000"/>
              <w:insideH w:val="dashed" w:sz="6" w:space="0" w:color="000000"/>
            </w:tcBorders>
            <w:shd w:fill="auto" w:val="clear"/>
          </w:tcPr>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Intermediate Species Abundance (log10)</w:t>
            </w:r>
          </w:p>
        </w:tc>
        <w:tc>
          <w:tcPr>
            <w:tcW w:w="3772"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w:t>
            </w:r>
          </w:p>
        </w:tc>
        <w:tc>
          <w:tcPr>
            <w:tcW w:w="2197"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w:t>
            </w:r>
          </w:p>
        </w:tc>
        <w:tc>
          <w:tcPr>
            <w:tcW w:w="1875"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3.294.479.649</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~FOR_L500+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9.141.177.966</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3.147.291.822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1.037.378.258</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1.961.205.048</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~NULL</w:t>
            </w:r>
          </w:p>
        </w:tc>
        <w:tc>
          <w:tcPr>
            <w:tcW w:w="2197"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1.448.213.323</w:t>
            </w:r>
          </w:p>
        </w:tc>
        <w:tc>
          <w:tcPr>
            <w:tcW w:w="1875"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2</w:t>
            </w:r>
          </w:p>
        </w:tc>
        <w:tc>
          <w:tcPr>
            <w:tcW w:w="2531" w:type="dxa"/>
            <w:tcBorders>
              <w:bottom w:val="dashed" w:sz="6" w:space="0" w:color="000000"/>
              <w:insideH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1.597.023.481</w:t>
            </w:r>
          </w:p>
        </w:tc>
      </w:tr>
      <w:tr>
        <w:trPr>
          <w:trHeight w:val="315" w:hRule="atLeast"/>
        </w:trPr>
        <w:tc>
          <w:tcPr>
            <w:tcW w:w="4194" w:type="dxa"/>
            <w:vMerge w:val="restart"/>
            <w:tcBorders>
              <w:top w:val="dashed" w:sz="6" w:space="0" w:color="000000"/>
              <w:bottom w:val="single" w:sz="6" w:space="0" w:color="000000"/>
              <w:insideH w:val="single" w:sz="6" w:space="0" w:color="000000"/>
            </w:tcBorders>
            <w:shd w:fill="auto" w:val="clear"/>
          </w:tcPr>
          <w:p>
            <w:pPr>
              <w:pStyle w:val="Normal"/>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Ab. Rare Species (log10)</w:t>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Normal"/>
              <w:widowControl w:val="false"/>
              <w:spacing w:lineRule="auto" w:line="276"/>
              <w:jc w:val="center"/>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t>Ab. Rare Species (log10)</w:t>
            </w:r>
          </w:p>
        </w:tc>
        <w:tc>
          <w:tcPr>
            <w:tcW w:w="3772"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~HET_L1000</w:t>
            </w:r>
          </w:p>
        </w:tc>
        <w:tc>
          <w:tcPr>
            <w:tcW w:w="2197"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w:t>
            </w:r>
          </w:p>
        </w:tc>
        <w:tc>
          <w:tcPr>
            <w:tcW w:w="1875"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top w:val="dashed"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0.217121859512405</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~HET_L1000+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0.551290960109494</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0.164813293792825</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~HET_L1000 + 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0.758289147203154</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0.14860832994853</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1.42286153619689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0.106594081803197</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2.4703918767515</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0.0631342127890495</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~NULL</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2.50515799010957</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2</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0.062046230812151</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 FOR_R1000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3.35506025224422</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0.0405659333516042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~HET_R1500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3.5863903272602</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0.03613506042248</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 + HET_R1500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3.75307940209481</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0.0332454880266696</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~HET_L1000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3.99898982266529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3</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0.0293990937536196</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~HET_R1500+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4.24368757572568</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0.0260134827945591</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~HET_R2000 +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4.59629067248403</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0.0218087970816829</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~FOR_R1000 +FOR_R3000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5.23950364808253</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0.0158110163821983</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~FOR_R1000 +HET_R2000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5.56536196386739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0.0134338518468632</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~FOR_R1000 +HET_R1500</w:t>
            </w:r>
          </w:p>
        </w:tc>
        <w:tc>
          <w:tcPr>
            <w:tcW w:w="2197"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5.99595418610739</w:t>
            </w:r>
          </w:p>
        </w:tc>
        <w:tc>
          <w:tcPr>
            <w:tcW w:w="1875"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0.0108317503390529</w:t>
            </w:r>
          </w:p>
        </w:tc>
      </w:tr>
      <w:tr>
        <w:trPr>
          <w:trHeight w:val="315" w:hRule="atLeast"/>
        </w:trPr>
        <w:tc>
          <w:tcPr>
            <w:tcW w:w="4194" w:type="dxa"/>
            <w:vMerge w:val="continue"/>
            <w:tcBorders/>
            <w:shd w:fill="auto" w:val="clear"/>
            <w:tcMar>
              <w:top w:w="100" w:type="dxa"/>
              <w:left w:w="100" w:type="dxa"/>
              <w:bottom w:w="100" w:type="dxa"/>
              <w:right w:w="100" w:type="dxa"/>
            </w:tcMar>
          </w:tcPr>
          <w:p>
            <w:pPr>
              <w:pStyle w:val="Normal"/>
              <w:widowControl w:val="false"/>
              <w:spacing w:lineRule="auto" w:line="276"/>
              <w:rPr>
                <w:rFonts w:ascii="Arial" w:hAnsi="Arial" w:eastAsia="Arial" w:cs="Arial"/>
                <w:sz w:val="22"/>
                <w:szCs w:val="22"/>
              </w:rPr>
            </w:pPr>
            <w:r>
              <w:rPr>
                <w:rFonts w:eastAsia="Arial" w:cs="Arial" w:ascii="Arial" w:hAnsi="Arial"/>
                <w:sz w:val="22"/>
                <w:szCs w:val="22"/>
              </w:rPr>
            </w:r>
          </w:p>
        </w:tc>
        <w:tc>
          <w:tcPr>
            <w:tcW w:w="3772"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~HET_R1500 +HET_R2000</w:t>
            </w:r>
          </w:p>
        </w:tc>
        <w:tc>
          <w:tcPr>
            <w:tcW w:w="2197"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6.07010401740851</w:t>
            </w:r>
          </w:p>
        </w:tc>
        <w:tc>
          <w:tcPr>
            <w:tcW w:w="1875"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4</w:t>
            </w:r>
          </w:p>
        </w:tc>
        <w:tc>
          <w:tcPr>
            <w:tcW w:w="2531" w:type="dxa"/>
            <w:tcBorders>
              <w:bottom w:val="single" w:sz="6" w:space="0" w:color="000000"/>
              <w:insideH w:val="single" w:sz="6" w:space="0" w:color="000000"/>
            </w:tcBorders>
            <w:shd w:fill="auto" w:val="clear"/>
            <w:vAlign w:val="bottom"/>
          </w:tcPr>
          <w:p>
            <w:pPr>
              <w:pStyle w:val="Normal"/>
              <w:widowControl w:val="false"/>
              <w:spacing w:lineRule="auto" w:line="276"/>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0.0104375173431121</w:t>
            </w:r>
          </w:p>
        </w:tc>
      </w:tr>
    </w:tbl>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keepNext w:val="false"/>
        <w:keepLines w:val="false"/>
        <w:widowControl/>
        <w:pBdr/>
        <w:shd w:val="clear" w:color="auto" w:fill="auto"/>
        <w:spacing w:lineRule="auto" w:line="360" w:before="76" w:after="0"/>
        <w:ind w:left="0" w:right="421" w:hanging="0"/>
        <w:jc w:val="both"/>
        <w:rPr/>
      </w:pPr>
      <w:r>
        <w:rPr/>
      </w:r>
    </w:p>
    <w:sectPr>
      <w:type w:val="nextPage"/>
      <w:pgSz w:orient="landscape" w:w="16838" w:h="11906"/>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 w:name="Arial">
    <w:charset w:val="01"/>
    <w:family w:val="roman"/>
    <w:pitch w:val="variable"/>
  </w:font>
</w:fonts>
</file>

<file path=word/settings.xml><?xml version="1.0" encoding="utf-8"?>
<w:settings xmlns:w="http://schemas.openxmlformats.org/wordprocessingml/2006/main">
  <w:zoom w:percent="9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pt-BR" w:eastAsia="zh-CN" w:bidi="hi-IN"/>
      </w:rPr>
    </w:rPrDefault>
    <w:pPrDefault>
      <w:pPr/>
    </w:pPrDefault>
  </w:docDefaults>
  <w:style w:type="paragraph" w:styleId="Normal" w:default="1">
    <w:name w:val="Normal"/>
    <w:qFormat/>
    <w:pPr>
      <w:widowControl/>
      <w:bidi w:val="0"/>
      <w:jc w:val="left"/>
    </w:pPr>
    <w:rPr>
      <w:rFonts w:ascii="Liberation Serif" w:hAnsi="Liberation Serif" w:eastAsia="Liberation Serif" w:cs="Liberation Serif"/>
      <w:color w:val="auto"/>
      <w:kern w:val="0"/>
      <w:sz w:val="24"/>
      <w:szCs w:val="24"/>
      <w:lang w:val="pt-BR" w:eastAsia="zh-CN" w:bidi="hi-IN"/>
    </w:rPr>
  </w:style>
  <w:style w:type="paragraph" w:styleId="Heading1">
    <w:name w:val="Heading 1"/>
    <w:basedOn w:val="Normal"/>
    <w:next w:val="Normal"/>
    <w:qFormat/>
    <w:pPr>
      <w:keepNext w:val="true"/>
      <w:keepLines/>
      <w:spacing w:lineRule="auto" w:line="240" w:before="480" w:after="120"/>
    </w:pPr>
    <w:rPr>
      <w:b/>
      <w:sz w:val="48"/>
      <w:szCs w:val="48"/>
    </w:rPr>
  </w:style>
  <w:style w:type="paragraph" w:styleId="Heading2">
    <w:name w:val="Heading 2"/>
    <w:basedOn w:val="Normal"/>
    <w:next w:val="Normal"/>
    <w:qFormat/>
    <w:pPr>
      <w:keepNext w:val="true"/>
      <w:keepLines/>
      <w:spacing w:lineRule="auto" w:line="240" w:before="360" w:after="80"/>
    </w:pPr>
    <w:rPr>
      <w:b/>
      <w:sz w:val="36"/>
      <w:szCs w:val="36"/>
    </w:rPr>
  </w:style>
  <w:style w:type="paragraph" w:styleId="Heading3">
    <w:name w:val="Heading 3"/>
    <w:basedOn w:val="Normal"/>
    <w:next w:val="Normal"/>
    <w:qFormat/>
    <w:pPr>
      <w:keepNext w:val="true"/>
      <w:keepLines/>
      <w:spacing w:lineRule="auto" w:line="240" w:before="280" w:after="80"/>
    </w:pPr>
    <w:rPr>
      <w:b/>
      <w:sz w:val="28"/>
      <w:szCs w:val="28"/>
    </w:rPr>
  </w:style>
  <w:style w:type="paragraph" w:styleId="Heading4">
    <w:name w:val="Heading 4"/>
    <w:basedOn w:val="Normal"/>
    <w:next w:val="Normal"/>
    <w:qFormat/>
    <w:pPr>
      <w:keepNext w:val="true"/>
      <w:keepLines/>
      <w:spacing w:lineRule="auto" w:line="240" w:before="240" w:after="40"/>
    </w:pPr>
    <w:rPr>
      <w:b/>
      <w:sz w:val="24"/>
      <w:szCs w:val="24"/>
    </w:rPr>
  </w:style>
  <w:style w:type="paragraph" w:styleId="Heading5">
    <w:name w:val="Heading 5"/>
    <w:basedOn w:val="Normal"/>
    <w:next w:val="Normal"/>
    <w:qFormat/>
    <w:pPr>
      <w:keepNext w:val="true"/>
      <w:keepLines/>
      <w:spacing w:lineRule="auto" w:line="240" w:before="220" w:after="40"/>
    </w:pPr>
    <w:rPr>
      <w:b/>
      <w:sz w:val="22"/>
      <w:szCs w:val="22"/>
    </w:rPr>
  </w:style>
  <w:style w:type="paragraph" w:styleId="Heading6">
    <w:name w:val="Heading 6"/>
    <w:basedOn w:val="Normal"/>
    <w:next w:val="Normal"/>
    <w:qFormat/>
    <w:pPr>
      <w:keepNext w:val="true"/>
      <w:keepLines/>
      <w:spacing w:lineRule="auto" w:line="240" w:before="200" w:after="40"/>
    </w:pPr>
    <w:rPr>
      <w:b/>
      <w:sz w:val="20"/>
      <w:szCs w:val="20"/>
    </w:rPr>
  </w:style>
  <w:style w:type="paragraph" w:styleId="Heading">
    <w:name w:val="Heading"/>
    <w:basedOn w:val="Normal"/>
    <w:next w:val="TextBody"/>
    <w:qFormat/>
    <w:pPr>
      <w:keepNext w:val="true"/>
      <w:spacing w:before="240" w:after="120"/>
    </w:pPr>
    <w:rPr>
      <w:rFonts w:ascii="Liberation Sans" w:hAnsi="Liberation Sans" w:eastAsia="WenQuanYi Micro Hei"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itle">
    <w:name w:val="Title"/>
    <w:basedOn w:val="Normal"/>
    <w:next w:val="Normal"/>
    <w:qFormat/>
    <w:pPr>
      <w:keepNext w:val="true"/>
      <w:keepLines/>
      <w:spacing w:lineRule="auto" w:line="240" w:before="480" w:after="120"/>
    </w:pPr>
    <w:rPr>
      <w:b/>
      <w:sz w:val="72"/>
      <w:szCs w:val="72"/>
    </w:rPr>
  </w:style>
  <w:style w:type="paragraph" w:styleId="Subtitle">
    <w:name w:val="Subtitle"/>
    <w:basedOn w:val="Normal"/>
    <w:next w:val="Normal"/>
    <w:qFormat/>
    <w:pPr>
      <w:keepNext w:val="true"/>
      <w:keepLines/>
      <w:spacing w:lineRule="auto" w:line="240" w:before="360" w:after="80"/>
    </w:pPr>
    <w:rPr>
      <w:rFonts w:ascii="Georgia" w:hAnsi="Georgia" w:eastAsia="Georgia" w:cs="Georgia"/>
      <w:i/>
      <w:color w:val="666666"/>
      <w:sz w:val="48"/>
      <w:szCs w:val="48"/>
    </w:rPr>
  </w:style>
  <w:style w:type="table" w:default="1" w:styleId="TableNormal">
    <w:name w:val="Normal Table"/>
  </w:style>
  <w:style w:type="table" w:styleId="TableGrid">
    <w:name w:val="Table Grid"/>
    <w:basedOn w:val="TableNormal"/>
    <w:uiPriority w:val="59"/>
    <w:rsid w:val="00fb4123"/>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150</TotalTime>
  <Application>LibreOffice/6.1.5.2$Linux_X86_64 LibreOffice_project/10$Build-2</Application>
  <Pages>10</Pages>
  <Words>1443</Words>
  <Characters>7829</Characters>
  <CharactersWithSpaces>8657</CharactersWithSpaces>
  <Paragraphs>380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Elon Aniceto</cp:lastModifiedBy>
  <dcterms:modified xsi:type="dcterms:W3CDTF">2021-07-24T16:10:14Z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LinksUpToDate">
    <vt:bool>0</vt:bool>
  </property>
</Properties>
</file>