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7DFA2D" w14:textId="54FC234E" w:rsidR="00016674" w:rsidRDefault="008C4517" w:rsidP="00CF2E6C">
      <w:pPr>
        <w:spacing w:line="480" w:lineRule="auto"/>
      </w:pPr>
      <w:r>
        <w:t>Supplementary Figures l</w:t>
      </w:r>
      <w:r w:rsidR="00F07055">
        <w:t>egends</w:t>
      </w:r>
    </w:p>
    <w:p w14:paraId="30F43EA6" w14:textId="25142911" w:rsidR="00F07055" w:rsidRDefault="00F07055" w:rsidP="00CF2E6C">
      <w:pPr>
        <w:spacing w:line="480" w:lineRule="auto"/>
      </w:pPr>
    </w:p>
    <w:p w14:paraId="117844F3" w14:textId="187041F2" w:rsidR="00F07055" w:rsidRDefault="00F07055" w:rsidP="00CF2E6C">
      <w:pPr>
        <w:spacing w:line="480" w:lineRule="auto"/>
      </w:pPr>
      <w:r>
        <w:t xml:space="preserve">Figure S1. Standard curves and derivative melt plots for CoV2-ID assay components and the two EICAS amplicons. </w:t>
      </w:r>
      <w:r w:rsidR="00F1403C">
        <w:t>a</w:t>
      </w:r>
      <w:r>
        <w:t xml:space="preserve">. Nsp10 (y=-3.49x+39.96). </w:t>
      </w:r>
      <w:r w:rsidR="00F1403C">
        <w:t>b</w:t>
      </w:r>
      <w:r>
        <w:t>. N-gene (y</w:t>
      </w:r>
      <w:r w:rsidRPr="00F07055">
        <w:t>=-3.43x+43.2</w:t>
      </w:r>
      <w:r>
        <w:t xml:space="preserve">). </w:t>
      </w:r>
      <w:r w:rsidR="00F1403C">
        <w:t>c</w:t>
      </w:r>
      <w:r>
        <w:t>. Nsp12 (y</w:t>
      </w:r>
      <w:r w:rsidRPr="00F07055">
        <w:t>=-3.35x+37.82</w:t>
      </w:r>
      <w:r>
        <w:t xml:space="preserve">). </w:t>
      </w:r>
      <w:r w:rsidR="00F1403C">
        <w:t>d</w:t>
      </w:r>
      <w:r>
        <w:t xml:space="preserve">. c-JUN (y=-3.26x+39.4). </w:t>
      </w:r>
      <w:r w:rsidR="00F1403C">
        <w:t>e</w:t>
      </w:r>
      <w:r>
        <w:t xml:space="preserve">. EICAS1 (y=-3.36x+34.52). </w:t>
      </w:r>
      <w:r w:rsidR="00F1403C">
        <w:t>f</w:t>
      </w:r>
      <w:r>
        <w:t>. EICAS2 (y=-3.43x+38.12).</w:t>
      </w:r>
    </w:p>
    <w:p w14:paraId="1EE291A1" w14:textId="74F98D19" w:rsidR="00F07055" w:rsidRDefault="00F07055" w:rsidP="00CF2E6C">
      <w:pPr>
        <w:spacing w:line="480" w:lineRule="auto"/>
      </w:pPr>
    </w:p>
    <w:p w14:paraId="5A251956" w14:textId="6E60CFF1" w:rsidR="00F07055" w:rsidRDefault="00F07055" w:rsidP="00CF2E6C">
      <w:pPr>
        <w:spacing w:line="480" w:lineRule="auto"/>
      </w:pPr>
      <w:r w:rsidRPr="00F07055">
        <w:t xml:space="preserve">Figure S2. </w:t>
      </w:r>
      <w:proofErr w:type="spellStart"/>
      <w:r w:rsidRPr="00F07055">
        <w:t>ddPCR</w:t>
      </w:r>
      <w:proofErr w:type="spellEnd"/>
      <w:r w:rsidRPr="00F07055">
        <w:t xml:space="preserve"> determination of LOD for </w:t>
      </w:r>
      <w:r>
        <w:t>Nsp10</w:t>
      </w:r>
      <w:r w:rsidRPr="00F07055">
        <w:t xml:space="preserve">. </w:t>
      </w:r>
      <w:r w:rsidR="00F1403C">
        <w:t>a</w:t>
      </w:r>
      <w:r w:rsidRPr="00F07055">
        <w:t>. 1D amplitude view of five-fold serial dilutions, with positive droplets above the threshold</w:t>
      </w:r>
      <w:r>
        <w:t xml:space="preserve"> (pink line)</w:t>
      </w:r>
      <w:r w:rsidRPr="00F07055">
        <w:t xml:space="preserve">. </w:t>
      </w:r>
      <w:r w:rsidR="00F1403C">
        <w:t>b</w:t>
      </w:r>
      <w:r w:rsidRPr="00F07055">
        <w:t xml:space="preserve">. Well data statistics. The sample in well F01 is the NTC. </w:t>
      </w:r>
      <w:r w:rsidR="00F1403C">
        <w:t>c</w:t>
      </w:r>
      <w:r w:rsidRPr="00F07055">
        <w:t xml:space="preserve">. 1D amplitude view of repeat dilutions to a nominal 50 copies. </w:t>
      </w:r>
      <w:r w:rsidR="00F1403C">
        <w:t>d</w:t>
      </w:r>
      <w:r w:rsidRPr="00F07055">
        <w:t>. Well data statistics. The sample in well H01 is the NTC.</w:t>
      </w:r>
    </w:p>
    <w:p w14:paraId="04C5CB67" w14:textId="3318F2AE" w:rsidR="008D6467" w:rsidRDefault="008D6467" w:rsidP="00CF2E6C">
      <w:pPr>
        <w:spacing w:line="480" w:lineRule="auto"/>
      </w:pPr>
    </w:p>
    <w:p w14:paraId="5F22C2E5" w14:textId="063AC154" w:rsidR="008D6467" w:rsidRDefault="008D6467" w:rsidP="00CF2E6C">
      <w:pPr>
        <w:spacing w:line="480" w:lineRule="auto"/>
      </w:pPr>
      <w:r>
        <w:t>Figure S3. Linear regression analyses</w:t>
      </w:r>
      <w:r w:rsidR="00D001BF">
        <w:t>. The tabular results are listed in the supplemental results data file tab 7</w:t>
      </w:r>
      <w:r>
        <w:t xml:space="preserve"> </w:t>
      </w:r>
      <w:r w:rsidR="00F1403C">
        <w:t>a</w:t>
      </w:r>
      <w:r w:rsidR="00710BA3">
        <w:t xml:space="preserve">. Nsp10 vs N-gene. </w:t>
      </w:r>
      <w:r w:rsidR="00F1403C">
        <w:t>b</w:t>
      </w:r>
      <w:r w:rsidR="00710BA3">
        <w:t xml:space="preserve">. Nsp10 vs JUN. </w:t>
      </w:r>
      <w:r w:rsidR="00F1403C">
        <w:t>c</w:t>
      </w:r>
      <w:r w:rsidR="00710BA3">
        <w:t xml:space="preserve">. N-gene vs JUN. </w:t>
      </w:r>
      <w:r w:rsidR="00F1403C">
        <w:t>d</w:t>
      </w:r>
      <w:r w:rsidR="00710BA3">
        <w:t xml:space="preserve">, Nsp10 vs EICAS, </w:t>
      </w:r>
      <w:r w:rsidR="00F1403C">
        <w:t>e</w:t>
      </w:r>
      <w:r w:rsidR="00710BA3">
        <w:t xml:space="preserve">. N-gene vs EICVAS. </w:t>
      </w:r>
      <w:r w:rsidR="00F1403C">
        <w:t>f</w:t>
      </w:r>
      <w:r w:rsidR="00710BA3">
        <w:t xml:space="preserve">. JUN vs EICAS. </w:t>
      </w:r>
    </w:p>
    <w:p w14:paraId="096DC3A1" w14:textId="77777777" w:rsidR="00710BA3" w:rsidRDefault="00710BA3" w:rsidP="00CF2E6C">
      <w:pPr>
        <w:spacing w:line="480" w:lineRule="auto"/>
      </w:pPr>
    </w:p>
    <w:p w14:paraId="71DA1C3A" w14:textId="2B713260" w:rsidR="003929BB" w:rsidRDefault="00710BA3" w:rsidP="00CF2E6C">
      <w:pPr>
        <w:spacing w:line="480" w:lineRule="auto"/>
      </w:pPr>
      <w:r>
        <w:t xml:space="preserve">Figure S4. Analysis of </w:t>
      </w:r>
      <w:r w:rsidR="003929BB">
        <w:t xml:space="preserve">mutation in Nsp10 </w:t>
      </w:r>
      <w:r w:rsidR="00F1403C">
        <w:t xml:space="preserve">and N-gene </w:t>
      </w:r>
      <w:r w:rsidR="003929BB">
        <w:t>F primer</w:t>
      </w:r>
      <w:r w:rsidR="00F1403C">
        <w:t>s</w:t>
      </w:r>
      <w:r>
        <w:t xml:space="preserve">. </w:t>
      </w:r>
      <w:r w:rsidR="00F1403C">
        <w:t>a</w:t>
      </w:r>
      <w:r>
        <w:t xml:space="preserve">. Position of C to T </w:t>
      </w:r>
      <w:r w:rsidR="00615D66">
        <w:t>transition</w:t>
      </w:r>
      <w:r>
        <w:t xml:space="preserve"> in strain MT412262 at </w:t>
      </w:r>
      <w:r w:rsidR="003C773F">
        <w:t xml:space="preserve">F primer </w:t>
      </w:r>
      <w:r>
        <w:t>position -9</w:t>
      </w:r>
      <w:r w:rsidR="008E4FC2">
        <w:t xml:space="preserve">, shown </w:t>
      </w:r>
      <w:r w:rsidR="003C773F">
        <w:t>in red</w:t>
      </w:r>
      <w:r>
        <w:t xml:space="preserve">. </w:t>
      </w:r>
      <w:r w:rsidR="003C773F">
        <w:t xml:space="preserve"> For the qPCR results, the difference between </w:t>
      </w:r>
      <w:proofErr w:type="spellStart"/>
      <w:r w:rsidR="003C773F">
        <w:t>Cqs</w:t>
      </w:r>
      <w:proofErr w:type="spellEnd"/>
      <w:r w:rsidR="003C773F">
        <w:t xml:space="preserve"> obtained for amplification with WT and mutant primers (∆</w:t>
      </w:r>
      <w:proofErr w:type="spellStart"/>
      <w:r w:rsidR="003C773F">
        <w:t>Cq</w:t>
      </w:r>
      <w:proofErr w:type="spellEnd"/>
      <w:r w:rsidR="003C773F">
        <w:t xml:space="preserve">) </w:t>
      </w:r>
      <w:r w:rsidR="00DF7DC1">
        <w:t xml:space="preserve">from four experiments </w:t>
      </w:r>
      <w:r w:rsidR="003C773F">
        <w:t>were converted to a fold-difference (2</w:t>
      </w:r>
      <w:r w:rsidR="00DF7DC1">
        <w:t>^∆</w:t>
      </w:r>
      <w:proofErr w:type="spellStart"/>
      <w:r w:rsidR="00DF7DC1">
        <w:t>Cq</w:t>
      </w:r>
      <w:proofErr w:type="spellEnd"/>
      <w:r w:rsidR="00DF7DC1">
        <w:t xml:space="preserve">) </w:t>
      </w:r>
      <w:r w:rsidR="003C773F">
        <w:t xml:space="preserve">and plotted, with error bars showing the standard deviation (supplementary data file tab 8). For the </w:t>
      </w:r>
      <w:proofErr w:type="spellStart"/>
      <w:r w:rsidR="003C773F">
        <w:t>ddPCRc</w:t>
      </w:r>
      <w:proofErr w:type="spellEnd"/>
      <w:r w:rsidR="003C773F">
        <w:t xml:space="preserve"> results, the </w:t>
      </w:r>
      <w:r w:rsidR="00DF7DC1">
        <w:t xml:space="preserve">difference in </w:t>
      </w:r>
      <w:r w:rsidR="003C773F">
        <w:t xml:space="preserve">calculated copies/well </w:t>
      </w:r>
      <w:r w:rsidR="00DF7DC1">
        <w:t xml:space="preserve">of WT and mutant from two experiments were converted to a fold-difference (WT/Mu) and plotted with the standard deviation (supplementary data file tab 8a). </w:t>
      </w:r>
      <w:r w:rsidR="00F1403C">
        <w:t>b</w:t>
      </w:r>
      <w:r w:rsidR="00DF7DC1">
        <w:t xml:space="preserve">. Position of C to T </w:t>
      </w:r>
      <w:r w:rsidR="00615D66">
        <w:t>transition</w:t>
      </w:r>
      <w:r w:rsidR="00DF7DC1">
        <w:t xml:space="preserve"> in WT sequence, shown in red on the mutant F primer. D. The fold-differences were obtained as described above.</w:t>
      </w:r>
      <w:r w:rsidR="00F1403C" w:rsidRPr="00F1403C">
        <w:t xml:space="preserve"> </w:t>
      </w:r>
      <w:r w:rsidR="00F1403C">
        <w:t xml:space="preserve">c. </w:t>
      </w:r>
      <w:r w:rsidR="00F1403C">
        <w:t xml:space="preserve"> </w:t>
      </w:r>
      <w:r w:rsidR="00F1403C">
        <w:lastRenderedPageBreak/>
        <w:t xml:space="preserve">Positions of A to T and C to A transversions in mutant templates at </w:t>
      </w:r>
      <w:r w:rsidR="00F1403C">
        <w:t xml:space="preserve">N-gene </w:t>
      </w:r>
      <w:r w:rsidR="00F1403C">
        <w:t xml:space="preserve">F primer positions -7 and -10, shown in red. The plot of the fold-differences was generated as described above </w:t>
      </w:r>
      <w:r w:rsidR="00F1403C">
        <w:t>d</w:t>
      </w:r>
      <w:r w:rsidR="00F1403C">
        <w:t xml:space="preserve">. Positions of mutated bases on primers N(A)-F and N(B)-F, aligned with WT template and shown in red. </w:t>
      </w:r>
      <w:r w:rsidR="00F1403C">
        <w:t>The p</w:t>
      </w:r>
      <w:r w:rsidR="00F1403C">
        <w:t xml:space="preserve">lot of the fold-differences </w:t>
      </w:r>
      <w:r w:rsidR="00F1403C">
        <w:t xml:space="preserve">was generated as described </w:t>
      </w:r>
      <w:r w:rsidR="00F1403C">
        <w:t xml:space="preserve">above. qPCR and </w:t>
      </w:r>
      <w:proofErr w:type="spellStart"/>
      <w:r w:rsidR="00F1403C">
        <w:t>ddPCR</w:t>
      </w:r>
      <w:proofErr w:type="spellEnd"/>
      <w:r w:rsidR="00F1403C">
        <w:t xml:space="preserve"> data are shown in supplementary data file tabs 8 and 8a, respectively.</w:t>
      </w:r>
    </w:p>
    <w:p w14:paraId="789ADEA4" w14:textId="77777777" w:rsidR="003929BB" w:rsidRDefault="003929BB" w:rsidP="00CF2E6C">
      <w:pPr>
        <w:spacing w:line="480" w:lineRule="auto"/>
      </w:pPr>
    </w:p>
    <w:p w14:paraId="19BD0F1E" w14:textId="368F0D3F" w:rsidR="003929BB" w:rsidRDefault="00CE5C79" w:rsidP="00CF2E6C">
      <w:pPr>
        <w:spacing w:line="480" w:lineRule="auto"/>
      </w:pPr>
      <w:r>
        <w:t>Figure S</w:t>
      </w:r>
      <w:r w:rsidR="00F1403C">
        <w:t>5</w:t>
      </w:r>
      <w:r>
        <w:t xml:space="preserve">. Analysis of mutated and alternative probes for N-gene. </w:t>
      </w:r>
      <w:r w:rsidR="00F1403C">
        <w:t>a</w:t>
      </w:r>
      <w:r w:rsidR="00375FC1">
        <w:t xml:space="preserve">. Positions of </w:t>
      </w:r>
      <w:r w:rsidR="00615D66">
        <w:t>C</w:t>
      </w:r>
      <w:r w:rsidR="00375FC1">
        <w:t xml:space="preserve"> to T transition </w:t>
      </w:r>
      <w:r w:rsidR="00615D66">
        <w:t xml:space="preserve">at the 5’-end of the </w:t>
      </w:r>
      <w:proofErr w:type="spellStart"/>
      <w:r w:rsidR="00615D66">
        <w:t>MuN</w:t>
      </w:r>
      <w:proofErr w:type="spellEnd"/>
      <w:r w:rsidR="00615D66">
        <w:t xml:space="preserve"> probe </w:t>
      </w:r>
      <w:r w:rsidR="00375FC1">
        <w:t>shown in red.</w:t>
      </w:r>
      <w:r w:rsidR="00615D66">
        <w:t xml:space="preserve"> </w:t>
      </w:r>
      <w:r w:rsidR="00F1403C">
        <w:t>The p</w:t>
      </w:r>
      <w:r w:rsidR="008E4FC2">
        <w:t xml:space="preserve">lot </w:t>
      </w:r>
      <w:r w:rsidR="00F1403C">
        <w:t>shows</w:t>
      </w:r>
      <w:r w:rsidR="008E4FC2">
        <w:t xml:space="preserve"> the </w:t>
      </w:r>
      <w:r w:rsidR="00615D66">
        <w:t xml:space="preserve">fold-difference </w:t>
      </w:r>
      <w:r w:rsidR="008E4FC2">
        <w:t xml:space="preserve">obtained when Pr2 or </w:t>
      </w:r>
      <w:proofErr w:type="spellStart"/>
      <w:r w:rsidR="008E4FC2">
        <w:t>MuN</w:t>
      </w:r>
      <w:proofErr w:type="spellEnd"/>
      <w:r w:rsidR="008E4FC2">
        <w:t xml:space="preserve"> probes were used to detect wild type SARS-CoV-2 amplicon. </w:t>
      </w:r>
      <w:r w:rsidR="00615D66">
        <w:t xml:space="preserve">The error bar indicates the standard deviation from two experiments carried out in duplicate (supplementary data file tab 8b). </w:t>
      </w:r>
      <w:r w:rsidR="00F1403C">
        <w:t>b</w:t>
      </w:r>
      <w:r w:rsidR="008E4FC2">
        <w:t xml:space="preserve">. </w:t>
      </w:r>
      <w:r w:rsidR="00615D66">
        <w:t xml:space="preserve">Positions on the N-gene amplicon of the two probes used to detect the N-gene. D. </w:t>
      </w:r>
      <w:r w:rsidR="00F1403C">
        <w:t>The p</w:t>
      </w:r>
      <w:r w:rsidR="00615D66">
        <w:t xml:space="preserve">lot </w:t>
      </w:r>
      <w:r w:rsidR="00F1403C">
        <w:t>shows</w:t>
      </w:r>
      <w:r w:rsidR="00615D66">
        <w:t xml:space="preserve"> the fold-difference obtained when Pr2 or </w:t>
      </w:r>
      <w:proofErr w:type="spellStart"/>
      <w:r w:rsidR="00615D66">
        <w:t>MuN</w:t>
      </w:r>
      <w:proofErr w:type="spellEnd"/>
      <w:r w:rsidR="00615D66">
        <w:t xml:space="preserve"> probes </w:t>
      </w:r>
      <w:r w:rsidR="008E4FC2">
        <w:t>were used to detect RNA extracted from six clinical samples</w:t>
      </w:r>
      <w:r w:rsidR="00615D66">
        <w:t xml:space="preserve"> (supplementary data file tab 8b)</w:t>
      </w:r>
      <w:r w:rsidR="008E4FC2">
        <w:t>.</w:t>
      </w:r>
    </w:p>
    <w:p w14:paraId="26C8196D" w14:textId="658423EA" w:rsidR="002302CA" w:rsidRDefault="002302CA" w:rsidP="00CF2E6C">
      <w:pPr>
        <w:spacing w:line="480" w:lineRule="auto"/>
      </w:pPr>
    </w:p>
    <w:p w14:paraId="1962C67D" w14:textId="5FE91784" w:rsidR="002302CA" w:rsidRDefault="002302CA" w:rsidP="00CF2E6C">
      <w:pPr>
        <w:spacing w:line="480" w:lineRule="auto"/>
      </w:pPr>
      <w:r>
        <w:t>Figure S</w:t>
      </w:r>
      <w:r w:rsidR="00F1403C">
        <w:t>6</w:t>
      </w:r>
      <w:r>
        <w:t xml:space="preserve">. Effect of using two FAM-labelled probes to detect viral targets. </w:t>
      </w:r>
      <w:r w:rsidR="00F1403C">
        <w:t>a</w:t>
      </w:r>
      <w:r>
        <w:t xml:space="preserve">. </w:t>
      </w:r>
      <w:proofErr w:type="spellStart"/>
      <w:r>
        <w:t>ddPCR</w:t>
      </w:r>
      <w:proofErr w:type="spellEnd"/>
      <w:r>
        <w:t xml:space="preserve"> result showing the 1D amplitude of Nsp10 and 10 either in separate wells or together. </w:t>
      </w:r>
      <w:r w:rsidR="00F1403C">
        <w:t>b</w:t>
      </w:r>
      <w:r>
        <w:t xml:space="preserve">. Copy numbers of targets detected by Nsp10, 12 and both probes calculated from the results shown above. </w:t>
      </w:r>
      <w:r w:rsidR="00F1403C">
        <w:t>c</w:t>
      </w:r>
      <w:r>
        <w:t xml:space="preserve">. The same samples amplified in a qPCR assay as four replicate reactions. </w:t>
      </w:r>
      <w:r w:rsidR="00F1403C">
        <w:t>d</w:t>
      </w:r>
      <w:r>
        <w:t xml:space="preserve">. </w:t>
      </w:r>
      <w:proofErr w:type="spellStart"/>
      <w:r>
        <w:t>Cqs</w:t>
      </w:r>
      <w:proofErr w:type="spellEnd"/>
      <w:r>
        <w:t xml:space="preserve"> of the three qPCR assay conditions plotted. The horizontal bar indicates median </w:t>
      </w:r>
      <w:proofErr w:type="spellStart"/>
      <w:r>
        <w:t>Cqs</w:t>
      </w:r>
      <w:proofErr w:type="spellEnd"/>
      <w:r>
        <w:t>.</w:t>
      </w:r>
    </w:p>
    <w:p w14:paraId="7E81C138" w14:textId="52DE7E19" w:rsidR="0092521D" w:rsidRDefault="0092521D" w:rsidP="00CF2E6C">
      <w:pPr>
        <w:spacing w:line="480" w:lineRule="auto"/>
      </w:pPr>
    </w:p>
    <w:p w14:paraId="71F2E12F" w14:textId="5F0B99D3" w:rsidR="00654589" w:rsidRDefault="0092521D" w:rsidP="00CF2E6C">
      <w:pPr>
        <w:spacing w:line="480" w:lineRule="auto"/>
      </w:pPr>
      <w:r>
        <w:t>Figure S</w:t>
      </w:r>
      <w:r w:rsidR="00F1403C">
        <w:t>7</w:t>
      </w:r>
      <w:r>
        <w:t xml:space="preserve">. </w:t>
      </w:r>
      <w:r w:rsidR="00654589">
        <w:t xml:space="preserve">Effect of adding additional SARS-CoV-2 panel (Nsp12) to CoV2-ID. Compared with the single (light blue) and 4plex (brown) assays, the 5plex assay (blue) records lower </w:t>
      </w:r>
      <w:proofErr w:type="spellStart"/>
      <w:r w:rsidR="00654589">
        <w:t>Cqs</w:t>
      </w:r>
      <w:proofErr w:type="spellEnd"/>
      <w:r w:rsidR="00654589">
        <w:t xml:space="preserve">, with similar </w:t>
      </w:r>
      <w:proofErr w:type="spellStart"/>
      <w:r w:rsidR="00654589">
        <w:t>Cqs</w:t>
      </w:r>
      <w:proofErr w:type="spellEnd"/>
      <w:r w:rsidR="00654589">
        <w:t xml:space="preserve"> reported for the other markers.</w:t>
      </w:r>
    </w:p>
    <w:p w14:paraId="22B68460" w14:textId="4F011178" w:rsidR="00654589" w:rsidRDefault="00654589" w:rsidP="00CF2E6C">
      <w:pPr>
        <w:spacing w:line="480" w:lineRule="auto"/>
      </w:pPr>
    </w:p>
    <w:p w14:paraId="77080414" w14:textId="0C44629A" w:rsidR="00654589" w:rsidRDefault="00654589" w:rsidP="00CF2E6C">
      <w:pPr>
        <w:spacing w:line="480" w:lineRule="auto"/>
      </w:pPr>
      <w:r>
        <w:lastRenderedPageBreak/>
        <w:t>Figure S</w:t>
      </w:r>
      <w:r w:rsidR="00F1403C">
        <w:t>8</w:t>
      </w:r>
      <w:r>
        <w:t xml:space="preserve">. Comparison of 4 and 5plex assay with four RNAs extracted from clinical samples. </w:t>
      </w:r>
      <w:r w:rsidR="00F1403C">
        <w:t>a</w:t>
      </w:r>
      <w:r>
        <w:t xml:space="preserve">. Sample C3. </w:t>
      </w:r>
      <w:r w:rsidR="00F1403C">
        <w:t>b</w:t>
      </w:r>
      <w:r>
        <w:t xml:space="preserve">. Sample C4. </w:t>
      </w:r>
      <w:r w:rsidR="00F1403C">
        <w:t>c</w:t>
      </w:r>
      <w:r>
        <w:t xml:space="preserve">. Sample C6. </w:t>
      </w:r>
      <w:r w:rsidR="00F1403C">
        <w:t>d</w:t>
      </w:r>
      <w:r>
        <w:t>. Sample C7.</w:t>
      </w:r>
    </w:p>
    <w:p w14:paraId="071BF15C" w14:textId="56070A45" w:rsidR="00654589" w:rsidRDefault="00654589" w:rsidP="00CF2E6C">
      <w:pPr>
        <w:spacing w:line="480" w:lineRule="auto"/>
      </w:pPr>
    </w:p>
    <w:p w14:paraId="06451BD5" w14:textId="0280571C" w:rsidR="00654589" w:rsidRDefault="00654589" w:rsidP="00CF2E6C">
      <w:pPr>
        <w:spacing w:line="480" w:lineRule="auto"/>
      </w:pPr>
      <w:r>
        <w:t>Figure S</w:t>
      </w:r>
      <w:r w:rsidR="00F1403C">
        <w:t>9</w:t>
      </w:r>
      <w:r>
        <w:t xml:space="preserve">. Performance of assay modified to consist of three FAM-labelled probes to detect SARS-CoV-2 targets. </w:t>
      </w:r>
      <w:r w:rsidR="00F1403C">
        <w:t>a</w:t>
      </w:r>
      <w:r>
        <w:t xml:space="preserve">. Amplification plots from four replicates in a qPCR assay. </w:t>
      </w:r>
      <w:r w:rsidR="00F1403C">
        <w:t>b</w:t>
      </w:r>
      <w:r>
        <w:t xml:space="preserve">. Plot of the </w:t>
      </w:r>
      <w:proofErr w:type="spellStart"/>
      <w:r>
        <w:t>Cqs</w:t>
      </w:r>
      <w:proofErr w:type="spellEnd"/>
      <w:r>
        <w:t xml:space="preserve"> recorded by the qPCR assay. </w:t>
      </w:r>
      <w:r w:rsidR="00F1403C">
        <w:t>c</w:t>
      </w:r>
      <w:r>
        <w:t xml:space="preserve">. </w:t>
      </w:r>
      <w:proofErr w:type="spellStart"/>
      <w:r>
        <w:t>ddPCR</w:t>
      </w:r>
      <w:proofErr w:type="spellEnd"/>
      <w:r>
        <w:t xml:space="preserve"> result showing the 1D amplitude of </w:t>
      </w:r>
      <w:r w:rsidR="00954F99">
        <w:t>the same reactions recorded separately for Nsp10, 12 and the N-gene, as part of the 4plex reaction (</w:t>
      </w:r>
      <w:r>
        <w:t>Nsp10</w:t>
      </w:r>
      <w:r w:rsidR="00954F99">
        <w:t xml:space="preserve">) and for all three probes amplified in the same well. </w:t>
      </w:r>
      <w:r>
        <w:t xml:space="preserve"> and 10 either in separate wells or together. </w:t>
      </w:r>
      <w:r w:rsidR="00F1403C">
        <w:t>d</w:t>
      </w:r>
      <w:r>
        <w:t xml:space="preserve">. Copy numbers of targets detected by Nsp10, 12 </w:t>
      </w:r>
      <w:r w:rsidR="00954F99">
        <w:t xml:space="preserve">N-gene, the 4plex assay </w:t>
      </w:r>
      <w:r>
        <w:t xml:space="preserve">and </w:t>
      </w:r>
      <w:r w:rsidR="00954F99">
        <w:t>all three</w:t>
      </w:r>
      <w:r>
        <w:t xml:space="preserve"> probes calculated from the results shown above.</w:t>
      </w:r>
    </w:p>
    <w:p w14:paraId="61ADCD50" w14:textId="63AA6EEC" w:rsidR="009C1902" w:rsidRDefault="009C1902" w:rsidP="00CF2E6C">
      <w:pPr>
        <w:spacing w:line="480" w:lineRule="auto"/>
      </w:pPr>
    </w:p>
    <w:p w14:paraId="009826AF" w14:textId="0F9FD081" w:rsidR="00156F4D" w:rsidRDefault="009C1902" w:rsidP="00CF2E6C">
      <w:pPr>
        <w:spacing w:line="480" w:lineRule="auto"/>
      </w:pPr>
      <w:r>
        <w:t>Figure S</w:t>
      </w:r>
      <w:r w:rsidR="007B6B0C">
        <w:t>1</w:t>
      </w:r>
      <w:r w:rsidR="00F1403C">
        <w:t>0</w:t>
      </w:r>
      <w:r>
        <w:t xml:space="preserve">. Effect of reducing RT times. The </w:t>
      </w:r>
      <w:proofErr w:type="spellStart"/>
      <w:r>
        <w:t>Cqs</w:t>
      </w:r>
      <w:proofErr w:type="spellEnd"/>
      <w:r>
        <w:t xml:space="preserve"> obtained for each of the five targets at the RT times are shown.</w:t>
      </w:r>
    </w:p>
    <w:p w14:paraId="6201F4A1" w14:textId="77777777" w:rsidR="00156F4D" w:rsidRDefault="00156F4D" w:rsidP="00CF2E6C">
      <w:pPr>
        <w:spacing w:line="480" w:lineRule="auto"/>
      </w:pPr>
    </w:p>
    <w:p w14:paraId="6AB12B95" w14:textId="1364E9DD" w:rsidR="00156F4D" w:rsidRDefault="00156F4D" w:rsidP="00CF2E6C">
      <w:pPr>
        <w:spacing w:line="480" w:lineRule="auto"/>
      </w:pPr>
      <w:r>
        <w:t>Figure S1</w:t>
      </w:r>
      <w:r w:rsidR="00F1403C">
        <w:t>1</w:t>
      </w:r>
      <w:r>
        <w:t>.</w:t>
      </w:r>
      <w:r w:rsidR="00E65494">
        <w:t xml:space="preserve"> Quantification of viral load through EICAS. </w:t>
      </w:r>
      <w:r w:rsidR="000F067D">
        <w:t>The same amount of EICAS was used in RT-qPCR and RT-</w:t>
      </w:r>
      <w:proofErr w:type="spellStart"/>
      <w:r w:rsidR="000F067D">
        <w:t>ddPCR</w:t>
      </w:r>
      <w:proofErr w:type="spellEnd"/>
      <w:r w:rsidR="000F067D">
        <w:t xml:space="preserve"> amplifications.</w:t>
      </w:r>
      <w:r w:rsidR="00F1403C">
        <w:t xml:space="preserve"> a</w:t>
      </w:r>
      <w:r w:rsidR="00E65494">
        <w:t xml:space="preserve">. </w:t>
      </w:r>
      <w:proofErr w:type="spellStart"/>
      <w:r w:rsidR="005E1B7D">
        <w:t>Cq</w:t>
      </w:r>
      <w:proofErr w:type="spellEnd"/>
      <w:r w:rsidR="005E1B7D">
        <w:t xml:space="preserve"> values obtained from qPCR experiments differ depending on where the threshold is set. </w:t>
      </w:r>
      <w:r w:rsidR="00F1403C">
        <w:t>b</w:t>
      </w:r>
      <w:r w:rsidR="005E1B7D">
        <w:t xml:space="preserve">. Copy numbers calculated from </w:t>
      </w:r>
      <w:proofErr w:type="spellStart"/>
      <w:r w:rsidR="005E1B7D">
        <w:t>ddPCR</w:t>
      </w:r>
      <w:proofErr w:type="spellEnd"/>
      <w:r w:rsidR="005E1B7D">
        <w:t xml:space="preserve"> experiments are absolute values that can be used for quantification</w:t>
      </w:r>
    </w:p>
    <w:p w14:paraId="1655334C" w14:textId="77777777" w:rsidR="00FD1FF9" w:rsidRPr="00F07055" w:rsidRDefault="00FD1FF9" w:rsidP="00CF2E6C">
      <w:pPr>
        <w:spacing w:line="480" w:lineRule="auto"/>
      </w:pPr>
    </w:p>
    <w:p w14:paraId="24A70074" w14:textId="77777777" w:rsidR="00F07055" w:rsidRDefault="00F07055" w:rsidP="00CF2E6C">
      <w:pPr>
        <w:spacing w:line="480" w:lineRule="auto"/>
      </w:pPr>
    </w:p>
    <w:sectPr w:rsidR="00F07055" w:rsidSect="00267A0C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Baskerville">
    <w:panose1 w:val="02020502070401020303"/>
    <w:charset w:val="00"/>
    <w:family w:val="roman"/>
    <w:pitch w:val="variable"/>
    <w:sig w:usb0="80000067" w:usb1="02000000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7055"/>
    <w:rsid w:val="00016674"/>
    <w:rsid w:val="000E0FEA"/>
    <w:rsid w:val="000F067D"/>
    <w:rsid w:val="00156F4D"/>
    <w:rsid w:val="002302CA"/>
    <w:rsid w:val="00267A0C"/>
    <w:rsid w:val="002B6ED5"/>
    <w:rsid w:val="00375FC1"/>
    <w:rsid w:val="003929BB"/>
    <w:rsid w:val="003C773F"/>
    <w:rsid w:val="00446B8B"/>
    <w:rsid w:val="005122CE"/>
    <w:rsid w:val="005E1B7D"/>
    <w:rsid w:val="00615D66"/>
    <w:rsid w:val="00654589"/>
    <w:rsid w:val="00710BA3"/>
    <w:rsid w:val="007B6B0C"/>
    <w:rsid w:val="008C4517"/>
    <w:rsid w:val="008D6467"/>
    <w:rsid w:val="008E4FC2"/>
    <w:rsid w:val="0092521D"/>
    <w:rsid w:val="00954F99"/>
    <w:rsid w:val="009C1902"/>
    <w:rsid w:val="00CE5C79"/>
    <w:rsid w:val="00CF2E6C"/>
    <w:rsid w:val="00D001BF"/>
    <w:rsid w:val="00DF7DC1"/>
    <w:rsid w:val="00E65494"/>
    <w:rsid w:val="00F07055"/>
    <w:rsid w:val="00F1403C"/>
    <w:rsid w:val="00FD1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E6925B2"/>
  <w15:chartTrackingRefBased/>
  <w15:docId w15:val="{5B9C06EB-B870-254A-A763-4E0F900DC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Baskerville" w:eastAsiaTheme="minorHAnsi" w:hAnsi="Baskerville" w:cs="Times New Roman (Body CS)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9760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690</Words>
  <Characters>3933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Bustin</dc:creator>
  <cp:keywords/>
  <dc:description/>
  <cp:lastModifiedBy>Stephen Bustin</cp:lastModifiedBy>
  <cp:revision>3</cp:revision>
  <dcterms:created xsi:type="dcterms:W3CDTF">2020-09-02T14:41:00Z</dcterms:created>
  <dcterms:modified xsi:type="dcterms:W3CDTF">2020-09-09T09:17:00Z</dcterms:modified>
</cp:coreProperties>
</file>